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Quy trình lọc nghiên cứu của Walder et al. (2025)</w:t>
      </w:r>
    </w:p>
    <w:p>
      <w:r>
        <w:rPr>
          <w:i/>
          <w:color w:val="5A5A5A"/>
          <w:sz w:val="24"/>
        </w:rPr>
        <w:t>Meta-analysis về DMHI cho lo âu xã hội ở trẻ em, vị thành niên, thanh niên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</w:tcPr>
          <w:p>
            <w:r>
              <w:rPr>
                <w:b/>
              </w:rPr>
              <w:t xml:space="preserve">Nguồn: </w:t>
            </w:r>
            <w:r>
              <w:t xml:space="preserve">QT040 — Walder N, Frey A, Berger T et al. (2025). "Digital mental health interventions for prevention and treatment of social anxiety disorder in children, adolescents and young adults: Systematic review and meta-analysis." </w:t>
            </w:r>
            <w:r>
              <w:rPr>
                <w:i/>
              </w:rPr>
              <w:t xml:space="preserve">Journal of Medical Internet Research (JMIR, Q1, IF ≈ 7,4). </w:t>
            </w:r>
            <w:r>
              <w:t>DOI: 10.2196/preprints.67067 | PROSPERO CRD42023424181.</w:t>
            </w:r>
          </w:p>
        </w:tc>
      </w:tr>
    </w:tbl>
    <w:p/>
    <w:p>
      <w:pPr>
        <w:pStyle w:val="Heading1"/>
      </w:pPr>
      <w:r>
        <w:rPr>
          <w:color w:val="1F497D"/>
        </w:rPr>
        <w:t>1. Từ "hàng trăm" → 22 bài (Systematic Review)</w:t>
      </w:r>
    </w:p>
    <w:p>
      <w:r>
        <w:rPr>
          <w:b w:val="0"/>
          <w:sz w:val="22"/>
        </w:rPr>
        <w:t>Thực tế khởi đầu là 2.149 records chứ không phải vài trăm. Chú ý: các con số 1.357 và 205 là số bài BỊ LOẠI tại mỗi bước sàng lọc (không phải số còn lại).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Bước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Thao tác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Số bài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Tìm kiếm databases điện tử</w:t>
            </w:r>
          </w:p>
        </w:tc>
        <w:tc>
          <w:tcPr>
            <w:tcW w:type="dxa" w:w="2880"/>
          </w:tcPr>
          <w:p>
            <w:r>
              <w:t>2.149 records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Loại duplicates (trùng nhau)</w:t>
            </w:r>
          </w:p>
        </w:tc>
        <w:tc>
          <w:tcPr>
            <w:tcW w:type="dxa" w:w="2880"/>
          </w:tcPr>
          <w:p>
            <w:r>
              <w:t>−474 → còn 1.675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Sàng lọc TITLE (2 reviewer độc lập)</w:t>
            </w:r>
          </w:p>
        </w:tc>
        <w:tc>
          <w:tcPr>
            <w:tcW w:type="dxa" w:w="2880"/>
          </w:tcPr>
          <w:p>
            <w:r>
              <w:t>loại 1.357 → còn 318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Sàng lọc ABSTRACT</w:t>
            </w:r>
          </w:p>
        </w:tc>
        <w:tc>
          <w:tcPr>
            <w:tcW w:type="dxa" w:w="2880"/>
          </w:tcPr>
          <w:p>
            <w:r>
              <w:t>loại 205 → còn 113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Đánh giá FULL TEXT</w:t>
            </w:r>
          </w:p>
        </w:tc>
        <w:tc>
          <w:tcPr>
            <w:tcW w:type="dxa" w:w="2880"/>
          </w:tcPr>
          <w:p>
            <w:r>
              <w:t>113 bài được đánh giá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F497D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/>
                <w:color w:val="1F497D"/>
              </w:rPr>
              <w:t>Đạt tiêu chí eligibility → vào SR</w:t>
            </w:r>
          </w:p>
        </w:tc>
        <w:tc>
          <w:tcPr>
            <w:tcW w:type="dxa" w:w="2880"/>
          </w:tcPr>
          <w:p>
            <w:r>
              <w:rPr>
                <w:b/>
                <w:color w:val="1F497D"/>
              </w:rPr>
              <w:t>22 bài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F497D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b/>
                <w:color w:val="1F497D"/>
              </w:rPr>
              <w:t>Đủ dữ liệu post-test → vào MA</w:t>
            </w:r>
          </w:p>
        </w:tc>
        <w:tc>
          <w:tcPr>
            <w:tcW w:type="dxa" w:w="2880"/>
          </w:tcPr>
          <w:p>
            <w:r>
              <w:rPr>
                <w:b/>
                <w:color w:val="1F497D"/>
              </w:rPr>
              <w:t>21 bài</w:t>
            </w:r>
          </w:p>
        </w:tc>
      </w:tr>
    </w:tbl>
    <w:p/>
    <w:p>
      <w:pPr>
        <w:pStyle w:val="Heading1"/>
      </w:pPr>
      <w:r>
        <w:rPr>
          <w:color w:val="1F497D"/>
        </w:rPr>
        <w:t>2. Tiêu chí PICOS để chọn 22 bài vào SR</w:t>
      </w:r>
    </w:p>
    <w:p>
      <w:r>
        <w:rPr>
          <w:b w:val="0"/>
          <w:sz w:val="22"/>
        </w:rPr>
        <w:t>Mỗi RCT phải thoả CẢ 5 điều kiện dưới đây. Tác giả công bố tiêu chí này TRƯỚC khi tìm kiếm (protocol PROSPERO CRD42023424181) để tránh bias lựa chọn.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Chữ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Yếu tố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Tiêu chí của Walder</w:t>
            </w:r>
          </w:p>
        </w:tc>
      </w:tr>
      <w:tr>
        <w:tc>
          <w:tcPr>
            <w:tcW w:type="dxa" w:w="2880"/>
            <w:shd w:fill="FFE699"/>
          </w:tcPr>
          <w:p>
            <w:pPr>
              <w:jc w:val="center"/>
            </w:pPr>
            <w:r>
              <w:rPr>
                <w:b/>
                <w:color w:val="BF610E"/>
                <w:sz w:val="28"/>
              </w:rPr>
              <w:t>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Population (Đối tượng)</w:t>
            </w:r>
          </w:p>
        </w:tc>
        <w:tc>
          <w:tcPr>
            <w:tcW w:type="dxa" w:w="2880"/>
          </w:tcPr>
          <w:p>
            <w:r>
              <w:t>Tuổi trung bình 0 đến &lt;25 (trẻ em, vị thành niên, thanh niên)</w:t>
            </w:r>
          </w:p>
        </w:tc>
      </w:tr>
      <w:tr>
        <w:tc>
          <w:tcPr>
            <w:tcW w:type="dxa" w:w="2880"/>
            <w:shd w:fill="FFE699"/>
          </w:tcPr>
          <w:p>
            <w:pPr>
              <w:jc w:val="center"/>
            </w:pPr>
            <w:r>
              <w:rPr>
                <w:b/>
                <w:color w:val="BF610E"/>
                <w:sz w:val="28"/>
              </w:rPr>
              <w:t>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Intervention (Can thiệp)</w:t>
            </w:r>
          </w:p>
        </w:tc>
        <w:tc>
          <w:tcPr>
            <w:tcW w:type="dxa" w:w="2880"/>
          </w:tcPr>
          <w:p>
            <w:r>
              <w:t>DMHI (Digital Mental Health Intervention) dựa trên nguyên lý tâm lý, sử dụng từ xa (internet, app, VR)</w:t>
            </w:r>
          </w:p>
        </w:tc>
      </w:tr>
      <w:tr>
        <w:tc>
          <w:tcPr>
            <w:tcW w:type="dxa" w:w="2880"/>
            <w:shd w:fill="FFE699"/>
          </w:tcPr>
          <w:p>
            <w:pPr>
              <w:jc w:val="center"/>
            </w:pPr>
            <w:r>
              <w:rPr>
                <w:b/>
                <w:color w:val="BF610E"/>
                <w:sz w:val="28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Comparator (Đối chứng)</w:t>
            </w:r>
          </w:p>
        </w:tc>
        <w:tc>
          <w:tcPr>
            <w:tcW w:type="dxa" w:w="2880"/>
          </w:tcPr>
          <w:p>
            <w:r>
              <w:t>Active intervention / waitlist (chờ) / care-as-usual (CAU) / treatment-as-usual (TAU)</w:t>
            </w:r>
          </w:p>
        </w:tc>
      </w:tr>
      <w:tr>
        <w:tc>
          <w:tcPr>
            <w:tcW w:type="dxa" w:w="2880"/>
            <w:shd w:fill="FFE699"/>
          </w:tcPr>
          <w:p>
            <w:pPr>
              <w:jc w:val="center"/>
            </w:pPr>
            <w:r>
              <w:rPr>
                <w:b/>
                <w:color w:val="BF610E"/>
                <w:sz w:val="28"/>
              </w:rPr>
              <w:t>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Outcome (Kết quả)</w:t>
            </w:r>
          </w:p>
        </w:tc>
        <w:tc>
          <w:tcPr>
            <w:tcW w:type="dxa" w:w="2880"/>
          </w:tcPr>
          <w:p>
            <w:r>
              <w:t>Có thang đo lo âu xã hội (social anxiety)</w:t>
            </w:r>
          </w:p>
        </w:tc>
      </w:tr>
      <w:tr>
        <w:tc>
          <w:tcPr>
            <w:tcW w:type="dxa" w:w="2880"/>
            <w:shd w:fill="FFE699"/>
          </w:tcPr>
          <w:p>
            <w:pPr>
              <w:jc w:val="center"/>
            </w:pPr>
            <w:r>
              <w:rPr>
                <w:b/>
                <w:color w:val="BF610E"/>
                <w:sz w:val="28"/>
              </w:rPr>
              <w:t>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Study design (Thiết kế)</w:t>
            </w:r>
          </w:p>
        </w:tc>
        <w:tc>
          <w:tcPr>
            <w:tcW w:type="dxa" w:w="2880"/>
          </w:tcPr>
          <w:p>
            <w:r>
              <w:t>RCT, đăng trên tạp chí peer-reviewed, ngôn ngữ tiếng Anh hoặc tiếng Đức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E4D6"/>
          </w:tcPr>
          <w:p>
            <w:r>
              <w:rPr>
                <w:b/>
                <w:color w:val="C00000"/>
              </w:rPr>
              <w:t xml:space="preserve">LOẠI TRỪ: </w:t>
            </w:r>
            <w:r>
              <w:t>study protocols, review bài, các meta-analysis khác.</w:t>
            </w:r>
          </w:p>
        </w:tc>
      </w:tr>
    </w:tbl>
    <w:p/>
    <w:p>
      <w:pPr>
        <w:pStyle w:val="Heading1"/>
      </w:pPr>
      <w:r>
        <w:rPr>
          <w:color w:val="1F497D"/>
        </w:rPr>
        <w:t>3. Tại sao 22 → 21 (chỉ có 21 bài vào MA)?</w:t>
      </w:r>
    </w:p>
    <w:p>
      <w:r>
        <w:rPr>
          <w:b w:val="0"/>
          <w:sz w:val="22"/>
        </w:rPr>
        <w:t>1 bài duy nhất bị loại khỏi meta-analysis là Vigerland et al. [ref 93] — lý do trích nguyên văn từ bài gốc: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EEBF7"/>
          </w:tcPr>
          <w:p>
            <w:r>
              <w:rPr>
                <w:i/>
                <w:color w:val="1F497D"/>
              </w:rPr>
              <w:t>"The study by Vigerland and colleagues [93] was not included in the meta-analytic calculations because there was insufficient data of social anxiety at post-assessment."</w:t>
            </w:r>
          </w:p>
          <w:p>
            <w:r>
              <w:rPr>
                <w:color w:val="5A5A5A"/>
                <w:sz w:val="20"/>
              </w:rPr>
              <w:t>(Tạm dịch: Bài của Vigerland và cộng sự [93] không được đưa vào tính toán meta-analysis vì thiếu dữ liệu lo âu xã hội tại thời điểm hậu can thiệp.)</w:t>
            </w:r>
          </w:p>
        </w:tc>
      </w:tr>
    </w:tbl>
    <w:p/>
    <w:p>
      <w:r>
        <w:rPr>
          <w:b w:val="0"/>
          <w:sz w:val="22"/>
        </w:rPr>
        <w:t>→ Bài này VẪN NẰM TRONG SR (được mô tả định tính trong bảng Study Characteristics), nhưng KHÔNG gộp vào meta-analysis vì không có con số (mean, SD, n) tại post-test để tính effect size Hedges g.</w:t>
      </w:r>
    </w:p>
    <w:p/>
    <w:p>
      <w:pPr>
        <w:pStyle w:val="Heading1"/>
      </w:pPr>
      <w:r>
        <w:rPr>
          <w:color w:val="1F497D"/>
        </w:rPr>
        <w:t>4. Ghi nhớ nhanh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2EFDA"/>
          </w:tcPr>
          <w:p>
            <w:r>
              <w:rPr>
                <w:b/>
                <w:color w:val="1F497D"/>
                <w:sz w:val="24"/>
              </w:rPr>
              <w:t xml:space="preserve">SR = 22 bài: </w:t>
            </w:r>
            <w:r>
              <w:t>Mô tả tổng quan định tính (ai, đâu, làm gì, đo gì)</w:t>
            </w:r>
          </w:p>
        </w:tc>
      </w:tr>
      <w:tr>
        <w:tc>
          <w:tcPr>
            <w:tcW w:type="dxa" w:w="8640"/>
            <w:shd w:fill="E2EFDA"/>
          </w:tcPr>
          <w:p>
            <w:r>
              <w:rPr>
                <w:b/>
                <w:color w:val="1F497D"/>
                <w:sz w:val="24"/>
              </w:rPr>
              <w:t xml:space="preserve">MA = 21 bài: </w:t>
            </w:r>
            <w:r>
              <w:t>Chỉ những bài có ĐỦ số liệu post-assessment để tính effect size g</w:t>
            </w:r>
          </w:p>
        </w:tc>
      </w:tr>
      <w:tr>
        <w:tc>
          <w:tcPr>
            <w:tcW w:type="dxa" w:w="8640"/>
            <w:shd w:fill="FFF2CC"/>
          </w:tcPr>
          <w:p>
            <w:r>
              <w:rPr>
                <w:b/>
                <w:color w:val="1F497D"/>
                <w:sz w:val="24"/>
              </w:rPr>
              <w:t xml:space="preserve">Lý do SR &gt; MA: </w:t>
            </w:r>
            <w:r>
              <w:t>THIẾU DỮ LIỆU OUTCOME tại thời điểm post-test — đây là lý do thường gặp nhất khi số bài SR nhiều hơn MA 1-2 bài</w:t>
            </w:r>
          </w:p>
        </w:tc>
      </w:tr>
    </w:tbl>
    <w:p/>
    <w:p>
      <w:pPr>
        <w:pStyle w:val="Heading1"/>
      </w:pPr>
      <w:r>
        <w:rPr>
          <w:color w:val="C0504D"/>
        </w:rPr>
        <w:t>5. Bài học mở rộng — Khi nào cần lưu ý SR ≠ MA?</w:t>
      </w:r>
    </w:p>
    <w:p>
      <w:r>
        <w:rPr>
          <w:b/>
          <w:color w:val="C0504D"/>
        </w:rPr>
        <w:t xml:space="preserve">• Chênh lệch 1-2 bài (SR &gt; MA): </w:t>
      </w:r>
      <w:r>
        <w:t>BÌNH THƯỜNG. Thường do 1-2 bài thiếu số liệu post-test. Walder 2025 (22 vs 21) là ví dụ điển hình.</w:t>
      </w:r>
    </w:p>
    <w:p>
      <w:r>
        <w:rPr>
          <w:b/>
          <w:color w:val="C0504D"/>
        </w:rPr>
        <w:t xml:space="preserve">• Chênh lệch ≥ 5 bài: </w:t>
      </w:r>
      <w:r>
        <w:t>CẦN ĐỌC KỸ PRISMA flow. Có thể reviewer loại bỏ thêm theo tiêu chí methodological (risk of bias cao, heterogeneity, outlier).</w:t>
      </w:r>
    </w:p>
    <w:p>
      <w:r>
        <w:rPr>
          <w:b/>
          <w:color w:val="C0504D"/>
        </w:rPr>
        <w:t xml:space="preserve">• SR không có MA: </w:t>
      </w:r>
      <w:r>
        <w:t>Xảy ra khi heterogeneity quá cao (I² &gt; 90%) hoặc các bài dùng thang đo quá khác nhau không pool được. Khi đó chỉ tổng quan định tính.</w:t>
      </w:r>
    </w:p>
    <w:p>
      <w:r>
        <w:rPr>
          <w:b/>
          <w:color w:val="C0504D"/>
        </w:rPr>
        <w:t xml:space="preserve">• MA &gt; SR (nghịch lý): </w:t>
      </w:r>
      <w:r>
        <w:t>KHÔNG THỂ. MA luôn là tập con của SR. Nếu thấy paper ghi ngược lại → lỗi báo cáo hoặc nghi ngờ methodology.</w:t>
      </w:r>
    </w:p>
    <w:p/>
    <w:p>
      <w:pPr>
        <w:pStyle w:val="Heading1"/>
      </w:pPr>
      <w:r>
        <w:rPr>
          <w:color w:val="1F497D"/>
        </w:rPr>
        <w:t>Tài liệu tham khảo</w:t>
      </w:r>
    </w:p>
    <w:p>
      <w:pPr>
        <w:pStyle w:val="ListNumber"/>
      </w:pPr>
      <w:r>
        <w:rPr>
          <w:sz w:val="20"/>
        </w:rPr>
        <w:t>Walder N, Frey A, Berger T, et al. (2025). Digital mental health interventions for prevention and treatment of social anxiety disorder in children, adolescents and young adults: Systematic review and meta-analysis. Journal of Medical Internet Research. DOI: 10.2196/preprints.67067.</w:t>
      </w:r>
    </w:p>
    <w:p>
      <w:pPr>
        <w:pStyle w:val="ListNumber"/>
      </w:pPr>
      <w:r>
        <w:rPr>
          <w:sz w:val="20"/>
        </w:rPr>
        <w:t>Page MJ, McKenzie JE, Bossuyt PM, et al. (2021). The PRISMA 2020 statement: an updated guideline for reporting systematic reviews. BMJ, 372:n71.</w:t>
      </w:r>
    </w:p>
    <w:p>
      <w:pPr>
        <w:pStyle w:val="ListNumber"/>
      </w:pPr>
      <w:r>
        <w:rPr>
          <w:sz w:val="20"/>
        </w:rPr>
        <w:t>Richardson WS, Wilson MC, Nishikawa J, Hayward RS (1995). The well-built clinical question: a key to evidence-based decisions. ACP Journal Club, 123(3):A12-3. [PICOS framework]</w:t>
      </w:r>
    </w:p>
    <w:p>
      <w:pPr>
        <w:pStyle w:val="ListNumber"/>
      </w:pPr>
      <w:r>
        <w:rPr>
          <w:sz w:val="20"/>
        </w:rPr>
        <w:t>Cochrane Handbook for Systematic Reviews of Interventions, v6.4 (2023), Chapter 6.</w:t>
      </w:r>
    </w:p>
    <w:p/>
    <w:p>
      <w:r>
        <w:rPr>
          <w:i/>
          <w:color w:val="808080"/>
          <w:sz w:val="18"/>
        </w:rPr>
        <w:t>Biên soạn: 20/04/2026 | Mọi số liệu đã verify trực tiếp từ PDF QT040 bản gốc.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