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SEM (STRUCTURAL EQUATION MODELING) LÀ GÌ?</w:t>
        <w:br/>
        <w:t>β CHUẨN HÓA, FIT INDICES, VÀ ỨNG DỤNG</w:t>
        <w:br/>
        <w:t>CHO LUẬN ÁN LO ÂU HỌC SINH THCS</w:t>
        <w:br/>
        <w:t>— Giải thích chi tiết theo CHƯƠNG 3 luận án —</w:t>
      </w:r>
    </w:p>
    <w:p>
      <w:pPr>
        <w:ind w:firstLine="567"/>
        <w:jc w:val="both"/>
      </w:pPr>
      <w:r>
        <w:rPr>
          <w:b w:val="0"/>
          <w:i w:val="0"/>
          <w:color w:val="000000"/>
          <w:sz w:val="24"/>
        </w:rPr>
      </w:r>
    </w:p>
    <w:p>
      <w:r>
        <w:rPr>
          <w:b/>
          <w:color w:val="1F497D"/>
          <w:sz w:val="26"/>
        </w:rPr>
        <w:t>1. SEM là gì?</w:t>
      </w:r>
    </w:p>
    <w:p>
      <w:pPr>
        <w:jc w:val="both"/>
      </w:pPr>
      <w:r>
        <w:rPr>
          <w:b w:val="0"/>
          <w:i w:val="0"/>
          <w:color w:val="000000"/>
          <w:sz w:val="24"/>
        </w:rPr>
        <w:t>SEM (Structural Equation Modeling — mô hình phương trình cấu trúc) là khung phân tích thống kê đa biến CỘNG HỢP giữa hai kỹ thuật cổ điển: (1) phân tích nhân tố khẳng định (Confirmatory Factor Analysis — CFA) cho biến tiềm ẩn (latent variables), và (2) hồi quy đường dẫn (path analysis) cho mối quan hệ giữa các biến. Nói cách khác, SEM cho phép kiểm định ĐỒNG THỜI nhiều mối quan hệ giữa các biến tiềm ẩn và biến quan sát.</w:t>
      </w:r>
    </w:p>
    <w:p>
      <w:pPr>
        <w:jc w:val="both"/>
      </w:pPr>
      <w:r>
        <w:rPr>
          <w:b/>
          <w:i w:val="0"/>
          <w:color w:val="000000"/>
          <w:sz w:val="24"/>
        </w:rPr>
        <w:t>SEM khác gì với hồi quy bội (multiple regression)?</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Đặc điểm</w:t>
            </w:r>
          </w:p>
        </w:tc>
        <w:tc>
          <w:tcPr>
            <w:tcW w:type="dxa" w:w="3230"/>
          </w:tcPr>
          <w:p>
            <w:r>
              <w:rPr>
                <w:rFonts w:ascii="Times New Roman" w:hAnsi="Times New Roman"/>
                <w:sz w:val="20"/>
              </w:rPr>
              <w:t>Hồi quy bội cổ điển</w:t>
            </w:r>
          </w:p>
        </w:tc>
        <w:tc>
          <w:tcPr>
            <w:tcW w:type="dxa" w:w="3230"/>
          </w:tcPr>
          <w:p>
            <w:r>
              <w:rPr>
                <w:rFonts w:ascii="Times New Roman" w:hAnsi="Times New Roman"/>
                <w:sz w:val="20"/>
              </w:rPr>
              <w:t>SEM</w:t>
            </w:r>
          </w:p>
        </w:tc>
      </w:tr>
      <w:tr>
        <w:tc>
          <w:tcPr>
            <w:tcW w:type="dxa" w:w="3230"/>
          </w:tcPr>
          <w:p>
            <w:r>
              <w:rPr>
                <w:rFonts w:ascii="Times New Roman" w:hAnsi="Times New Roman"/>
                <w:sz w:val="20"/>
              </w:rPr>
              <w:t>Số biến phụ thuộc</w:t>
            </w:r>
          </w:p>
        </w:tc>
        <w:tc>
          <w:tcPr>
            <w:tcW w:type="dxa" w:w="3230"/>
          </w:tcPr>
          <w:p>
            <w:r>
              <w:rPr>
                <w:rFonts w:ascii="Times New Roman" w:hAnsi="Times New Roman"/>
                <w:sz w:val="20"/>
              </w:rPr>
              <w:t>1</w:t>
            </w:r>
          </w:p>
        </w:tc>
        <w:tc>
          <w:tcPr>
            <w:tcW w:type="dxa" w:w="3230"/>
          </w:tcPr>
          <w:p>
            <w:r>
              <w:rPr>
                <w:rFonts w:ascii="Times New Roman" w:hAnsi="Times New Roman"/>
                <w:sz w:val="20"/>
              </w:rPr>
              <w:t>Có thể nhiều (hệ thống đường dẫn)</w:t>
            </w:r>
          </w:p>
        </w:tc>
      </w:tr>
      <w:tr>
        <w:tc>
          <w:tcPr>
            <w:tcW w:type="dxa" w:w="3230"/>
          </w:tcPr>
          <w:p>
            <w:r>
              <w:rPr>
                <w:rFonts w:ascii="Times New Roman" w:hAnsi="Times New Roman"/>
                <w:sz w:val="20"/>
              </w:rPr>
              <w:t>Biến tiềm ẩn</w:t>
            </w:r>
          </w:p>
        </w:tc>
        <w:tc>
          <w:tcPr>
            <w:tcW w:type="dxa" w:w="3230"/>
          </w:tcPr>
          <w:p>
            <w:r>
              <w:rPr>
                <w:rFonts w:ascii="Times New Roman" w:hAnsi="Times New Roman"/>
                <w:sz w:val="20"/>
              </w:rPr>
              <w:t>Không hỗ trợ</w:t>
            </w:r>
          </w:p>
        </w:tc>
        <w:tc>
          <w:tcPr>
            <w:tcW w:type="dxa" w:w="3230"/>
          </w:tcPr>
          <w:p>
            <w:r>
              <w:rPr>
                <w:rFonts w:ascii="Times New Roman" w:hAnsi="Times New Roman"/>
                <w:sz w:val="20"/>
              </w:rPr>
              <w:t>Có (latent variables)</w:t>
            </w:r>
          </w:p>
        </w:tc>
      </w:tr>
      <w:tr>
        <w:tc>
          <w:tcPr>
            <w:tcW w:type="dxa" w:w="3230"/>
          </w:tcPr>
          <w:p>
            <w:r>
              <w:rPr>
                <w:rFonts w:ascii="Times New Roman" w:hAnsi="Times New Roman"/>
                <w:sz w:val="20"/>
              </w:rPr>
              <w:t>Sai số đo (measurement error)</w:t>
            </w:r>
          </w:p>
        </w:tc>
        <w:tc>
          <w:tcPr>
            <w:tcW w:type="dxa" w:w="3230"/>
          </w:tcPr>
          <w:p>
            <w:r>
              <w:rPr>
                <w:rFonts w:ascii="Times New Roman" w:hAnsi="Times New Roman"/>
                <w:sz w:val="20"/>
              </w:rPr>
              <w:t>Bỏ qua — giả định đo chính xác</w:t>
            </w:r>
          </w:p>
        </w:tc>
        <w:tc>
          <w:tcPr>
            <w:tcW w:type="dxa" w:w="3230"/>
          </w:tcPr>
          <w:p>
            <w:r>
              <w:rPr>
                <w:rFonts w:ascii="Times New Roman" w:hAnsi="Times New Roman"/>
                <w:sz w:val="20"/>
              </w:rPr>
              <w:t>Mô hình hóa rõ ràng</w:t>
            </w:r>
          </w:p>
        </w:tc>
      </w:tr>
      <w:tr>
        <w:tc>
          <w:tcPr>
            <w:tcW w:type="dxa" w:w="3230"/>
          </w:tcPr>
          <w:p>
            <w:r>
              <w:rPr>
                <w:rFonts w:ascii="Times New Roman" w:hAnsi="Times New Roman"/>
                <w:sz w:val="20"/>
              </w:rPr>
              <w:t>Trung gian + điều tiết</w:t>
            </w:r>
          </w:p>
        </w:tc>
        <w:tc>
          <w:tcPr>
            <w:tcW w:type="dxa" w:w="3230"/>
          </w:tcPr>
          <w:p>
            <w:r>
              <w:rPr>
                <w:rFonts w:ascii="Times New Roman" w:hAnsi="Times New Roman"/>
                <w:sz w:val="20"/>
              </w:rPr>
              <w:t>Cần phân tích bước</w:t>
            </w:r>
          </w:p>
        </w:tc>
        <w:tc>
          <w:tcPr>
            <w:tcW w:type="dxa" w:w="3230"/>
          </w:tcPr>
          <w:p>
            <w:r>
              <w:rPr>
                <w:rFonts w:ascii="Times New Roman" w:hAnsi="Times New Roman"/>
                <w:sz w:val="20"/>
              </w:rPr>
              <w:t>Trực tiếp trong một mô hình</w:t>
            </w:r>
          </w:p>
        </w:tc>
      </w:tr>
      <w:tr>
        <w:tc>
          <w:tcPr>
            <w:tcW w:type="dxa" w:w="3230"/>
          </w:tcPr>
          <w:p>
            <w:r>
              <w:rPr>
                <w:rFonts w:ascii="Times New Roman" w:hAnsi="Times New Roman"/>
                <w:sz w:val="20"/>
              </w:rPr>
              <w:t>Đánh giá mô hình</w:t>
            </w:r>
          </w:p>
        </w:tc>
        <w:tc>
          <w:tcPr>
            <w:tcW w:type="dxa" w:w="3230"/>
          </w:tcPr>
          <w:p>
            <w:r>
              <w:rPr>
                <w:rFonts w:ascii="Times New Roman" w:hAnsi="Times New Roman"/>
                <w:sz w:val="20"/>
              </w:rPr>
              <w:t>R², F-test, residuals</w:t>
            </w:r>
          </w:p>
        </w:tc>
        <w:tc>
          <w:tcPr>
            <w:tcW w:type="dxa" w:w="3230"/>
          </w:tcPr>
          <w:p>
            <w:r>
              <w:rPr>
                <w:rFonts w:ascii="Times New Roman" w:hAnsi="Times New Roman"/>
                <w:sz w:val="20"/>
              </w:rPr>
              <w:t>CFI, TLI, RMSEA, SRMR, χ²/df + R²</w:t>
            </w:r>
          </w:p>
        </w:tc>
      </w:tr>
      <w:tr>
        <w:tc>
          <w:tcPr>
            <w:tcW w:type="dxa" w:w="3230"/>
          </w:tcPr>
          <w:p>
            <w:r>
              <w:rPr>
                <w:rFonts w:ascii="Times New Roman" w:hAnsi="Times New Roman"/>
                <w:sz w:val="20"/>
              </w:rPr>
              <w:t>Cỡ mẫu khuyến nghị</w:t>
            </w:r>
          </w:p>
        </w:tc>
        <w:tc>
          <w:tcPr>
            <w:tcW w:type="dxa" w:w="3230"/>
          </w:tcPr>
          <w:p>
            <w:r>
              <w:rPr>
                <w:rFonts w:ascii="Times New Roman" w:hAnsi="Times New Roman"/>
                <w:sz w:val="20"/>
              </w:rPr>
              <w:t>~10–20 obs/biến</w:t>
            </w:r>
          </w:p>
        </w:tc>
        <w:tc>
          <w:tcPr>
            <w:tcW w:type="dxa" w:w="3230"/>
          </w:tcPr>
          <w:p>
            <w:r>
              <w:rPr>
                <w:rFonts w:ascii="Times New Roman" w:hAnsi="Times New Roman"/>
                <w:sz w:val="20"/>
              </w:rPr>
              <w:t>Tối thiểu n = 200; tốt n ≥ 400</w:t>
            </w:r>
          </w:p>
        </w:tc>
      </w:tr>
    </w:tbl>
    <w:p>
      <w:pPr>
        <w:ind w:firstLine="567"/>
        <w:jc w:val="both"/>
      </w:pPr>
      <w:r>
        <w:rPr>
          <w:b w:val="0"/>
          <w:i w:val="0"/>
          <w:color w:val="000000"/>
          <w:sz w:val="24"/>
        </w:rPr>
      </w:r>
    </w:p>
    <w:p>
      <w:pPr>
        <w:ind w:firstLine="567"/>
        <w:jc w:val="both"/>
      </w:pPr>
      <w:r>
        <w:rPr>
          <w:b w:val="0"/>
          <w:i w:val="0"/>
          <w:color w:val="000000"/>
          <w:sz w:val="24"/>
        </w:rPr>
        <w:t>Khi nào DÙNG SEM thay vì hồi quy bội? Bốn trường hợp:</w:t>
      </w:r>
    </w:p>
    <w:p>
      <w:pPr>
        <w:jc w:val="both"/>
      </w:pPr>
      <w:r>
        <w:rPr>
          <w:b w:val="0"/>
          <w:i w:val="0"/>
          <w:color w:val="000000"/>
          <w:sz w:val="24"/>
        </w:rPr>
        <w:t>1. Có biến tiềm ẩn — đo bằng nhiều mục (ví dụ "lo âu" đo bằng 7 mục GAD-7).</w:t>
        <w:br/>
        <w:t>2. Cần kiểm định trung gian (mediation) hoặc điều tiết (moderation) trong cùng mô hình.</w:t>
        <w:br/>
        <w:t>3. Có nhiều biến phụ thuộc đồng thời (ví dụ ALHT → RLLATQ + RLLAXH + RLLAC).</w:t>
        <w:br/>
        <w:t>4. Cần kiểm định MÔ HÌNH lý thuyết tổng thể, không chỉ từng mối quan hệ riêng lẻ.</w:t>
      </w:r>
    </w:p>
    <w:p>
      <w:r>
        <w:rPr>
          <w:b/>
          <w:color w:val="1F497D"/>
          <w:sz w:val="26"/>
        </w:rPr>
        <w:t>2. β chuẩn hóa (standardized) vs β chưa chuẩn hóa (unstandardized)</w:t>
      </w:r>
    </w:p>
    <w:p>
      <w:pPr>
        <w:jc w:val="both"/>
      </w:pPr>
      <w:r>
        <w:rPr>
          <w:b w:val="0"/>
          <w:i w:val="0"/>
          <w:color w:val="000000"/>
          <w:sz w:val="24"/>
        </w:rPr>
        <w:t>Trong SEM, mỗi đường ảnh hưởng (path) được biểu diễn bằng MỘT hệ số. Hệ số có thể ở hai dạng — mang ý nghĩa khác nhau.</w:t>
      </w:r>
    </w:p>
    <w:p>
      <w:pPr>
        <w:jc w:val="center"/>
      </w:pPr>
      <w:r>
        <w:rPr>
          <w:b/>
          <w:sz w:val="22"/>
        </w:rPr>
        <w:t>Bảng 1. So sánh β chuẩn hóa và chưa chuẩn hóa</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Đặc điểm</w:t>
            </w:r>
          </w:p>
        </w:tc>
        <w:tc>
          <w:tcPr>
            <w:tcW w:type="dxa" w:w="3230"/>
          </w:tcPr>
          <w:p>
            <w:r>
              <w:rPr>
                <w:rFonts w:ascii="Times New Roman" w:hAnsi="Times New Roman"/>
                <w:sz w:val="20"/>
              </w:rPr>
              <w:t>β chưa chuẩn hóa (B)</w:t>
            </w:r>
          </w:p>
        </w:tc>
        <w:tc>
          <w:tcPr>
            <w:tcW w:type="dxa" w:w="3230"/>
          </w:tcPr>
          <w:p>
            <w:r>
              <w:rPr>
                <w:rFonts w:ascii="Times New Roman" w:hAnsi="Times New Roman"/>
                <w:sz w:val="20"/>
              </w:rPr>
              <w:t>β chuẩn hóa (β)</w:t>
            </w:r>
          </w:p>
        </w:tc>
      </w:tr>
      <w:tr>
        <w:tc>
          <w:tcPr>
            <w:tcW w:type="dxa" w:w="3230"/>
          </w:tcPr>
          <w:p>
            <w:r>
              <w:rPr>
                <w:rFonts w:ascii="Times New Roman" w:hAnsi="Times New Roman"/>
                <w:sz w:val="20"/>
              </w:rPr>
              <w:t>Đơn vị</w:t>
            </w:r>
          </w:p>
        </w:tc>
        <w:tc>
          <w:tcPr>
            <w:tcW w:type="dxa" w:w="3230"/>
          </w:tcPr>
          <w:p>
            <w:r>
              <w:rPr>
                <w:rFonts w:ascii="Times New Roman" w:hAnsi="Times New Roman"/>
                <w:sz w:val="20"/>
              </w:rPr>
              <w:t>Đơn vị gốc của X và Y</w:t>
            </w:r>
          </w:p>
        </w:tc>
        <w:tc>
          <w:tcPr>
            <w:tcW w:type="dxa" w:w="3230"/>
          </w:tcPr>
          <w:p>
            <w:r>
              <w:rPr>
                <w:rFonts w:ascii="Times New Roman" w:hAnsi="Times New Roman"/>
                <w:sz w:val="20"/>
              </w:rPr>
              <w:t>Không có đơn vị (unitless)</w:t>
            </w:r>
          </w:p>
        </w:tc>
      </w:tr>
      <w:tr>
        <w:tc>
          <w:tcPr>
            <w:tcW w:type="dxa" w:w="3230"/>
          </w:tcPr>
          <w:p>
            <w:r>
              <w:rPr>
                <w:rFonts w:ascii="Times New Roman" w:hAnsi="Times New Roman"/>
                <w:sz w:val="20"/>
              </w:rPr>
              <w:t>Diễn giải</w:t>
            </w:r>
          </w:p>
        </w:tc>
        <w:tc>
          <w:tcPr>
            <w:tcW w:type="dxa" w:w="3230"/>
          </w:tcPr>
          <w:p>
            <w:r>
              <w:rPr>
                <w:rFonts w:ascii="Times New Roman" w:hAnsi="Times New Roman"/>
                <w:sz w:val="20"/>
              </w:rPr>
              <w:t>X tăng 1 đơn vị → Y tăng B đơn vị</w:t>
            </w:r>
          </w:p>
        </w:tc>
        <w:tc>
          <w:tcPr>
            <w:tcW w:type="dxa" w:w="3230"/>
          </w:tcPr>
          <w:p>
            <w:r>
              <w:rPr>
                <w:rFonts w:ascii="Times New Roman" w:hAnsi="Times New Roman"/>
                <w:sz w:val="20"/>
              </w:rPr>
              <w:t>X tăng 1 SD → Y tăng β SD</w:t>
            </w:r>
          </w:p>
        </w:tc>
      </w:tr>
      <w:tr>
        <w:tc>
          <w:tcPr>
            <w:tcW w:type="dxa" w:w="3230"/>
          </w:tcPr>
          <w:p>
            <w:r>
              <w:rPr>
                <w:rFonts w:ascii="Times New Roman" w:hAnsi="Times New Roman"/>
                <w:sz w:val="20"/>
              </w:rPr>
              <w:t>Khoảng giá trị</w:t>
            </w:r>
          </w:p>
        </w:tc>
        <w:tc>
          <w:tcPr>
            <w:tcW w:type="dxa" w:w="3230"/>
          </w:tcPr>
          <w:p>
            <w:r>
              <w:rPr>
                <w:rFonts w:ascii="Times New Roman" w:hAnsi="Times New Roman"/>
                <w:sz w:val="20"/>
              </w:rPr>
              <w:t>Không giới hạn</w:t>
            </w:r>
          </w:p>
        </w:tc>
        <w:tc>
          <w:tcPr>
            <w:tcW w:type="dxa" w:w="3230"/>
          </w:tcPr>
          <w:p>
            <w:r>
              <w:rPr>
                <w:rFonts w:ascii="Times New Roman" w:hAnsi="Times New Roman"/>
                <w:sz w:val="20"/>
              </w:rPr>
              <w:t>Thường trong khoảng −1 đến 1 (mô hình đơn)</w:t>
            </w:r>
          </w:p>
        </w:tc>
      </w:tr>
      <w:tr>
        <w:tc>
          <w:tcPr>
            <w:tcW w:type="dxa" w:w="3230"/>
          </w:tcPr>
          <w:p>
            <w:r>
              <w:rPr>
                <w:rFonts w:ascii="Times New Roman" w:hAnsi="Times New Roman"/>
                <w:sz w:val="20"/>
              </w:rPr>
              <w:t>So sánh giữa biến</w:t>
            </w:r>
          </w:p>
        </w:tc>
        <w:tc>
          <w:tcPr>
            <w:tcW w:type="dxa" w:w="3230"/>
          </w:tcPr>
          <w:p>
            <w:r>
              <w:rPr>
                <w:rFonts w:ascii="Times New Roman" w:hAnsi="Times New Roman"/>
                <w:sz w:val="20"/>
              </w:rPr>
              <w:t>KHÔNG so sánh được (đơn vị khác)</w:t>
            </w:r>
          </w:p>
        </w:tc>
        <w:tc>
          <w:tcPr>
            <w:tcW w:type="dxa" w:w="3230"/>
          </w:tcPr>
          <w:p>
            <w:r>
              <w:rPr>
                <w:rFonts w:ascii="Times New Roman" w:hAnsi="Times New Roman"/>
                <w:sz w:val="20"/>
              </w:rPr>
              <w:t>SO SÁNH được (cùng đơn vị SD)</w:t>
            </w:r>
          </w:p>
        </w:tc>
      </w:tr>
      <w:tr>
        <w:tc>
          <w:tcPr>
            <w:tcW w:type="dxa" w:w="3230"/>
          </w:tcPr>
          <w:p>
            <w:r>
              <w:rPr>
                <w:rFonts w:ascii="Times New Roman" w:hAnsi="Times New Roman"/>
                <w:sz w:val="20"/>
              </w:rPr>
              <w:t>Công thức quy đổi</w:t>
            </w:r>
          </w:p>
        </w:tc>
        <w:tc>
          <w:tcPr>
            <w:tcW w:type="dxa" w:w="3230"/>
          </w:tcPr>
          <w:p>
            <w:r>
              <w:rPr>
                <w:rFonts w:ascii="Times New Roman" w:hAnsi="Times New Roman"/>
                <w:sz w:val="20"/>
              </w:rPr>
              <w:t>B</w:t>
            </w:r>
          </w:p>
        </w:tc>
        <w:tc>
          <w:tcPr>
            <w:tcW w:type="dxa" w:w="3230"/>
          </w:tcPr>
          <w:p>
            <w:r>
              <w:rPr>
                <w:rFonts w:ascii="Times New Roman" w:hAnsi="Times New Roman"/>
                <w:sz w:val="20"/>
              </w:rPr>
              <w:t>β = B × (SD_X / SD_Y)</w:t>
            </w:r>
          </w:p>
        </w:tc>
      </w:tr>
      <w:tr>
        <w:tc>
          <w:tcPr>
            <w:tcW w:type="dxa" w:w="3230"/>
          </w:tcPr>
          <w:p>
            <w:r>
              <w:rPr>
                <w:rFonts w:ascii="Times New Roman" w:hAnsi="Times New Roman"/>
                <w:sz w:val="20"/>
              </w:rPr>
              <w:t>Khi báo cáo</w:t>
            </w:r>
          </w:p>
        </w:tc>
        <w:tc>
          <w:tcPr>
            <w:tcW w:type="dxa" w:w="3230"/>
          </w:tcPr>
          <w:p>
            <w:r>
              <w:rPr>
                <w:rFonts w:ascii="Times New Roman" w:hAnsi="Times New Roman"/>
                <w:sz w:val="20"/>
              </w:rPr>
              <w:t>Cho dự đoán cụ thể</w:t>
            </w:r>
          </w:p>
        </w:tc>
        <w:tc>
          <w:tcPr>
            <w:tcW w:type="dxa" w:w="3230"/>
          </w:tcPr>
          <w:p>
            <w:r>
              <w:rPr>
                <w:rFonts w:ascii="Times New Roman" w:hAnsi="Times New Roman"/>
                <w:sz w:val="20"/>
              </w:rPr>
              <w:t>Cho so sánh cường độ tác động</w:t>
            </w:r>
          </w:p>
        </w:tc>
      </w:tr>
    </w:tbl>
    <w:p>
      <w:pPr>
        <w:ind w:firstLine="567"/>
        <w:jc w:val="both"/>
      </w:pPr>
      <w:r>
        <w:rPr>
          <w:b w:val="0"/>
          <w:i w:val="0"/>
          <w:color w:val="000000"/>
          <w:sz w:val="24"/>
        </w:rPr>
      </w:r>
    </w:p>
    <w:p>
      <w:pPr>
        <w:ind w:firstLine="567"/>
        <w:jc w:val="both"/>
      </w:pPr>
      <w:r>
        <w:rPr>
          <w:b w:val="0"/>
          <w:i w:val="0"/>
          <w:color w:val="000000"/>
          <w:sz w:val="24"/>
        </w:rPr>
        <w:t>Trong báo cáo khoa học, ƯU TIÊN báo cáo β chuẩn hóa khi muốn SO SÁNH cường độ tác động giữa các biến. Khi cần dự đoán thực tế (ví dụ "tăng 10 phút screen time → tăng X điểm GAD-7"), báo cáo thêm β chưa chuẩn hóa.</w:t>
      </w:r>
    </w:p>
    <w:p>
      <w:pPr>
        <w:jc w:val="both"/>
      </w:pPr>
      <w:r>
        <w:rPr>
          <w:b/>
          <w:i w:val="0"/>
          <w:color w:val="000000"/>
          <w:sz w:val="24"/>
        </w:rPr>
        <w:t>Ví dụ áp dụng cho chương 3 luận án:</w:t>
      </w:r>
    </w:p>
    <w:p>
      <w:pPr>
        <w:ind w:firstLine="567"/>
        <w:jc w:val="both"/>
      </w:pPr>
      <w:r>
        <w:rPr>
          <w:b w:val="0"/>
          <w:i w:val="0"/>
          <w:color w:val="000000"/>
          <w:sz w:val="24"/>
        </w:rPr>
        <w:t>Báo cáo "β = 0,510" của áp lực học tập với lo âu tổng quát nghĩa là: khi áp lực học tập TĂNG 1 độ lệch chuẩn (SD), điểm lo âu tổng quát TĂNG 0,510 SD — sau khi kiểm soát các biến đồng biến trong mô hình. Vì β = 0,510 &gt; 0,4 và lớn hơn các β khác trong mô hình → áp lực học tập là yếu tố MẠNH NHẤT.</w:t>
      </w:r>
    </w:p>
    <w:p>
      <w:pPr>
        <w:ind w:firstLine="567"/>
        <w:jc w:val="both"/>
      </w:pPr>
      <w:r>
        <w:rPr>
          <w:b w:val="0"/>
          <w:i w:val="0"/>
          <w:color w:val="000000"/>
          <w:sz w:val="24"/>
        </w:rPr>
        <w:t>Khi so sánh với β = −0,455 của lòng tự trọng: |0,455| / |0,510| = 0,89 → tự trọng có cường độ NGANG BẰNG ~89% áp lực học tập — do hai hệ số ở cùng đơn vị SD, có thể so sánh trực tiếp.</w:t>
      </w:r>
    </w:p>
    <w:p>
      <w:r>
        <w:rPr>
          <w:b/>
          <w:color w:val="1F497D"/>
          <w:sz w:val="26"/>
        </w:rPr>
        <w:t>3. Fit indices — đánh giá mô hình SEM phù hợp với dữ liệu</w:t>
      </w:r>
    </w:p>
    <w:p>
      <w:pPr>
        <w:jc w:val="both"/>
      </w:pPr>
      <w:r>
        <w:rPr>
          <w:b w:val="0"/>
          <w:i w:val="0"/>
          <w:color w:val="000000"/>
          <w:sz w:val="24"/>
        </w:rPr>
        <w:t>Sau khi ước lượng SEM, cần kiểm tra mô hình có PHÙ HỢP với dữ liệu thực không. Các chỉ số phổ biến — chuẩn vàng theo Hu và Bentler (1999) trong Structural Equation Modeling tập 6 số 1 trang 1–55 (DOI: 10.1080/10705519909540118):</w:t>
      </w:r>
    </w:p>
    <w:p>
      <w:pPr>
        <w:jc w:val="center"/>
      </w:pPr>
      <w:r>
        <w:rPr>
          <w:b/>
          <w:sz w:val="22"/>
        </w:rPr>
        <w:t>Bảng 2. Chỉ số fit và ngưỡng theo Hu &amp; Bentler (1999)</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Chỉ số</w:t>
            </w:r>
          </w:p>
        </w:tc>
        <w:tc>
          <w:tcPr>
            <w:tcW w:type="dxa" w:w="2422"/>
          </w:tcPr>
          <w:p>
            <w:r>
              <w:rPr>
                <w:rFonts w:ascii="Times New Roman" w:hAnsi="Times New Roman"/>
                <w:sz w:val="20"/>
              </w:rPr>
              <w:t>Tên đầy đủ</w:t>
            </w:r>
          </w:p>
        </w:tc>
        <w:tc>
          <w:tcPr>
            <w:tcW w:type="dxa" w:w="2422"/>
          </w:tcPr>
          <w:p>
            <w:r>
              <w:rPr>
                <w:rFonts w:ascii="Times New Roman" w:hAnsi="Times New Roman"/>
                <w:sz w:val="20"/>
              </w:rPr>
              <w:t>Ngưỡng "good fit"</w:t>
            </w:r>
          </w:p>
        </w:tc>
        <w:tc>
          <w:tcPr>
            <w:tcW w:type="dxa" w:w="2422"/>
          </w:tcPr>
          <w:p>
            <w:r>
              <w:rPr>
                <w:rFonts w:ascii="Times New Roman" w:hAnsi="Times New Roman"/>
                <w:sz w:val="20"/>
              </w:rPr>
              <w:t>Ngưỡng "acceptable"</w:t>
            </w:r>
          </w:p>
        </w:tc>
      </w:tr>
      <w:tr>
        <w:tc>
          <w:tcPr>
            <w:tcW w:type="dxa" w:w="2422"/>
          </w:tcPr>
          <w:p>
            <w:r>
              <w:rPr>
                <w:rFonts w:ascii="Times New Roman" w:hAnsi="Times New Roman"/>
                <w:sz w:val="20"/>
              </w:rPr>
              <w:t>CFI</w:t>
            </w:r>
          </w:p>
        </w:tc>
        <w:tc>
          <w:tcPr>
            <w:tcW w:type="dxa" w:w="2422"/>
          </w:tcPr>
          <w:p>
            <w:r>
              <w:rPr>
                <w:rFonts w:ascii="Times New Roman" w:hAnsi="Times New Roman"/>
                <w:sz w:val="20"/>
              </w:rPr>
              <w:t>Comparative Fit Index</w:t>
            </w:r>
          </w:p>
        </w:tc>
        <w:tc>
          <w:tcPr>
            <w:tcW w:type="dxa" w:w="2422"/>
          </w:tcPr>
          <w:p>
            <w:r>
              <w:rPr>
                <w:rFonts w:ascii="Times New Roman" w:hAnsi="Times New Roman"/>
                <w:sz w:val="20"/>
              </w:rPr>
              <w:t>≥ 0,95</w:t>
            </w:r>
          </w:p>
        </w:tc>
        <w:tc>
          <w:tcPr>
            <w:tcW w:type="dxa" w:w="2422"/>
          </w:tcPr>
          <w:p>
            <w:r>
              <w:rPr>
                <w:rFonts w:ascii="Times New Roman" w:hAnsi="Times New Roman"/>
                <w:sz w:val="20"/>
              </w:rPr>
              <w:t>≥ 0,90</w:t>
            </w:r>
          </w:p>
        </w:tc>
      </w:tr>
      <w:tr>
        <w:tc>
          <w:tcPr>
            <w:tcW w:type="dxa" w:w="2422"/>
          </w:tcPr>
          <w:p>
            <w:r>
              <w:rPr>
                <w:rFonts w:ascii="Times New Roman" w:hAnsi="Times New Roman"/>
                <w:sz w:val="20"/>
              </w:rPr>
              <w:t>TLI</w:t>
            </w:r>
          </w:p>
        </w:tc>
        <w:tc>
          <w:tcPr>
            <w:tcW w:type="dxa" w:w="2422"/>
          </w:tcPr>
          <w:p>
            <w:r>
              <w:rPr>
                <w:rFonts w:ascii="Times New Roman" w:hAnsi="Times New Roman"/>
                <w:sz w:val="20"/>
              </w:rPr>
              <w:t>Tucker-Lewis Index (NNFI)</w:t>
            </w:r>
          </w:p>
        </w:tc>
        <w:tc>
          <w:tcPr>
            <w:tcW w:type="dxa" w:w="2422"/>
          </w:tcPr>
          <w:p>
            <w:r>
              <w:rPr>
                <w:rFonts w:ascii="Times New Roman" w:hAnsi="Times New Roman"/>
                <w:sz w:val="20"/>
              </w:rPr>
              <w:t>≥ 0,95</w:t>
            </w:r>
          </w:p>
        </w:tc>
        <w:tc>
          <w:tcPr>
            <w:tcW w:type="dxa" w:w="2422"/>
          </w:tcPr>
          <w:p>
            <w:r>
              <w:rPr>
                <w:rFonts w:ascii="Times New Roman" w:hAnsi="Times New Roman"/>
                <w:sz w:val="20"/>
              </w:rPr>
              <w:t>≥ 0,90</w:t>
            </w:r>
          </w:p>
        </w:tc>
      </w:tr>
      <w:tr>
        <w:tc>
          <w:tcPr>
            <w:tcW w:type="dxa" w:w="2422"/>
          </w:tcPr>
          <w:p>
            <w:r>
              <w:rPr>
                <w:rFonts w:ascii="Times New Roman" w:hAnsi="Times New Roman"/>
                <w:sz w:val="20"/>
              </w:rPr>
              <w:t>RMSEA</w:t>
            </w:r>
          </w:p>
        </w:tc>
        <w:tc>
          <w:tcPr>
            <w:tcW w:type="dxa" w:w="2422"/>
          </w:tcPr>
          <w:p>
            <w:r>
              <w:rPr>
                <w:rFonts w:ascii="Times New Roman" w:hAnsi="Times New Roman"/>
                <w:sz w:val="20"/>
              </w:rPr>
              <w:t>Root Mean Square Error of Approximation</w:t>
            </w:r>
          </w:p>
        </w:tc>
        <w:tc>
          <w:tcPr>
            <w:tcW w:type="dxa" w:w="2422"/>
          </w:tcPr>
          <w:p>
            <w:r>
              <w:rPr>
                <w:rFonts w:ascii="Times New Roman" w:hAnsi="Times New Roman"/>
                <w:sz w:val="20"/>
              </w:rPr>
              <w:t>≤ 0,06</w:t>
            </w:r>
          </w:p>
        </w:tc>
        <w:tc>
          <w:tcPr>
            <w:tcW w:type="dxa" w:w="2422"/>
          </w:tcPr>
          <w:p>
            <w:r>
              <w:rPr>
                <w:rFonts w:ascii="Times New Roman" w:hAnsi="Times New Roman"/>
                <w:sz w:val="20"/>
              </w:rPr>
              <w:t>≤ 0,08</w:t>
            </w:r>
          </w:p>
        </w:tc>
      </w:tr>
      <w:tr>
        <w:tc>
          <w:tcPr>
            <w:tcW w:type="dxa" w:w="2422"/>
          </w:tcPr>
          <w:p>
            <w:r>
              <w:rPr>
                <w:rFonts w:ascii="Times New Roman" w:hAnsi="Times New Roman"/>
                <w:sz w:val="20"/>
              </w:rPr>
              <w:t>SRMR</w:t>
            </w:r>
          </w:p>
        </w:tc>
        <w:tc>
          <w:tcPr>
            <w:tcW w:type="dxa" w:w="2422"/>
          </w:tcPr>
          <w:p>
            <w:r>
              <w:rPr>
                <w:rFonts w:ascii="Times New Roman" w:hAnsi="Times New Roman"/>
                <w:sz w:val="20"/>
              </w:rPr>
              <w:t>Standardized Root Mean Square Residual</w:t>
            </w:r>
          </w:p>
        </w:tc>
        <w:tc>
          <w:tcPr>
            <w:tcW w:type="dxa" w:w="2422"/>
          </w:tcPr>
          <w:p>
            <w:r>
              <w:rPr>
                <w:rFonts w:ascii="Times New Roman" w:hAnsi="Times New Roman"/>
                <w:sz w:val="20"/>
              </w:rPr>
              <w:t>≤ 0,08</w:t>
            </w:r>
          </w:p>
        </w:tc>
        <w:tc>
          <w:tcPr>
            <w:tcW w:type="dxa" w:w="2422"/>
          </w:tcPr>
          <w:p>
            <w:r>
              <w:rPr>
                <w:rFonts w:ascii="Times New Roman" w:hAnsi="Times New Roman"/>
                <w:sz w:val="20"/>
              </w:rPr>
              <w:t>≤ 0,10</w:t>
            </w:r>
          </w:p>
        </w:tc>
      </w:tr>
      <w:tr>
        <w:tc>
          <w:tcPr>
            <w:tcW w:type="dxa" w:w="2422"/>
          </w:tcPr>
          <w:p>
            <w:r>
              <w:rPr>
                <w:rFonts w:ascii="Times New Roman" w:hAnsi="Times New Roman"/>
                <w:sz w:val="20"/>
              </w:rPr>
              <w:t>χ²/df</w:t>
            </w:r>
          </w:p>
        </w:tc>
        <w:tc>
          <w:tcPr>
            <w:tcW w:type="dxa" w:w="2422"/>
          </w:tcPr>
          <w:p>
            <w:r>
              <w:rPr>
                <w:rFonts w:ascii="Times New Roman" w:hAnsi="Times New Roman"/>
                <w:sz w:val="20"/>
              </w:rPr>
              <w:t>Chi-square / degrees of freedom</w:t>
            </w:r>
          </w:p>
        </w:tc>
        <w:tc>
          <w:tcPr>
            <w:tcW w:type="dxa" w:w="2422"/>
          </w:tcPr>
          <w:p>
            <w:r>
              <w:rPr>
                <w:rFonts w:ascii="Times New Roman" w:hAnsi="Times New Roman"/>
                <w:sz w:val="20"/>
              </w:rPr>
              <w:t>&lt; 3</w:t>
            </w:r>
          </w:p>
        </w:tc>
        <w:tc>
          <w:tcPr>
            <w:tcW w:type="dxa" w:w="2422"/>
          </w:tcPr>
          <w:p>
            <w:r>
              <w:rPr>
                <w:rFonts w:ascii="Times New Roman" w:hAnsi="Times New Roman"/>
                <w:sz w:val="20"/>
              </w:rPr>
              <w:t>&lt; 5</w:t>
            </w:r>
          </w:p>
        </w:tc>
      </w:tr>
      <w:tr>
        <w:tc>
          <w:tcPr>
            <w:tcW w:type="dxa" w:w="2422"/>
          </w:tcPr>
          <w:p>
            <w:r>
              <w:rPr>
                <w:rFonts w:ascii="Times New Roman" w:hAnsi="Times New Roman"/>
                <w:sz w:val="20"/>
              </w:rPr>
              <w:t>χ² (Chi-square)</w:t>
            </w:r>
          </w:p>
        </w:tc>
        <w:tc>
          <w:tcPr>
            <w:tcW w:type="dxa" w:w="2422"/>
          </w:tcPr>
          <w:p>
            <w:r>
              <w:rPr>
                <w:rFonts w:ascii="Times New Roman" w:hAnsi="Times New Roman"/>
                <w:sz w:val="20"/>
              </w:rPr>
              <w:t>p-value</w:t>
            </w:r>
          </w:p>
        </w:tc>
        <w:tc>
          <w:tcPr>
            <w:tcW w:type="dxa" w:w="2422"/>
          </w:tcPr>
          <w:p>
            <w:r>
              <w:rPr>
                <w:rFonts w:ascii="Times New Roman" w:hAnsi="Times New Roman"/>
                <w:sz w:val="20"/>
              </w:rPr>
              <w:t>p &gt; 0,05 (mô hình không bị bác)</w:t>
            </w:r>
          </w:p>
        </w:tc>
        <w:tc>
          <w:tcPr>
            <w:tcW w:type="dxa" w:w="2422"/>
          </w:tcPr>
          <w:p>
            <w:r>
              <w:rPr>
                <w:rFonts w:ascii="Times New Roman" w:hAnsi="Times New Roman"/>
                <w:sz w:val="20"/>
              </w:rPr>
              <w:t>Nhạy cảm với cỡ mẫu lớn</w:t>
            </w:r>
          </w:p>
        </w:tc>
      </w:tr>
    </w:tbl>
    <w:p>
      <w:pPr>
        <w:ind w:firstLine="567"/>
        <w:jc w:val="both"/>
      </w:pPr>
      <w:r>
        <w:rPr>
          <w:b w:val="0"/>
          <w:i w:val="0"/>
          <w:color w:val="000000"/>
          <w:sz w:val="24"/>
        </w:rPr>
      </w:r>
    </w:p>
    <w:p>
      <w:pPr>
        <w:ind w:firstLine="567"/>
        <w:jc w:val="both"/>
      </w:pPr>
      <w:r>
        <w:rPr>
          <w:b w:val="0"/>
          <w:i w:val="0"/>
          <w:color w:val="000000"/>
          <w:sz w:val="24"/>
        </w:rPr>
        <w:t>Hu và Bentler (1999) khuyến nghị PHỐI HỢP HAI chỉ số (two-index presentation strategy) để giảm Type I và Type II errors: CFI ≥ 0,95 KẾT HỢP với SRMR ≤ 0,08 hoặc CFI ≥ 0,95 KẾT HỢP với RMSEA ≤ 0,06.</w:t>
      </w:r>
    </w:p>
    <w:p>
      <w:pPr>
        <w:jc w:val="both"/>
      </w:pPr>
      <w:r>
        <w:rPr>
          <w:b/>
          <w:i w:val="0"/>
          <w:color w:val="000000"/>
          <w:sz w:val="24"/>
        </w:rPr>
        <w:t>Lưu ý quan trọng:</w:t>
      </w:r>
    </w:p>
    <w:p>
      <w:pPr>
        <w:jc w:val="both"/>
      </w:pPr>
      <w:r>
        <w:rPr>
          <w:b w:val="0"/>
          <w:i w:val="0"/>
          <w:color w:val="000000"/>
          <w:sz w:val="24"/>
        </w:rPr>
        <w:t>• χ² test rất NHẠY với cỡ mẫu — với n = 1.352 như chương 3 luận án, χ² gần như luôn có ý nghĩa thống kê (p &lt; 0,05). KHÔNG nên dựa vào χ² đơn lẻ.</w:t>
        <w:br/>
        <w:t>• KTC 90% của RMSEA quan trọng — phải chứa ngưỡng 0,05 để kết luận "good fit".</w:t>
        <w:br/>
        <w:t>• RMSEA và TLI có XU HƯỚNG over-reject mô hình đúng khi cỡ mẫu nhỏ.</w:t>
      </w:r>
    </w:p>
    <w:p>
      <w:pPr>
        <w:jc w:val="both"/>
      </w:pPr>
      <w:r>
        <w:rPr>
          <w:b/>
          <w:i w:val="0"/>
          <w:color w:val="000000"/>
          <w:sz w:val="24"/>
        </w:rPr>
        <w:t>Áp dụng cho chương 3 luận án:</w:t>
      </w:r>
    </w:p>
    <w:p>
      <w:pPr>
        <w:ind w:firstLine="567"/>
        <w:jc w:val="both"/>
      </w:pPr>
      <w:r>
        <w:rPr>
          <w:b w:val="0"/>
          <w:i w:val="0"/>
          <w:color w:val="000000"/>
          <w:sz w:val="24"/>
        </w:rPr>
        <w:t>Mô hình YTNC riêng (chỉ áp lực học tập + biện pháp đối phó + ...) đạt CFI &gt; 0,99 và KTC 90% RMSEA chứa ngưỡng 0,05 — mô hình PHÙ HỢP TỐT theo Hu &amp; Bentler (1999). Mô hình tích hợp YTNC + YTBV cũng đạt fit indices tốt; R² = 0,598 thuộc "effect size lớn" theo Cohen (1988).</w:t>
      </w:r>
    </w:p>
    <w:p>
      <w:r>
        <w:rPr>
          <w:b/>
          <w:color w:val="1F497D"/>
          <w:sz w:val="26"/>
        </w:rPr>
        <w:t>4. Trung gian (mediation) và điều tiết (moderation) trong SEM</w:t>
      </w:r>
    </w:p>
    <w:p>
      <w:pPr>
        <w:jc w:val="both"/>
      </w:pPr>
      <w:r>
        <w:rPr>
          <w:b w:val="0"/>
          <w:i w:val="0"/>
          <w:color w:val="000000"/>
          <w:sz w:val="24"/>
        </w:rPr>
        <w:t>Hai khái niệm thường gây nhầm lẫn nhưng KHÁC NHAU về bản chất.</w:t>
      </w:r>
    </w:p>
    <w:p>
      <w:pPr>
        <w:jc w:val="center"/>
      </w:pPr>
      <w:r>
        <w:rPr>
          <w:b/>
          <w:sz w:val="22"/>
        </w:rPr>
        <w:t>Bảng 3. So sánh trung gian và điều tiết</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Đặc điểm</w:t>
            </w:r>
          </w:p>
        </w:tc>
        <w:tc>
          <w:tcPr>
            <w:tcW w:type="dxa" w:w="3230"/>
          </w:tcPr>
          <w:p>
            <w:r>
              <w:rPr>
                <w:rFonts w:ascii="Times New Roman" w:hAnsi="Times New Roman"/>
                <w:sz w:val="20"/>
              </w:rPr>
              <w:t>Mediation (trung gian)</w:t>
            </w:r>
          </w:p>
        </w:tc>
        <w:tc>
          <w:tcPr>
            <w:tcW w:type="dxa" w:w="3230"/>
          </w:tcPr>
          <w:p>
            <w:r>
              <w:rPr>
                <w:rFonts w:ascii="Times New Roman" w:hAnsi="Times New Roman"/>
                <w:sz w:val="20"/>
              </w:rPr>
              <w:t>Moderation (điều tiết)</w:t>
            </w:r>
          </w:p>
        </w:tc>
      </w:tr>
      <w:tr>
        <w:tc>
          <w:tcPr>
            <w:tcW w:type="dxa" w:w="3230"/>
          </w:tcPr>
          <w:p>
            <w:r>
              <w:rPr>
                <w:rFonts w:ascii="Times New Roman" w:hAnsi="Times New Roman"/>
                <w:sz w:val="20"/>
              </w:rPr>
              <w:t>Câu hỏi</w:t>
            </w:r>
          </w:p>
        </w:tc>
        <w:tc>
          <w:tcPr>
            <w:tcW w:type="dxa" w:w="3230"/>
          </w:tcPr>
          <w:p>
            <w:r>
              <w:rPr>
                <w:rFonts w:ascii="Times New Roman" w:hAnsi="Times New Roman"/>
                <w:sz w:val="20"/>
              </w:rPr>
              <w:t>X tác động Y QUA M như thế nào?</w:t>
            </w:r>
          </w:p>
        </w:tc>
        <w:tc>
          <w:tcPr>
            <w:tcW w:type="dxa" w:w="3230"/>
          </w:tcPr>
          <w:p>
            <w:r>
              <w:rPr>
                <w:rFonts w:ascii="Times New Roman" w:hAnsi="Times New Roman"/>
                <w:sz w:val="20"/>
              </w:rPr>
              <w:t>X tác động Y MẠNH HƠN khi Z thế nào?</w:t>
            </w:r>
          </w:p>
        </w:tc>
      </w:tr>
      <w:tr>
        <w:tc>
          <w:tcPr>
            <w:tcW w:type="dxa" w:w="3230"/>
          </w:tcPr>
          <w:p>
            <w:r>
              <w:rPr>
                <w:rFonts w:ascii="Times New Roman" w:hAnsi="Times New Roman"/>
                <w:sz w:val="20"/>
              </w:rPr>
              <w:t>Cấu trúc</w:t>
            </w:r>
          </w:p>
        </w:tc>
        <w:tc>
          <w:tcPr>
            <w:tcW w:type="dxa" w:w="3230"/>
          </w:tcPr>
          <w:p>
            <w:r>
              <w:rPr>
                <w:rFonts w:ascii="Times New Roman" w:hAnsi="Times New Roman"/>
                <w:sz w:val="20"/>
              </w:rPr>
              <w:t>X → M → Y (chuỗi)</w:t>
            </w:r>
          </w:p>
        </w:tc>
        <w:tc>
          <w:tcPr>
            <w:tcW w:type="dxa" w:w="3230"/>
          </w:tcPr>
          <w:p>
            <w:r>
              <w:rPr>
                <w:rFonts w:ascii="Times New Roman" w:hAnsi="Times New Roman"/>
                <w:sz w:val="20"/>
              </w:rPr>
              <w:t>X × Z → Y (tương tác)</w:t>
            </w:r>
          </w:p>
        </w:tc>
      </w:tr>
      <w:tr>
        <w:tc>
          <w:tcPr>
            <w:tcW w:type="dxa" w:w="3230"/>
          </w:tcPr>
          <w:p>
            <w:r>
              <w:rPr>
                <w:rFonts w:ascii="Times New Roman" w:hAnsi="Times New Roman"/>
                <w:sz w:val="20"/>
              </w:rPr>
              <w:t>Kiểm định</w:t>
            </w:r>
          </w:p>
        </w:tc>
        <w:tc>
          <w:tcPr>
            <w:tcW w:type="dxa" w:w="3230"/>
          </w:tcPr>
          <w:p>
            <w:r>
              <w:rPr>
                <w:rFonts w:ascii="Times New Roman" w:hAnsi="Times New Roman"/>
                <w:sz w:val="20"/>
              </w:rPr>
              <w:t>Tác động gián tiếp (a × b)</w:t>
            </w:r>
          </w:p>
        </w:tc>
        <w:tc>
          <w:tcPr>
            <w:tcW w:type="dxa" w:w="3230"/>
          </w:tcPr>
          <w:p>
            <w:r>
              <w:rPr>
                <w:rFonts w:ascii="Times New Roman" w:hAnsi="Times New Roman"/>
                <w:sz w:val="20"/>
              </w:rPr>
              <w:t>Hệ số tương tác có ý nghĩa</w:t>
            </w:r>
          </w:p>
        </w:tc>
      </w:tr>
      <w:tr>
        <w:tc>
          <w:tcPr>
            <w:tcW w:type="dxa" w:w="3230"/>
          </w:tcPr>
          <w:p>
            <w:r>
              <w:rPr>
                <w:rFonts w:ascii="Times New Roman" w:hAnsi="Times New Roman"/>
                <w:sz w:val="20"/>
              </w:rPr>
              <w:t>Phương pháp</w:t>
            </w:r>
          </w:p>
        </w:tc>
        <w:tc>
          <w:tcPr>
            <w:tcW w:type="dxa" w:w="3230"/>
          </w:tcPr>
          <w:p>
            <w:r>
              <w:rPr>
                <w:rFonts w:ascii="Times New Roman" w:hAnsi="Times New Roman"/>
                <w:sz w:val="20"/>
              </w:rPr>
              <w:t>Bootstrap KTC 95% cho a×b</w:t>
            </w:r>
          </w:p>
        </w:tc>
        <w:tc>
          <w:tcPr>
            <w:tcW w:type="dxa" w:w="3230"/>
          </w:tcPr>
          <w:p>
            <w:r>
              <w:rPr>
                <w:rFonts w:ascii="Times New Roman" w:hAnsi="Times New Roman"/>
                <w:sz w:val="20"/>
              </w:rPr>
              <w:t>Hồi quy với biến tích X×Z</w:t>
            </w:r>
          </w:p>
        </w:tc>
      </w:tr>
      <w:tr>
        <w:tc>
          <w:tcPr>
            <w:tcW w:type="dxa" w:w="3230"/>
          </w:tcPr>
          <w:p>
            <w:r>
              <w:rPr>
                <w:rFonts w:ascii="Times New Roman" w:hAnsi="Times New Roman"/>
                <w:sz w:val="20"/>
              </w:rPr>
              <w:t>Ví dụ luận án</w:t>
            </w:r>
          </w:p>
        </w:tc>
        <w:tc>
          <w:tcPr>
            <w:tcW w:type="dxa" w:w="3230"/>
          </w:tcPr>
          <w:p>
            <w:r>
              <w:rPr>
                <w:rFonts w:ascii="Times New Roman" w:hAnsi="Times New Roman"/>
                <w:sz w:val="20"/>
              </w:rPr>
              <w:t>Áp lực HT → giấc ngủ → lo âu</w:t>
            </w:r>
          </w:p>
        </w:tc>
        <w:tc>
          <w:tcPr>
            <w:tcW w:type="dxa" w:w="3230"/>
          </w:tcPr>
          <w:p>
            <w:r>
              <w:rPr>
                <w:rFonts w:ascii="Times New Roman" w:hAnsi="Times New Roman"/>
                <w:sz w:val="20"/>
              </w:rPr>
              <w:t>Áp lực HT × giới tính → lo âu</w:t>
            </w:r>
          </w:p>
        </w:tc>
      </w:tr>
    </w:tbl>
    <w:p>
      <w:pPr>
        <w:ind w:firstLine="567"/>
        <w:jc w:val="both"/>
      </w:pPr>
      <w:r>
        <w:rPr>
          <w:b w:val="0"/>
          <w:i w:val="0"/>
          <w:color w:val="000000"/>
          <w:sz w:val="24"/>
        </w:rPr>
      </w:r>
    </w:p>
    <w:p>
      <w:pPr>
        <w:jc w:val="both"/>
      </w:pPr>
      <w:r>
        <w:rPr>
          <w:b/>
          <w:i w:val="0"/>
          <w:color w:val="000000"/>
          <w:sz w:val="24"/>
        </w:rPr>
        <w:t>Ví dụ áp dụng từ Zheng &amp; Peng (2025) — QT041:</w:t>
      </w:r>
    </w:p>
    <w:p>
      <w:pPr>
        <w:ind w:firstLine="567"/>
        <w:jc w:val="both"/>
      </w:pPr>
      <w:r>
        <w:rPr>
          <w:b w:val="0"/>
          <w:i w:val="0"/>
          <w:color w:val="000000"/>
          <w:sz w:val="24"/>
        </w:rPr>
        <w:t>Mô hình mediation: Mạng xã hội (X) → Self-efficacy (M) → Lo âu (Y). Tổng tác động = 0,415 (r). Tác động gián tiếp qua self-efficacy = 63,13% × 0,415 ≈ 0,262. Tác động trực tiếp = 0,153 (β). Phù hợp với mô hình "phần lớn tác động của MXH lên lo âu là GIÁN TIẾP qua giảm self-efficacy".</w:t>
      </w:r>
    </w:p>
    <w:p>
      <w:r>
        <w:rPr>
          <w:b/>
          <w:color w:val="1F497D"/>
          <w:sz w:val="26"/>
        </w:rPr>
        <w:t>5. Cỡ mẫu cần cho SEM</w:t>
      </w:r>
    </w:p>
    <w:p>
      <w:pPr>
        <w:jc w:val="both"/>
      </w:pPr>
      <w:r>
        <w:rPr>
          <w:b w:val="0"/>
          <w:i w:val="0"/>
          <w:color w:val="000000"/>
          <w:sz w:val="24"/>
        </w:rPr>
        <w:t>Câu hỏi thường gặp: cỡ mẫu tối thiểu cho SEM là bao nhiêu?</w:t>
      </w:r>
    </w:p>
    <w:p>
      <w:pPr>
        <w:jc w:val="center"/>
      </w:pPr>
      <w:r>
        <w:rPr>
          <w:b/>
          <w:sz w:val="22"/>
        </w:rPr>
        <w:t>Bảng 4. Khuyến nghị cỡ mẫu cho SEM (Kline, 2015)</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Cỡ mẫu</w:t>
            </w:r>
          </w:p>
        </w:tc>
        <w:tc>
          <w:tcPr>
            <w:tcW w:type="dxa" w:w="3230"/>
          </w:tcPr>
          <w:p>
            <w:r>
              <w:rPr>
                <w:rFonts w:ascii="Times New Roman" w:hAnsi="Times New Roman"/>
                <w:sz w:val="20"/>
              </w:rPr>
              <w:t>Đánh giá</w:t>
            </w:r>
          </w:p>
        </w:tc>
        <w:tc>
          <w:tcPr>
            <w:tcW w:type="dxa" w:w="3230"/>
          </w:tcPr>
          <w:p>
            <w:r>
              <w:rPr>
                <w:rFonts w:ascii="Times New Roman" w:hAnsi="Times New Roman"/>
                <w:sz w:val="20"/>
              </w:rPr>
              <w:t>Tình huống áp dụng</w:t>
            </w:r>
          </w:p>
        </w:tc>
      </w:tr>
      <w:tr>
        <w:tc>
          <w:tcPr>
            <w:tcW w:type="dxa" w:w="3230"/>
          </w:tcPr>
          <w:p>
            <w:r>
              <w:rPr>
                <w:rFonts w:ascii="Times New Roman" w:hAnsi="Times New Roman"/>
                <w:sz w:val="20"/>
              </w:rPr>
              <w:t>n &lt; 100</w:t>
            </w:r>
          </w:p>
        </w:tc>
        <w:tc>
          <w:tcPr>
            <w:tcW w:type="dxa" w:w="3230"/>
          </w:tcPr>
          <w:p>
            <w:r>
              <w:rPr>
                <w:rFonts w:ascii="Times New Roman" w:hAnsi="Times New Roman"/>
                <w:sz w:val="20"/>
              </w:rPr>
              <w:t>Quá nhỏ</w:t>
            </w:r>
          </w:p>
        </w:tc>
        <w:tc>
          <w:tcPr>
            <w:tcW w:type="dxa" w:w="3230"/>
          </w:tcPr>
          <w:p>
            <w:r>
              <w:rPr>
                <w:rFonts w:ascii="Times New Roman" w:hAnsi="Times New Roman"/>
                <w:sz w:val="20"/>
              </w:rPr>
              <w:t>Không đủ cho SEM thông thường</w:t>
            </w:r>
          </w:p>
        </w:tc>
      </w:tr>
      <w:tr>
        <w:tc>
          <w:tcPr>
            <w:tcW w:type="dxa" w:w="3230"/>
          </w:tcPr>
          <w:p>
            <w:r>
              <w:rPr>
                <w:rFonts w:ascii="Times New Roman" w:hAnsi="Times New Roman"/>
                <w:sz w:val="20"/>
              </w:rPr>
              <w:t>n = 100–200</w:t>
            </w:r>
          </w:p>
        </w:tc>
        <w:tc>
          <w:tcPr>
            <w:tcW w:type="dxa" w:w="3230"/>
          </w:tcPr>
          <w:p>
            <w:r>
              <w:rPr>
                <w:rFonts w:ascii="Times New Roman" w:hAnsi="Times New Roman"/>
                <w:sz w:val="20"/>
              </w:rPr>
              <w:t>Nhỏ</w:t>
            </w:r>
          </w:p>
        </w:tc>
        <w:tc>
          <w:tcPr>
            <w:tcW w:type="dxa" w:w="3230"/>
          </w:tcPr>
          <w:p>
            <w:r>
              <w:rPr>
                <w:rFonts w:ascii="Times New Roman" w:hAnsi="Times New Roman"/>
                <w:sz w:val="20"/>
              </w:rPr>
              <w:t>Mô hình đơn giản (≤ 3 latent var)</w:t>
            </w:r>
          </w:p>
        </w:tc>
      </w:tr>
      <w:tr>
        <w:tc>
          <w:tcPr>
            <w:tcW w:type="dxa" w:w="3230"/>
          </w:tcPr>
          <w:p>
            <w:r>
              <w:rPr>
                <w:rFonts w:ascii="Times New Roman" w:hAnsi="Times New Roman"/>
                <w:sz w:val="20"/>
              </w:rPr>
              <w:t>n = 200–400</w:t>
            </w:r>
          </w:p>
        </w:tc>
        <w:tc>
          <w:tcPr>
            <w:tcW w:type="dxa" w:w="3230"/>
          </w:tcPr>
          <w:p>
            <w:r>
              <w:rPr>
                <w:rFonts w:ascii="Times New Roman" w:hAnsi="Times New Roman"/>
                <w:sz w:val="20"/>
              </w:rPr>
              <w:t>Trung bình</w:t>
            </w:r>
          </w:p>
        </w:tc>
        <w:tc>
          <w:tcPr>
            <w:tcW w:type="dxa" w:w="3230"/>
          </w:tcPr>
          <w:p>
            <w:r>
              <w:rPr>
                <w:rFonts w:ascii="Times New Roman" w:hAnsi="Times New Roman"/>
                <w:sz w:val="20"/>
              </w:rPr>
              <w:t>Mô hình trung bình (3–6 latent var)</w:t>
            </w:r>
          </w:p>
        </w:tc>
      </w:tr>
      <w:tr>
        <w:tc>
          <w:tcPr>
            <w:tcW w:type="dxa" w:w="3230"/>
          </w:tcPr>
          <w:p>
            <w:r>
              <w:rPr>
                <w:rFonts w:ascii="Times New Roman" w:hAnsi="Times New Roman"/>
                <w:sz w:val="20"/>
              </w:rPr>
              <w:t>n ≥ 400</w:t>
            </w:r>
          </w:p>
        </w:tc>
        <w:tc>
          <w:tcPr>
            <w:tcW w:type="dxa" w:w="3230"/>
          </w:tcPr>
          <w:p>
            <w:r>
              <w:rPr>
                <w:rFonts w:ascii="Times New Roman" w:hAnsi="Times New Roman"/>
                <w:sz w:val="20"/>
              </w:rPr>
              <w:t>Lớn</w:t>
            </w:r>
          </w:p>
        </w:tc>
        <w:tc>
          <w:tcPr>
            <w:tcW w:type="dxa" w:w="3230"/>
          </w:tcPr>
          <w:p>
            <w:r>
              <w:rPr>
                <w:rFonts w:ascii="Times New Roman" w:hAnsi="Times New Roman"/>
                <w:sz w:val="20"/>
              </w:rPr>
              <w:t>Mô hình phức tạp với nhiều biến tiềm ẩn</w:t>
            </w:r>
          </w:p>
        </w:tc>
      </w:tr>
      <w:tr>
        <w:tc>
          <w:tcPr>
            <w:tcW w:type="dxa" w:w="3230"/>
          </w:tcPr>
          <w:p>
            <w:r>
              <w:rPr>
                <w:rFonts w:ascii="Times New Roman" w:hAnsi="Times New Roman"/>
                <w:sz w:val="20"/>
              </w:rPr>
              <w:t>n ≥ 1.000</w:t>
            </w:r>
          </w:p>
        </w:tc>
        <w:tc>
          <w:tcPr>
            <w:tcW w:type="dxa" w:w="3230"/>
          </w:tcPr>
          <w:p>
            <w:r>
              <w:rPr>
                <w:rFonts w:ascii="Times New Roman" w:hAnsi="Times New Roman"/>
                <w:sz w:val="20"/>
              </w:rPr>
              <w:t>Rất lớn</w:t>
            </w:r>
          </w:p>
        </w:tc>
        <w:tc>
          <w:tcPr>
            <w:tcW w:type="dxa" w:w="3230"/>
          </w:tcPr>
          <w:p>
            <w:r>
              <w:rPr>
                <w:rFonts w:ascii="Times New Roman" w:hAnsi="Times New Roman"/>
                <w:sz w:val="20"/>
              </w:rPr>
              <w:t>Mô hình rất phức tạp + multi-group</w:t>
            </w:r>
          </w:p>
        </w:tc>
      </w:tr>
    </w:tbl>
    <w:p>
      <w:pPr>
        <w:ind w:firstLine="567"/>
        <w:jc w:val="both"/>
      </w:pPr>
      <w:r>
        <w:rPr>
          <w:b w:val="0"/>
          <w:i w:val="0"/>
          <w:color w:val="000000"/>
          <w:sz w:val="24"/>
        </w:rPr>
      </w:r>
    </w:p>
    <w:p>
      <w:pPr>
        <w:ind w:firstLine="567"/>
        <w:jc w:val="both"/>
      </w:pPr>
      <w:r>
        <w:rPr>
          <w:b w:val="0"/>
          <w:i w:val="0"/>
          <w:color w:val="000000"/>
          <w:sz w:val="24"/>
        </w:rPr>
        <w:t>Quy tắc N:q ratio (Bentler &amp; Chou, 1987): tỷ lệ cỡ mẫu trên số tham số ước lượng tối thiểu 5:1, lý tưởng 10:1. Ví dụ mô hình ước lượng 50 tham số → cần n ≥ 250 (tối thiểu) hoặc n ≥ 500 (lý tưởng).</w:t>
      </w:r>
    </w:p>
    <w:p>
      <w:pPr>
        <w:ind w:firstLine="567"/>
        <w:jc w:val="both"/>
      </w:pPr>
      <w:r>
        <w:rPr>
          <w:b w:val="0"/>
          <w:i w:val="0"/>
          <w:color w:val="000000"/>
          <w:sz w:val="24"/>
        </w:rPr>
        <w:t>Áp dụng cho chương 3 luận án: n = 1.352 — RẤT LỚN, vượt ngưỡng cho mô hình SEM phức tạp 6 biến tiềm ẩn (3 dạng RLLA + ALHT + TTr + BPĐP). Cỡ mẫu này cho phép kiểm định mô hình tích hợp YTNC + YTBV với độ tin cậy cao.</w:t>
      </w:r>
    </w:p>
    <w:p>
      <w:r>
        <w:rPr>
          <w:b/>
          <w:color w:val="1F497D"/>
          <w:sz w:val="26"/>
        </w:rPr>
        <w:t>6. Ứng dụng SEM trong chương 3 luận án</w:t>
      </w:r>
    </w:p>
    <w:p>
      <w:pPr>
        <w:jc w:val="both"/>
      </w:pPr>
      <w:r>
        <w:rPr>
          <w:b w:val="0"/>
          <w:i w:val="0"/>
          <w:color w:val="000000"/>
          <w:sz w:val="24"/>
        </w:rPr>
        <w:t>Chương 3 luận án sử dụng SEM theo bốn lớp mô hình.</w:t>
      </w:r>
    </w:p>
    <w:p>
      <w:pPr>
        <w:ind w:firstLine="567"/>
        <w:jc w:val="both"/>
      </w:pPr>
      <w:r>
        <w:rPr>
          <w:b w:val="0"/>
          <w:i w:val="0"/>
          <w:color w:val="000000"/>
          <w:sz w:val="24"/>
        </w:rPr>
        <w:t>LỚP 1 — Mô hình ALHT → từng dạng RLLA (Bảng 3.24): β = 0,510 (tổng quát), 0,490 (xã hội), p &lt; 0,001. CFI &gt; 0,99 — fit RẤT TỐT.</w:t>
      </w:r>
    </w:p>
    <w:p>
      <w:pPr>
        <w:ind w:firstLine="567"/>
        <w:jc w:val="both"/>
      </w:pPr>
      <w:r>
        <w:rPr>
          <w:b w:val="0"/>
          <w:i w:val="0"/>
          <w:color w:val="000000"/>
          <w:sz w:val="24"/>
        </w:rPr>
        <w:t>LỚP 2 — Mô hình TTr → từng dạng RLLA (Bảng 3.32): β = −0,455 (tổng quát), −0,415 (xã hội), p &lt; 0,001. Tỷ số |β TTr|/|β ALHT| = 0,85–0,89.</w:t>
      </w:r>
    </w:p>
    <w:p>
      <w:pPr>
        <w:ind w:firstLine="567"/>
        <w:jc w:val="both"/>
      </w:pPr>
      <w:r>
        <w:rPr>
          <w:b w:val="0"/>
          <w:i w:val="0"/>
          <w:color w:val="000000"/>
          <w:sz w:val="24"/>
        </w:rPr>
        <w:t>LỚP 3 — Mô hình BPĐP → từng dạng RLLA (Bảng 3.44–3.45): β = 0,749 (tổng quát), 0,670 (xã hội). Cường độ CỰC LỚN nhưng RMSEA cao (0,080–0,204), CFI thấp (0,865–0,911) — mô hình fit CHƯA TỐT. Cần phân tách BPĐP theo Brief-COPE 14 nhân tố (Carver, 1997).</w:t>
      </w:r>
    </w:p>
    <w:p>
      <w:pPr>
        <w:ind w:firstLine="567"/>
        <w:jc w:val="both"/>
      </w:pPr>
      <w:r>
        <w:rPr>
          <w:b w:val="0"/>
          <w:i w:val="0"/>
          <w:color w:val="000000"/>
          <w:sz w:val="24"/>
        </w:rPr>
        <w:t>LỚP 4 — Mô hình tích hợp YTNC + YTBV (Bảng 3.37–3.38): β YTNC tổng = 0,669; β YTBV tổng = 0,220 (sau kiểm soát lẫn nhau). R² = 0,598 — effect size LỚN theo Cohen (1988). Mô hình tích hợp đạt fit indices tốt.</w:t>
      </w:r>
    </w:p>
    <w:p>
      <w:pPr>
        <w:jc w:val="both"/>
      </w:pPr>
      <w:r>
        <w:rPr>
          <w:b/>
          <w:i w:val="0"/>
          <w:color w:val="000000"/>
          <w:sz w:val="24"/>
        </w:rPr>
        <w:t>Cảnh báo về diễn giải:</w:t>
      </w:r>
    </w:p>
    <w:p>
      <w:pPr>
        <w:ind w:firstLine="567"/>
        <w:jc w:val="both"/>
      </w:pPr>
      <w:r>
        <w:rPr>
          <w:b w:val="0"/>
          <w:i w:val="0"/>
          <w:color w:val="000000"/>
          <w:sz w:val="24"/>
        </w:rPr>
        <w:t>Mô hình YTNC riêng có |β| = 0,747 (CFI &gt; 0,99), trong khi mô hình tích hợp YTNC + YTBV cho |β YTNC| = 0,669 — GIẢM nhẹ do YTBV cũng giải thích một phần phương sai. Đây là hiện tượng thông thường khi thêm biến cùng tác động lên outcome — KHÔNG phải lỗi mô hình.</w:t>
      </w:r>
    </w:p>
    <w:p>
      <w:r>
        <w:rPr>
          <w:b/>
          <w:color w:val="1F497D"/>
          <w:sz w:val="26"/>
        </w:rPr>
        <w:t>7. Software phổ biến cho SEM</w:t>
      </w:r>
    </w:p>
    <w:p>
      <w:pPr>
        <w:jc w:val="center"/>
      </w:pPr>
      <w:r>
        <w:rPr>
          <w:b/>
          <w:sz w:val="22"/>
        </w:rPr>
        <w:t>Bảng 5. Lựa chọn software cho SEM</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Software</w:t>
            </w:r>
          </w:p>
        </w:tc>
        <w:tc>
          <w:tcPr>
            <w:tcW w:type="dxa" w:w="2422"/>
          </w:tcPr>
          <w:p>
            <w:r>
              <w:rPr>
                <w:rFonts w:ascii="Times New Roman" w:hAnsi="Times New Roman"/>
                <w:sz w:val="20"/>
              </w:rPr>
              <w:t>Loại</w:t>
            </w:r>
          </w:p>
        </w:tc>
        <w:tc>
          <w:tcPr>
            <w:tcW w:type="dxa" w:w="2422"/>
          </w:tcPr>
          <w:p>
            <w:r>
              <w:rPr>
                <w:rFonts w:ascii="Times New Roman" w:hAnsi="Times New Roman"/>
                <w:sz w:val="20"/>
              </w:rPr>
              <w:t>Ưu</w:t>
            </w:r>
          </w:p>
        </w:tc>
        <w:tc>
          <w:tcPr>
            <w:tcW w:type="dxa" w:w="2422"/>
          </w:tcPr>
          <w:p>
            <w:r>
              <w:rPr>
                <w:rFonts w:ascii="Times New Roman" w:hAnsi="Times New Roman"/>
                <w:sz w:val="20"/>
              </w:rPr>
              <w:t>Nhược</w:t>
            </w:r>
          </w:p>
        </w:tc>
      </w:tr>
      <w:tr>
        <w:tc>
          <w:tcPr>
            <w:tcW w:type="dxa" w:w="2422"/>
          </w:tcPr>
          <w:p>
            <w:r>
              <w:rPr>
                <w:rFonts w:ascii="Times New Roman" w:hAnsi="Times New Roman"/>
                <w:sz w:val="20"/>
              </w:rPr>
              <w:t>lavaan (R)</w:t>
            </w:r>
          </w:p>
        </w:tc>
        <w:tc>
          <w:tcPr>
            <w:tcW w:type="dxa" w:w="2422"/>
          </w:tcPr>
          <w:p>
            <w:r>
              <w:rPr>
                <w:rFonts w:ascii="Times New Roman" w:hAnsi="Times New Roman"/>
                <w:sz w:val="20"/>
              </w:rPr>
              <w:t>Open-source</w:t>
            </w:r>
          </w:p>
        </w:tc>
        <w:tc>
          <w:tcPr>
            <w:tcW w:type="dxa" w:w="2422"/>
          </w:tcPr>
          <w:p>
            <w:r>
              <w:rPr>
                <w:rFonts w:ascii="Times New Roman" w:hAnsi="Times New Roman"/>
                <w:sz w:val="20"/>
              </w:rPr>
              <w:t>Miễn phí, syntax dễ, cộng đồng lớn</w:t>
            </w:r>
          </w:p>
        </w:tc>
        <w:tc>
          <w:tcPr>
            <w:tcW w:type="dxa" w:w="2422"/>
          </w:tcPr>
          <w:p>
            <w:r>
              <w:rPr>
                <w:rFonts w:ascii="Times New Roman" w:hAnsi="Times New Roman"/>
                <w:sz w:val="20"/>
              </w:rPr>
              <w:t>Đường cong học tập với người mới R</w:t>
            </w:r>
          </w:p>
        </w:tc>
      </w:tr>
      <w:tr>
        <w:tc>
          <w:tcPr>
            <w:tcW w:type="dxa" w:w="2422"/>
          </w:tcPr>
          <w:p>
            <w:r>
              <w:rPr>
                <w:rFonts w:ascii="Times New Roman" w:hAnsi="Times New Roman"/>
                <w:sz w:val="20"/>
              </w:rPr>
              <w:t>Mplus</w:t>
            </w:r>
          </w:p>
        </w:tc>
        <w:tc>
          <w:tcPr>
            <w:tcW w:type="dxa" w:w="2422"/>
          </w:tcPr>
          <w:p>
            <w:r>
              <w:rPr>
                <w:rFonts w:ascii="Times New Roman" w:hAnsi="Times New Roman"/>
                <w:sz w:val="20"/>
              </w:rPr>
              <w:t>Thương mại</w:t>
            </w:r>
          </w:p>
        </w:tc>
        <w:tc>
          <w:tcPr>
            <w:tcW w:type="dxa" w:w="2422"/>
          </w:tcPr>
          <w:p>
            <w:r>
              <w:rPr>
                <w:rFonts w:ascii="Times New Roman" w:hAnsi="Times New Roman"/>
                <w:sz w:val="20"/>
              </w:rPr>
              <w:t>Mạnh nhất cho SEM phức tạp + multi-level</w:t>
            </w:r>
          </w:p>
        </w:tc>
        <w:tc>
          <w:tcPr>
            <w:tcW w:type="dxa" w:w="2422"/>
          </w:tcPr>
          <w:p>
            <w:r>
              <w:rPr>
                <w:rFonts w:ascii="Times New Roman" w:hAnsi="Times New Roman"/>
                <w:sz w:val="20"/>
              </w:rPr>
              <w:t>Đắt (~ $895 cho cá nhân)</w:t>
            </w:r>
          </w:p>
        </w:tc>
      </w:tr>
      <w:tr>
        <w:tc>
          <w:tcPr>
            <w:tcW w:type="dxa" w:w="2422"/>
          </w:tcPr>
          <w:p>
            <w:r>
              <w:rPr>
                <w:rFonts w:ascii="Times New Roman" w:hAnsi="Times New Roman"/>
                <w:sz w:val="20"/>
              </w:rPr>
              <w:t>AMOS (IBM)</w:t>
            </w:r>
          </w:p>
        </w:tc>
        <w:tc>
          <w:tcPr>
            <w:tcW w:type="dxa" w:w="2422"/>
          </w:tcPr>
          <w:p>
            <w:r>
              <w:rPr>
                <w:rFonts w:ascii="Times New Roman" w:hAnsi="Times New Roman"/>
                <w:sz w:val="20"/>
              </w:rPr>
              <w:t>Thương mại</w:t>
            </w:r>
          </w:p>
        </w:tc>
        <w:tc>
          <w:tcPr>
            <w:tcW w:type="dxa" w:w="2422"/>
          </w:tcPr>
          <w:p>
            <w:r>
              <w:rPr>
                <w:rFonts w:ascii="Times New Roman" w:hAnsi="Times New Roman"/>
                <w:sz w:val="20"/>
              </w:rPr>
              <w:t>Giao diện đồ họa thân thiện</w:t>
            </w:r>
          </w:p>
        </w:tc>
        <w:tc>
          <w:tcPr>
            <w:tcW w:type="dxa" w:w="2422"/>
          </w:tcPr>
          <w:p>
            <w:r>
              <w:rPr>
                <w:rFonts w:ascii="Times New Roman" w:hAnsi="Times New Roman"/>
                <w:sz w:val="20"/>
              </w:rPr>
              <w:t>Hạn chế cho mô hình phức tạp</w:t>
            </w:r>
          </w:p>
        </w:tc>
      </w:tr>
      <w:tr>
        <w:tc>
          <w:tcPr>
            <w:tcW w:type="dxa" w:w="2422"/>
          </w:tcPr>
          <w:p>
            <w:r>
              <w:rPr>
                <w:rFonts w:ascii="Times New Roman" w:hAnsi="Times New Roman"/>
                <w:sz w:val="20"/>
              </w:rPr>
              <w:t>SmartPLS</w:t>
            </w:r>
          </w:p>
        </w:tc>
        <w:tc>
          <w:tcPr>
            <w:tcW w:type="dxa" w:w="2422"/>
          </w:tcPr>
          <w:p>
            <w:r>
              <w:rPr>
                <w:rFonts w:ascii="Times New Roman" w:hAnsi="Times New Roman"/>
                <w:sz w:val="20"/>
              </w:rPr>
              <w:t>Thương mại</w:t>
            </w:r>
          </w:p>
        </w:tc>
        <w:tc>
          <w:tcPr>
            <w:tcW w:type="dxa" w:w="2422"/>
          </w:tcPr>
          <w:p>
            <w:r>
              <w:rPr>
                <w:rFonts w:ascii="Times New Roman" w:hAnsi="Times New Roman"/>
                <w:sz w:val="20"/>
              </w:rPr>
              <w:t>PLS-SEM cho mô hình khám phá</w:t>
            </w:r>
          </w:p>
        </w:tc>
        <w:tc>
          <w:tcPr>
            <w:tcW w:type="dxa" w:w="2422"/>
          </w:tcPr>
          <w:p>
            <w:r>
              <w:rPr>
                <w:rFonts w:ascii="Times New Roman" w:hAnsi="Times New Roman"/>
                <w:sz w:val="20"/>
              </w:rPr>
              <w:t>KHÁC SEM truyền thống (CB-SEM)</w:t>
            </w:r>
          </w:p>
        </w:tc>
      </w:tr>
      <w:tr>
        <w:tc>
          <w:tcPr>
            <w:tcW w:type="dxa" w:w="2422"/>
          </w:tcPr>
          <w:p>
            <w:r>
              <w:rPr>
                <w:rFonts w:ascii="Times New Roman" w:hAnsi="Times New Roman"/>
                <w:sz w:val="20"/>
              </w:rPr>
              <w:t>JASP/jamovi</w:t>
            </w:r>
          </w:p>
        </w:tc>
        <w:tc>
          <w:tcPr>
            <w:tcW w:type="dxa" w:w="2422"/>
          </w:tcPr>
          <w:p>
            <w:r>
              <w:rPr>
                <w:rFonts w:ascii="Times New Roman" w:hAnsi="Times New Roman"/>
                <w:sz w:val="20"/>
              </w:rPr>
              <w:t>Open-source</w:t>
            </w:r>
          </w:p>
        </w:tc>
        <w:tc>
          <w:tcPr>
            <w:tcW w:type="dxa" w:w="2422"/>
          </w:tcPr>
          <w:p>
            <w:r>
              <w:rPr>
                <w:rFonts w:ascii="Times New Roman" w:hAnsi="Times New Roman"/>
                <w:sz w:val="20"/>
              </w:rPr>
              <w:t>GUI, miễn phí, dễ học</w:t>
            </w:r>
          </w:p>
        </w:tc>
        <w:tc>
          <w:tcPr>
            <w:tcW w:type="dxa" w:w="2422"/>
          </w:tcPr>
          <w:p>
            <w:r>
              <w:rPr>
                <w:rFonts w:ascii="Times New Roman" w:hAnsi="Times New Roman"/>
                <w:sz w:val="20"/>
              </w:rPr>
              <w:t>Tính năng SEM còn hạn chế</w:t>
            </w:r>
          </w:p>
        </w:tc>
      </w:tr>
    </w:tbl>
    <w:p>
      <w:r>
        <w:rPr>
          <w:b/>
          <w:color w:val="1F497D"/>
          <w:sz w:val="26"/>
        </w:rPr>
        <w:t>8. Năm điểm cần lưu ý khi báo cáo SEM</w:t>
      </w:r>
    </w:p>
    <w:p>
      <w:pPr>
        <w:jc w:val="both"/>
      </w:pPr>
      <w:r>
        <w:rPr>
          <w:b w:val="0"/>
          <w:i w:val="0"/>
          <w:color w:val="000000"/>
          <w:sz w:val="24"/>
        </w:rPr>
        <w:t>Theo APA Style Guide và Boomsma (2000), một báo cáo SEM chuẩn phải có năm thành phần.</w:t>
      </w:r>
    </w:p>
    <w:p>
      <w:pPr>
        <w:ind w:firstLine="567"/>
        <w:jc w:val="both"/>
      </w:pPr>
      <w:r>
        <w:rPr>
          <w:b w:val="0"/>
          <w:i w:val="0"/>
          <w:color w:val="000000"/>
          <w:sz w:val="24"/>
        </w:rPr>
        <w:t>ĐIỂM 1 — Mô hình lý thuyết. Vẽ rõ đường dẫn dự kiến và lý do mỗi đường dựa trên cơ sở lý thuyết. KHÔNG fit data trước rồi mới tìm lý thuyết — vi phạm HARKing (Hypothesizing After Results Known).</w:t>
      </w:r>
    </w:p>
    <w:p>
      <w:pPr>
        <w:ind w:firstLine="567"/>
        <w:jc w:val="both"/>
      </w:pPr>
      <w:r>
        <w:rPr>
          <w:b w:val="0"/>
          <w:i w:val="0"/>
          <w:color w:val="000000"/>
          <w:sz w:val="24"/>
        </w:rPr>
        <w:t>ĐIỂM 2 — Cỡ mẫu và phương pháp ước lượng. Báo cáo n, phương pháp (Maximum Likelihood là chuẩn), xử lý dữ liệu thiếu (FIML hoặc multiple imputation), và biến đổi nếu có.</w:t>
      </w:r>
    </w:p>
    <w:p>
      <w:pPr>
        <w:ind w:firstLine="567"/>
        <w:jc w:val="both"/>
      </w:pPr>
      <w:r>
        <w:rPr>
          <w:b w:val="0"/>
          <w:i w:val="0"/>
          <w:color w:val="000000"/>
          <w:sz w:val="24"/>
        </w:rPr>
        <w:t>ĐIỂM 3 — Hệ số. Báo cáo CẢ β chuẩn hóa và β chưa chuẩn hóa với standard error (SE) và p-value. KTC 95% cho hệ số trung gian (mediation) qua bootstrap.</w:t>
      </w:r>
    </w:p>
    <w:p>
      <w:pPr>
        <w:ind w:firstLine="567"/>
        <w:jc w:val="both"/>
      </w:pPr>
      <w:r>
        <w:rPr>
          <w:b w:val="0"/>
          <w:i w:val="0"/>
          <w:color w:val="000000"/>
          <w:sz w:val="24"/>
        </w:rPr>
        <w:t>ĐIỂM 4 — Fit indices. Báo cáo TỐI THIỂU 4 chỉ số: χ²(df, p), CFI, RMSEA (với KTC 90%), SRMR. So sánh với ngưỡng Hu &amp; Bentler (1999).</w:t>
      </w:r>
    </w:p>
    <w:p>
      <w:pPr>
        <w:ind w:firstLine="567"/>
        <w:jc w:val="both"/>
      </w:pPr>
      <w:r>
        <w:rPr>
          <w:b w:val="0"/>
          <w:i w:val="0"/>
          <w:color w:val="000000"/>
          <w:sz w:val="24"/>
        </w:rPr>
        <w:t>ĐIỂM 5 — R² cho biến phụ thuộc. Đo lường explained variance. Phân loại theo Cohen (1988): R² ≥ 0,02 nhỏ; ≥ 0,13 trung bình; ≥ 0,26 lớn.</w:t>
      </w:r>
    </w:p>
    <w:p>
      <w:r>
        <w:rPr>
          <w:b/>
          <w:color w:val="1F497D"/>
          <w:sz w:val="26"/>
        </w:rPr>
        <w:t>9. CÂU TRẢ LỜI tóm gọn</w:t>
      </w:r>
    </w:p>
    <w:p>
      <w:pPr>
        <w:jc w:val="both"/>
      </w:pPr>
      <w:r>
        <w:rPr>
          <w:b/>
          <w:i w:val="0"/>
          <w:color w:val="0070C0"/>
          <w:sz w:val="24"/>
        </w:rPr>
        <w:t>SEM là gì?</w:t>
      </w:r>
    </w:p>
    <w:p>
      <w:pPr>
        <w:jc w:val="both"/>
      </w:pPr>
      <w:r>
        <w:rPr>
          <w:b w:val="0"/>
          <w:i w:val="0"/>
          <w:color w:val="0070C0"/>
          <w:sz w:val="24"/>
        </w:rPr>
        <w:t>Mô hình phương trình cấu trúc — kết hợp phân tích nhân tố khẳng định (CFA) cho biến tiềm ẩn + hồi quy đường dẫn (path analysis) cho mối quan hệ. Cho phép kiểm định đồng thời nhiều mối quan hệ + biến trung gian + sai số đo trong một mô hình tổng thể.</w:t>
      </w:r>
    </w:p>
    <w:p>
      <w:pPr>
        <w:jc w:val="both"/>
      </w:pPr>
      <w:r>
        <w:rPr>
          <w:b/>
          <w:i w:val="0"/>
          <w:color w:val="0070C0"/>
          <w:sz w:val="24"/>
        </w:rPr>
        <w:t>β chuẩn hóa (standardized) vs β chưa chuẩn hóa:</w:t>
      </w:r>
    </w:p>
    <w:p>
      <w:pPr>
        <w:jc w:val="both"/>
      </w:pPr>
      <w:r>
        <w:rPr>
          <w:b w:val="0"/>
          <w:i w:val="0"/>
          <w:color w:val="0070C0"/>
          <w:sz w:val="24"/>
        </w:rPr>
        <w:t>• β chưa chuẩn hóa (B): X tăng 1 đơn vị gốc → Y tăng B đơn vị gốc.</w:t>
        <w:br/>
        <w:t>• β chuẩn hóa (β): X tăng 1 SD → Y tăng β SD. Không có đơn vị → SO SÁNH ĐƯỢC giữa các biến đo bằng đơn vị khác nhau.</w:t>
        <w:br/>
        <w:t>• Quy đổi: β = B × (SD_X / SD_Y).</w:t>
        <w:br/>
        <w:t>• ƯU TIÊN báo cáo β chuẩn hóa khi muốn so sánh cường độ tác động.</w:t>
      </w:r>
    </w:p>
    <w:p>
      <w:pPr>
        <w:jc w:val="both"/>
      </w:pPr>
      <w:r>
        <w:rPr>
          <w:b/>
          <w:i w:val="0"/>
          <w:color w:val="0070C0"/>
          <w:sz w:val="24"/>
        </w:rPr>
        <w:t>Fit indices chuẩn vàng (Hu &amp; Bentler, 1999):</w:t>
      </w:r>
    </w:p>
    <w:p>
      <w:pPr>
        <w:jc w:val="both"/>
      </w:pPr>
      <w:r>
        <w:rPr>
          <w:b w:val="0"/>
          <w:i w:val="0"/>
          <w:color w:val="0070C0"/>
          <w:sz w:val="24"/>
        </w:rPr>
        <w:t>• CFI ≥ 0,95 (good); ≥ 0,90 (acceptable)</w:t>
        <w:br/>
        <w:t>• TLI ≥ 0,95 (good); ≥ 0,90 (acceptable)</w:t>
        <w:br/>
        <w:t>• RMSEA ≤ 0,06 (good); ≤ 0,08 (acceptable). KTC 90% phải chứa 0,05.</w:t>
        <w:br/>
        <w:t>• SRMR ≤ 0,08 (good); ≤ 0,10 (acceptable)</w:t>
        <w:br/>
        <w:t>• χ²/df &lt; 3 (good); &lt; 5 (acceptable). χ² đơn lẻ KHÔNG đáng tin với cỡ mẫu lớn.</w:t>
      </w:r>
    </w:p>
    <w:p>
      <w:pPr>
        <w:jc w:val="both"/>
      </w:pPr>
      <w:r>
        <w:rPr>
          <w:b/>
          <w:i w:val="0"/>
          <w:color w:val="0070C0"/>
          <w:sz w:val="24"/>
        </w:rPr>
        <w:t>Phối hợp 2 chỉ số (Hu &amp; Bentler):</w:t>
      </w:r>
    </w:p>
    <w:p>
      <w:pPr>
        <w:jc w:val="both"/>
      </w:pPr>
      <w:r>
        <w:rPr>
          <w:b w:val="0"/>
          <w:i w:val="0"/>
          <w:color w:val="0070C0"/>
          <w:sz w:val="24"/>
        </w:rPr>
        <w:t>CFI ≥ 0,95 KẾT HỢP SRMR ≤ 0,08, hoặc CFI ≥ 0,95 KẾT HỢP RMSEA ≤ 0,06 — giảm Type I + Type II errors.</w:t>
      </w:r>
    </w:p>
    <w:p>
      <w:pPr>
        <w:jc w:val="both"/>
      </w:pPr>
      <w:r>
        <w:rPr>
          <w:b/>
          <w:i w:val="0"/>
          <w:color w:val="0070C0"/>
          <w:sz w:val="24"/>
        </w:rPr>
        <w:t>Cỡ mẫu khuyến nghị:</w:t>
      </w:r>
    </w:p>
    <w:p>
      <w:pPr>
        <w:jc w:val="both"/>
      </w:pPr>
      <w:r>
        <w:rPr>
          <w:b w:val="0"/>
          <w:i w:val="0"/>
          <w:color w:val="0070C0"/>
          <w:sz w:val="24"/>
        </w:rPr>
        <w:t>Tối thiểu n = 200 cho mô hình đơn giản; n ≥ 400 cho mô hình phức tạp; tỷ lệ N:q ratio ≥ 5:1 (Bentler &amp; Chou, 1987). Chương 3 luận án có n = 1.352 — RẤT TỐT cho mô hình tích hợp 6 biến tiềm ẩn.</w:t>
      </w:r>
    </w:p>
    <w:p>
      <w:pPr>
        <w:jc w:val="both"/>
      </w:pPr>
      <w:r>
        <w:rPr>
          <w:b/>
          <w:i w:val="0"/>
          <w:color w:val="0070C0"/>
          <w:sz w:val="24"/>
        </w:rPr>
        <w:t>Áp dụng cho chương 3 luận án:</w:t>
      </w:r>
    </w:p>
    <w:p>
      <w:pPr>
        <w:jc w:val="both"/>
      </w:pPr>
      <w:r>
        <w:rPr>
          <w:b w:val="0"/>
          <w:i w:val="0"/>
          <w:color w:val="0070C0"/>
          <w:sz w:val="24"/>
        </w:rPr>
        <w:t>• ALHT → RLLATQ: β = 0,510 (mạnh)</w:t>
        <w:br/>
        <w:t>• ALHT → RLLAXH: β = 0,490 (mạnh)</w:t>
        <w:br/>
        <w:t>• TTr → RLLATQ: β = −0,455 (NGANG ALHT ~89%)</w:t>
        <w:br/>
        <w:t>• TTr → RLLAXH: β = −0,415 (NGANG ALHT ~85%)</w:t>
        <w:br/>
        <w:t>• BPĐP → RLLATQ: β = 0,749 (CỰC LỚN — nhưng fit CHƯA TỐT, cần phân tách)</w:t>
        <w:br/>
        <w:t>• YTNC riêng: β = 0,747; YTBV riêng: β = 0,352</w:t>
        <w:br/>
        <w:t>• Tích hợp YTNC + YTBV: R² = 0,598 (effect size LỚN theo Cohen 1988)</w:t>
      </w:r>
    </w:p>
    <w:p>
      <w:r>
        <w:rPr>
          <w:b/>
          <w:color w:val="1F497D"/>
          <w:sz w:val="26"/>
        </w:rPr>
        <w:t>10. Tài liệu tham khảo</w:t>
      </w:r>
    </w:p>
    <w:p>
      <w:pPr>
        <w:ind w:left="567" w:hanging="567"/>
        <w:jc w:val="both"/>
      </w:pPr>
      <w:r>
        <w:rPr>
          <w:sz w:val="22"/>
        </w:rPr>
        <w:t>Bentler, P. M., &amp; Chou, C. P. (1987). Practical issues in structural modeling. Sociological Methods &amp; Research, 16(1), 78–117. https://doi.org/10.1177/0049124187016001004</w:t>
      </w:r>
    </w:p>
    <w:p>
      <w:pPr>
        <w:ind w:left="567" w:hanging="567"/>
        <w:jc w:val="both"/>
      </w:pPr>
      <w:r>
        <w:rPr>
          <w:sz w:val="22"/>
        </w:rPr>
        <w:t>Boomsma, A. (2000). Reporting analyses of covariance structures. Structural Equation Modeling, 7(3), 461–483. https://doi.org/10.1207/S15328007SEM0703_6</w:t>
      </w:r>
    </w:p>
    <w:p>
      <w:pPr>
        <w:ind w:left="567" w:hanging="567"/>
        <w:jc w:val="both"/>
      </w:pPr>
      <w:r>
        <w:rPr>
          <w:sz w:val="22"/>
        </w:rPr>
        <w:t>Carver, C. S. (1997). You want to measure coping but your protocol's too long: Consider the Brief COPE. International Journal of Behavioral Medicine, 4(1), 92–100. https://doi.org/10.1207/s15327558ijbm0401_6</w:t>
      </w:r>
    </w:p>
    <w:p>
      <w:pPr>
        <w:ind w:left="567" w:hanging="567"/>
        <w:jc w:val="both"/>
      </w:pPr>
      <w:r>
        <w:rPr>
          <w:sz w:val="22"/>
        </w:rPr>
        <w:t>Cohen, J. (1988). Statistical power analysis for the behavioral sciences (2nd ed.). Lawrence Erlbaum Associates.</w:t>
      </w:r>
    </w:p>
    <w:p>
      <w:pPr>
        <w:ind w:left="567" w:hanging="567"/>
        <w:jc w:val="both"/>
      </w:pPr>
      <w:r>
        <w:rPr>
          <w:sz w:val="22"/>
        </w:rPr>
        <w:t>Hu, L., &amp; Bentler, P. M. (1999). Cutoff criteria for fit indexes in covariance structure analysis: Conventional criteria versus new alternatives. Structural Equation Modeling, 6(1), 1–55. https://doi.org/10.1080/10705519909540118</w:t>
      </w:r>
    </w:p>
    <w:p>
      <w:pPr>
        <w:ind w:left="567" w:hanging="567"/>
        <w:jc w:val="both"/>
      </w:pPr>
      <w:r>
        <w:rPr>
          <w:sz w:val="22"/>
        </w:rPr>
        <w:t>Kline, R. B. (2015). Principles and practice of structural equation modeling (4th ed.). The Guilford Press.</w:t>
      </w:r>
    </w:p>
    <w:p>
      <w:pPr>
        <w:ind w:left="567" w:hanging="567"/>
        <w:jc w:val="both"/>
      </w:pPr>
      <w:r>
        <w:rPr>
          <w:sz w:val="22"/>
        </w:rPr>
        <w:t>Zheng, G. F., &amp; Peng, H. Y. (2025). The effects of social media addiction, academic stress, and sleep quality on anxiety symptoms: A cross-sectional study of Chinese vocational students. Psychology Research and Behavior Management, 18, 1571–1584. https://doi.org/10.2147/PRBM.S522652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