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26"/>
        </w:rPr>
        <w:t>BẢNG TÓM TẮT TỔNG HỢP 11 BÀI NGHIÊN CỨU</w:t>
        <w:br/>
        <w:t>LO ÂU VÀ TRẦM CẢM Ở HỌC SINH</w:t>
      </w:r>
    </w:p>
    <w:p>
      <w:r>
        <w:rPr>
          <w:rFonts w:ascii="Times New Roman" w:hAnsi="Times New Roman"/>
          <w:b w:val="0"/>
          <w:i/>
          <w:sz w:val="18"/>
        </w:rPr>
        <w:t>6 quốc gia | Cỡ mẫu từ 75 đến 373.216 | 2019–2023</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c>
          <w:tcPr>
            <w:tcW w:type="dxa" w:w="1465"/>
            <w:tcW w:w="226" w:type="dxa"/>
            <w:shd w:fill="D9E2F3" w:val="clear"/>
          </w:tcPr>
          <w:p>
            <w:pPr>
              <w:jc w:val="center"/>
            </w:pPr>
            <w:r>
              <w:rPr>
                <w:rFonts w:ascii="Times New Roman" w:hAnsi="Times New Roman"/>
                <w:b/>
                <w:sz w:val="13"/>
              </w:rPr>
              <w:t>#</w:t>
            </w:r>
          </w:p>
        </w:tc>
        <w:tc>
          <w:tcPr>
            <w:tcW w:type="dxa" w:w="1465"/>
            <w:tcW w:w="793" w:type="dxa"/>
            <w:shd w:fill="D9E2F3" w:val="clear"/>
          </w:tcPr>
          <w:p>
            <w:pPr>
              <w:jc w:val="center"/>
            </w:pPr>
            <w:r>
              <w:rPr>
                <w:rFonts w:ascii="Times New Roman" w:hAnsi="Times New Roman"/>
                <w:b/>
                <w:sz w:val="13"/>
              </w:rPr>
              <w:t>Tác giả (Năm)</w:t>
            </w:r>
          </w:p>
        </w:tc>
        <w:tc>
          <w:tcPr>
            <w:tcW w:type="dxa" w:w="1465"/>
            <w:tcW w:w="680" w:type="dxa"/>
            <w:shd w:fill="D9E2F3" w:val="clear"/>
          </w:tcPr>
          <w:p>
            <w:pPr>
              <w:jc w:val="center"/>
            </w:pPr>
            <w:r>
              <w:rPr>
                <w:rFonts w:ascii="Times New Roman" w:hAnsi="Times New Roman"/>
                <w:b/>
                <w:sz w:val="13"/>
              </w:rPr>
              <w:t>Quốc gia</w:t>
              <w:br/>
              <w:t>n</w:t>
            </w:r>
          </w:p>
        </w:tc>
        <w:tc>
          <w:tcPr>
            <w:tcW w:type="dxa" w:w="1465"/>
            <w:tcW w:w="510" w:type="dxa"/>
            <w:shd w:fill="D9E2F3" w:val="clear"/>
          </w:tcPr>
          <w:p>
            <w:pPr>
              <w:jc w:val="center"/>
            </w:pPr>
            <w:r>
              <w:rPr>
                <w:rFonts w:ascii="Times New Roman" w:hAnsi="Times New Roman"/>
                <w:b/>
                <w:sz w:val="13"/>
              </w:rPr>
              <w:t>Công cụ</w:t>
            </w:r>
          </w:p>
        </w:tc>
        <w:tc>
          <w:tcPr>
            <w:tcW w:type="dxa" w:w="1465"/>
            <w:tcW w:w="737" w:type="dxa"/>
            <w:shd w:fill="D9E2F3" w:val="clear"/>
          </w:tcPr>
          <w:p>
            <w:pPr>
              <w:jc w:val="center"/>
            </w:pPr>
            <w:r>
              <w:rPr>
                <w:rFonts w:ascii="Times New Roman" w:hAnsi="Times New Roman"/>
                <w:b/>
                <w:sz w:val="13"/>
              </w:rPr>
              <w:t>Lo âu</w:t>
              <w:br/>
              <w:t>Trầm cảm</w:t>
            </w:r>
          </w:p>
        </w:tc>
        <w:tc>
          <w:tcPr>
            <w:tcW w:type="dxa" w:w="1465"/>
            <w:tcW w:w="4422" w:type="dxa"/>
            <w:shd w:fill="D9E2F3" w:val="clear"/>
          </w:tcPr>
          <w:p>
            <w:pPr>
              <w:jc w:val="center"/>
            </w:pPr>
            <w:r>
              <w:rPr>
                <w:rFonts w:ascii="Times New Roman" w:hAnsi="Times New Roman"/>
                <w:b/>
                <w:sz w:val="13"/>
              </w:rPr>
              <w:t>Phát hiện nổi bật (3–5 câu)</w:t>
            </w:r>
          </w:p>
        </w:tc>
        <w:tc>
          <w:tcPr>
            <w:tcW w:type="dxa" w:w="1465"/>
            <w:tcW w:w="283" w:type="dxa"/>
            <w:shd w:fill="D9E2F3" w:val="clear"/>
          </w:tcPr>
          <w:p>
            <w:pPr>
              <w:jc w:val="center"/>
            </w:pPr>
            <w:r>
              <w:rPr>
                <w:rFonts w:ascii="Times New Roman" w:hAnsi="Times New Roman"/>
                <w:b/>
                <w:sz w:val="13"/>
              </w:rPr>
              <w:t>CL</w:t>
            </w:r>
          </w:p>
        </w:tc>
      </w:tr>
      <w:tr>
        <w:tc>
          <w:tcPr>
            <w:tcW w:type="dxa" w:w="1465"/>
            <w:tcW w:w="226" w:type="dxa"/>
          </w:tcPr>
          <w:p>
            <w:r>
              <w:rPr>
                <w:rFonts w:ascii="Times New Roman" w:hAnsi="Times New Roman"/>
                <w:sz w:val="13"/>
              </w:rPr>
              <w:t>01</w:t>
            </w:r>
          </w:p>
        </w:tc>
        <w:tc>
          <w:tcPr>
            <w:tcW w:type="dxa" w:w="1465"/>
            <w:tcW w:w="793" w:type="dxa"/>
          </w:tcPr>
          <w:p>
            <w:r>
              <w:rPr>
                <w:rFonts w:ascii="Times New Roman" w:hAnsi="Times New Roman"/>
                <w:sz w:val="13"/>
              </w:rPr>
              <w:t>Jenkins và cs.</w:t>
              <w:br/>
              <w:t>(2023)</w:t>
            </w:r>
          </w:p>
        </w:tc>
        <w:tc>
          <w:tcPr>
            <w:tcW w:type="dxa" w:w="1465"/>
            <w:tcW w:w="680" w:type="dxa"/>
          </w:tcPr>
          <w:p>
            <w:r>
              <w:rPr>
                <w:rFonts w:ascii="Times New Roman" w:hAnsi="Times New Roman"/>
                <w:sz w:val="13"/>
              </w:rPr>
              <w:t>Hoa Kỳ</w:t>
              <w:br/>
              <w:t>n=75</w:t>
            </w:r>
          </w:p>
        </w:tc>
        <w:tc>
          <w:tcPr>
            <w:tcW w:type="dxa" w:w="1465"/>
            <w:tcW w:w="510" w:type="dxa"/>
          </w:tcPr>
          <w:p>
            <w:r>
              <w:rPr>
                <w:rFonts w:ascii="Times New Roman" w:hAnsi="Times New Roman"/>
                <w:sz w:val="13"/>
              </w:rPr>
              <w:t>PHQ-9A</w:t>
            </w:r>
          </w:p>
        </w:tc>
        <w:tc>
          <w:tcPr>
            <w:tcW w:type="dxa" w:w="1465"/>
            <w:tcW w:w="737" w:type="dxa"/>
          </w:tcPr>
          <w:p>
            <w:r>
              <w:rPr>
                <w:rFonts w:ascii="Times New Roman" w:hAnsi="Times New Roman"/>
                <w:sz w:val="13"/>
              </w:rPr>
              <w:t>LA: 50,6% (GAD-10, bất kỳ mức)</w:t>
              <w:br/>
              <w:t>TC: 44% (PHQ-9A, bất kỳ mức)</w:t>
            </w:r>
          </w:p>
        </w:tc>
        <w:tc>
          <w:tcPr>
            <w:tcW w:type="dxa" w:w="1465"/>
            <w:tcW w:w="4422" w:type="dxa"/>
          </w:tcPr>
          <w:p>
            <w:r>
              <w:rPr>
                <w:rFonts w:ascii="Times New Roman" w:hAnsi="Times New Roman"/>
                <w:sz w:val="13"/>
              </w:rPr>
              <w:t>Phương pháp hỗn hợp kết hợp sàng lọc định lượng (PHQ-9A, GAD-10) với phỏng vấn dân tộc học mở — cho phép phát hiện các yếu tố văn hóa xã hội mà thang đo không nắm bắt được. Nữ sinh có điểm trầm cảm cao hơn nam (p = 0,002, Mann-Whitney) và lo âu cao hơn (p = 0,016). Phỏng vấn phát hiện ba bối cảnh gây căng thẳng chính: bạo lực trên cơ sở giới (trong trường và gia đình), lo lắng về COVID-19 (bệnh tật, tử vong, mất việc, khó khăn kinh tế), và sự gia tăng phân biệt chủng tộc. Học sinh trải nghiệm những vấn đề này như rào cản đối với sự tham gia giáo dục.</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02</w:t>
            </w:r>
          </w:p>
        </w:tc>
        <w:tc>
          <w:tcPr>
            <w:tcW w:type="dxa" w:w="1465"/>
            <w:tcW w:w="793" w:type="dxa"/>
          </w:tcPr>
          <w:p>
            <w:r>
              <w:rPr>
                <w:rFonts w:ascii="Times New Roman" w:hAnsi="Times New Roman"/>
                <w:sz w:val="13"/>
              </w:rPr>
              <w:t>Saikia và cs.</w:t>
              <w:br/>
              <w:t>(2023)</w:t>
            </w:r>
          </w:p>
        </w:tc>
        <w:tc>
          <w:tcPr>
            <w:tcW w:type="dxa" w:w="1465"/>
            <w:tcW w:w="680" w:type="dxa"/>
          </w:tcPr>
          <w:p>
            <w:r>
              <w:rPr>
                <w:rFonts w:ascii="Times New Roman" w:hAnsi="Times New Roman"/>
                <w:sz w:val="13"/>
              </w:rPr>
              <w:t>Ấn Độ</w:t>
              <w:br/>
              <w:t>n=360</w:t>
            </w:r>
          </w:p>
        </w:tc>
        <w:tc>
          <w:tcPr>
            <w:tcW w:type="dxa" w:w="1465"/>
            <w:tcW w:w="510" w:type="dxa"/>
          </w:tcPr>
          <w:p>
            <w:r>
              <w:rPr>
                <w:rFonts w:ascii="Times New Roman" w:hAnsi="Times New Roman"/>
                <w:sz w:val="13"/>
              </w:rPr>
              <w:t>DASS-21</w:t>
            </w:r>
          </w:p>
        </w:tc>
        <w:tc>
          <w:tcPr>
            <w:tcW w:type="dxa" w:w="1465"/>
            <w:tcW w:w="737" w:type="dxa"/>
          </w:tcPr>
          <w:p>
            <w:r>
              <w:rPr>
                <w:rFonts w:ascii="Times New Roman" w:hAnsi="Times New Roman"/>
                <w:sz w:val="13"/>
              </w:rPr>
              <w:t>LA: 24,4% (DASS-21)</w:t>
              <w:br/>
              <w:t>TC: 22,2%</w:t>
            </w:r>
          </w:p>
        </w:tc>
        <w:tc>
          <w:tcPr>
            <w:tcW w:type="dxa" w:w="1465"/>
            <w:tcW w:w="4422" w:type="dxa"/>
          </w:tcPr>
          <w:p>
            <w:r>
              <w:rPr>
                <w:rFonts w:ascii="Times New Roman" w:hAnsi="Times New Roman"/>
                <w:sz w:val="13"/>
              </w:rPr>
              <w:t>Phát hiện đáng chú ý nhất: nam giới có tỷ lệ lo âu cao hơn nữ (30,0% vs 18,9%, P=0,049) — trái ngược hoàn toàn với y văn quốc tế và hầu hết các nghiên cứu khác. Đây là nghiên cứu tiên phong tại vùng Đông Bắc Ấn Độ, nơi có đặc điểm văn hóa bộ lạc khác biệt. Các yếu tố nguy cơ: cha mẹ đơn thân, sử dụng rượu, nghiện game, kết quả học tập kém. Tỷ lệ SKTT tổng thể (24,4% lo âu) thấp hơn nhiều so với nghiên cứu tại miền Nam Ấn Độ — gợi ý sự khác biệt vùng miền đáng kể.</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03</w:t>
            </w:r>
          </w:p>
        </w:tc>
        <w:tc>
          <w:tcPr>
            <w:tcW w:type="dxa" w:w="1465"/>
            <w:tcW w:w="793" w:type="dxa"/>
          </w:tcPr>
          <w:p>
            <w:r>
              <w:rPr>
                <w:rFonts w:ascii="Times New Roman" w:hAnsi="Times New Roman"/>
                <w:sz w:val="13"/>
              </w:rPr>
              <w:t>Mandaknalli &amp; Malusare</w:t>
              <w:br/>
              <w:t>(2021)</w:t>
            </w:r>
          </w:p>
        </w:tc>
        <w:tc>
          <w:tcPr>
            <w:tcW w:type="dxa" w:w="1465"/>
            <w:tcW w:w="680" w:type="dxa"/>
          </w:tcPr>
          <w:p>
            <w:r>
              <w:rPr>
                <w:rFonts w:ascii="Times New Roman" w:hAnsi="Times New Roman"/>
                <w:sz w:val="13"/>
              </w:rPr>
              <w:t>Ấn Độ</w:t>
              <w:br/>
              <w:t>n=450</w:t>
            </w:r>
          </w:p>
        </w:tc>
        <w:tc>
          <w:tcPr>
            <w:tcW w:type="dxa" w:w="1465"/>
            <w:tcW w:w="510" w:type="dxa"/>
          </w:tcPr>
          <w:p>
            <w:r>
              <w:rPr>
                <w:rFonts w:ascii="Times New Roman" w:hAnsi="Times New Roman"/>
                <w:sz w:val="13"/>
              </w:rPr>
              <w:t>Bảng câu hỏi lo</w:t>
            </w:r>
          </w:p>
        </w:tc>
        <w:tc>
          <w:tcPr>
            <w:tcW w:type="dxa" w:w="1465"/>
            <w:tcW w:w="737" w:type="dxa"/>
          </w:tcPr>
          <w:p>
            <w:r>
              <w:rPr>
                <w:rFonts w:ascii="Times New Roman" w:hAnsi="Times New Roman"/>
                <w:sz w:val="13"/>
              </w:rPr>
              <w:t>LA: Nhẹ 49,4%, Trung bình 43,3%, Nặng 7,3%</w:t>
              <w:br/>
              <w:t>TC: Không đo</w:t>
            </w:r>
          </w:p>
        </w:tc>
        <w:tc>
          <w:tcPr>
            <w:tcW w:type="dxa" w:w="1465"/>
            <w:tcW w:w="4422" w:type="dxa"/>
          </w:tcPr>
          <w:p>
            <w:r>
              <w:rPr>
                <w:rFonts w:ascii="Times New Roman" w:hAnsi="Times New Roman"/>
                <w:sz w:val="13"/>
              </w:rPr>
              <w:t>Gần 100% học sinh có ít nhất mức lo âu nhẹ — gợi ý điểm cắt quá thấp hoặc công cụ đo quá nhạy. Nữ sinh có tỷ lệ lo âu nặng cao hơn nam (10,9% vs 3,8%). Các yếu tố nguy cơ: thiếu hoạt động thể chất, chất lượng giấc ngủ kém, và hút thuốc lá. Nghiên cứu gợi ý can thiệp tập trung vào thay đổi lối sống (tập thể dục, cải thiện giấc ngủ) có thể giảm lo âu.</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04</w:t>
            </w:r>
          </w:p>
        </w:tc>
        <w:tc>
          <w:tcPr>
            <w:tcW w:type="dxa" w:w="1465"/>
            <w:tcW w:w="793" w:type="dxa"/>
          </w:tcPr>
          <w:p>
            <w:r>
              <w:rPr>
                <w:rFonts w:ascii="Times New Roman" w:hAnsi="Times New Roman"/>
                <w:sz w:val="13"/>
              </w:rPr>
              <w:t>NSCH</w:t>
              <w:br/>
              <w:t>(2020)</w:t>
            </w:r>
          </w:p>
        </w:tc>
        <w:tc>
          <w:tcPr>
            <w:tcW w:type="dxa" w:w="1465"/>
            <w:tcW w:w="680" w:type="dxa"/>
          </w:tcPr>
          <w:p>
            <w:r>
              <w:rPr>
                <w:rFonts w:ascii="Times New Roman" w:hAnsi="Times New Roman"/>
                <w:sz w:val="13"/>
              </w:rPr>
              <w:t>Hoa Kỳ</w:t>
              <w:br/>
              <w:t>n=55.162</w:t>
            </w:r>
          </w:p>
        </w:tc>
        <w:tc>
          <w:tcPr>
            <w:tcW w:type="dxa" w:w="1465"/>
            <w:tcW w:w="510" w:type="dxa"/>
          </w:tcPr>
          <w:p>
            <w:r>
              <w:rPr>
                <w:rFonts w:ascii="Times New Roman" w:hAnsi="Times New Roman"/>
                <w:sz w:val="13"/>
              </w:rPr>
              <w:t>Khảo sát quốc g</w:t>
            </w:r>
          </w:p>
        </w:tc>
        <w:tc>
          <w:tcPr>
            <w:tcW w:type="dxa" w:w="1465"/>
            <w:tcW w:w="737" w:type="dxa"/>
          </w:tcPr>
          <w:p>
            <w:r>
              <w:rPr>
                <w:rFonts w:ascii="Times New Roman" w:hAnsi="Times New Roman"/>
                <w:sz w:val="13"/>
              </w:rPr>
              <w:t>LA: 16,1% (2020, chẩn đoán); tăng 61% từ 2016</w:t>
              <w:br/>
              <w:t>TC: 8,4% (2020, chẩn đoán)</w:t>
            </w:r>
          </w:p>
        </w:tc>
        <w:tc>
          <w:tcPr>
            <w:tcW w:type="dxa" w:w="1465"/>
            <w:tcW w:w="4422" w:type="dxa"/>
          </w:tcPr>
          <w:p>
            <w:r>
              <w:rPr>
                <w:rFonts w:ascii="Times New Roman" w:hAnsi="Times New Roman"/>
                <w:sz w:val="13"/>
              </w:rPr>
              <w:t>Nguồn dữ liệu quốc gia uy tín nhất về SKTT trẻ em Hoa Kỳ. Lo âu tăng 61% trong 7 năm (2016–2023) — xu hướng tăng rõ ràng và liên tục. Nữ giới có tỷ lệ cao hơn nam (20,1% vs 12,3%). Thanh thiếu niên bị lo âu có nguy cơ khó kết bạn gấp 10 lần và nghỉ học gấp 5 lần. 61% gia đình gặp khó khăn khi tiếp cận dịch vụ điều trị SKTT. Tỷ lệ dựa trên chẩn đoán y tế (không phải sàng lọc) nên thấp hơn nhưng chính xác hơn.</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05</w:t>
            </w:r>
          </w:p>
        </w:tc>
        <w:tc>
          <w:tcPr>
            <w:tcW w:type="dxa" w:w="1465"/>
            <w:tcW w:w="793" w:type="dxa"/>
          </w:tcPr>
          <w:p>
            <w:r>
              <w:rPr>
                <w:rFonts w:ascii="Times New Roman" w:hAnsi="Times New Roman"/>
                <w:sz w:val="13"/>
              </w:rPr>
              <w:t>Alharbi và cs.</w:t>
              <w:br/>
              <w:t>(2019)</w:t>
            </w:r>
          </w:p>
        </w:tc>
        <w:tc>
          <w:tcPr>
            <w:tcW w:type="dxa" w:w="1465"/>
            <w:tcW w:w="680" w:type="dxa"/>
          </w:tcPr>
          <w:p>
            <w:r>
              <w:rPr>
                <w:rFonts w:ascii="Times New Roman" w:hAnsi="Times New Roman"/>
                <w:sz w:val="13"/>
              </w:rPr>
              <w:t>Ả Rập Saudi</w:t>
              <w:br/>
              <w:t>n=1.245</w:t>
            </w:r>
          </w:p>
        </w:tc>
        <w:tc>
          <w:tcPr>
            <w:tcW w:type="dxa" w:w="1465"/>
            <w:tcW w:w="510" w:type="dxa"/>
          </w:tcPr>
          <w:p>
            <w:r>
              <w:rPr>
                <w:rFonts w:ascii="Times New Roman" w:hAnsi="Times New Roman"/>
                <w:sz w:val="13"/>
              </w:rPr>
              <w:t>PHQ-9</w:t>
            </w:r>
          </w:p>
        </w:tc>
        <w:tc>
          <w:tcPr>
            <w:tcW w:type="dxa" w:w="1465"/>
            <w:tcW w:w="737" w:type="dxa"/>
          </w:tcPr>
          <w:p>
            <w:r>
              <w:rPr>
                <w:rFonts w:ascii="Times New Roman" w:hAnsi="Times New Roman"/>
                <w:sz w:val="13"/>
              </w:rPr>
              <w:t>LA: 63,5% (GAD-7, bất kỳ mức)</w:t>
              <w:br/>
              <w:t>TC: 74% (PHQ-9, bất kỳ mức)</w:t>
            </w:r>
          </w:p>
        </w:tc>
        <w:tc>
          <w:tcPr>
            <w:tcW w:type="dxa" w:w="1465"/>
            <w:tcW w:w="4422" w:type="dxa"/>
          </w:tcPr>
          <w:p>
            <w:r>
              <w:rPr>
                <w:rFonts w:ascii="Times New Roman" w:hAnsi="Times New Roman"/>
                <w:sz w:val="13"/>
              </w:rPr>
              <w:t>Tỷ lệ cực cao: 74% trầm cảm và 63,5% lo âu — tuy nhiên dùng ngưỡng PHQ-9 ≥ 5 (bao gồm cả nhẹ), nên cao hơn nhiều so với ngưỡng lâm sàng. Là bài đầu tiên tại Ả Rập Saudi sử dụng PHQ-9/GAD-7 — mở ra hướng nghiên cứu mới cho khu vực. Nữ giới có tỷ lệ cao hơn nam (P&lt;0,001). So sánh: Chen 2023 dùng cùng công cụ nhưng ngưỡng cao hơn cho 23% trầm cảm, cho thấy tầm quan trọng của ngưỡng cắt.</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06</w:t>
            </w:r>
          </w:p>
        </w:tc>
        <w:tc>
          <w:tcPr>
            <w:tcW w:type="dxa" w:w="1465"/>
            <w:tcW w:w="793" w:type="dxa"/>
          </w:tcPr>
          <w:p>
            <w:r>
              <w:rPr>
                <w:rFonts w:ascii="Times New Roman" w:hAnsi="Times New Roman"/>
                <w:sz w:val="13"/>
              </w:rPr>
              <w:t>Nakie và cs.</w:t>
              <w:br/>
              <w:t>(2022)</w:t>
            </w:r>
          </w:p>
        </w:tc>
        <w:tc>
          <w:tcPr>
            <w:tcW w:type="dxa" w:w="1465"/>
            <w:tcW w:w="680" w:type="dxa"/>
          </w:tcPr>
          <w:p>
            <w:r>
              <w:rPr>
                <w:rFonts w:ascii="Times New Roman" w:hAnsi="Times New Roman"/>
                <w:sz w:val="13"/>
              </w:rPr>
              <w:t>Ethiopia</w:t>
              <w:br/>
              <w:t>n=849</w:t>
            </w:r>
          </w:p>
        </w:tc>
        <w:tc>
          <w:tcPr>
            <w:tcW w:type="dxa" w:w="1465"/>
            <w:tcW w:w="510" w:type="dxa"/>
          </w:tcPr>
          <w:p>
            <w:r>
              <w:rPr>
                <w:rFonts w:ascii="Times New Roman" w:hAnsi="Times New Roman"/>
                <w:sz w:val="13"/>
              </w:rPr>
              <w:t>DASS-21</w:t>
            </w:r>
          </w:p>
        </w:tc>
        <w:tc>
          <w:tcPr>
            <w:tcW w:type="dxa" w:w="1465"/>
            <w:tcW w:w="737" w:type="dxa"/>
          </w:tcPr>
          <w:p>
            <w:r>
              <w:rPr>
                <w:rFonts w:ascii="Times New Roman" w:hAnsi="Times New Roman"/>
                <w:sz w:val="13"/>
              </w:rPr>
              <w:t>LA: 66,7% (DASS-21)</w:t>
              <w:br/>
              <w:t>TC: 41,4%</w:t>
            </w:r>
          </w:p>
        </w:tc>
        <w:tc>
          <w:tcPr>
            <w:tcW w:type="dxa" w:w="1465"/>
            <w:tcW w:w="4422" w:type="dxa"/>
          </w:tcPr>
          <w:p>
            <w:r>
              <w:rPr>
                <w:rFonts w:ascii="Times New Roman" w:hAnsi="Times New Roman"/>
                <w:sz w:val="13"/>
              </w:rPr>
              <w:t>Tỷ lệ lo âu 66,7% và căng thẳng 52,2% rất cao — có thể liên quan đến bối cảnh xung đột Ethiopia 2020–2022. Là nghiên cứu đầu tiên tại châu Phi đánh giá đồng thời cả 3 tình trạng (trầm cảm, lo âu, căng thẳng). Yếu tố nguy cơ mạnh nhất: nhai lá khat (AOR=5,6), hút thuốc (AOR=4,8), và bệnh mãn tính (AOR=2,1). Đăng trên BMC Psychiatry (Q1, IF ≈ 4,4) — uy tín cao.</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07</w:t>
            </w:r>
          </w:p>
        </w:tc>
        <w:tc>
          <w:tcPr>
            <w:tcW w:type="dxa" w:w="1465"/>
            <w:tcW w:w="793" w:type="dxa"/>
          </w:tcPr>
          <w:p>
            <w:r>
              <w:rPr>
                <w:rFonts w:ascii="Times New Roman" w:hAnsi="Times New Roman"/>
                <w:sz w:val="13"/>
              </w:rPr>
              <w:t>Chen và cs.</w:t>
              <w:br/>
              <w:t>(2023)</w:t>
            </w:r>
          </w:p>
        </w:tc>
        <w:tc>
          <w:tcPr>
            <w:tcW w:type="dxa" w:w="1465"/>
            <w:tcW w:w="680" w:type="dxa"/>
          </w:tcPr>
          <w:p>
            <w:r>
              <w:rPr>
                <w:rFonts w:ascii="Times New Roman" w:hAnsi="Times New Roman"/>
                <w:sz w:val="13"/>
              </w:rPr>
              <w:t>Trung Quốc</w:t>
              <w:br/>
              <w:t>n=63.205</w:t>
            </w:r>
          </w:p>
        </w:tc>
        <w:tc>
          <w:tcPr>
            <w:tcW w:type="dxa" w:w="1465"/>
            <w:tcW w:w="510" w:type="dxa"/>
          </w:tcPr>
          <w:p>
            <w:r>
              <w:rPr>
                <w:rFonts w:ascii="Times New Roman" w:hAnsi="Times New Roman"/>
                <w:sz w:val="13"/>
              </w:rPr>
              <w:t>PHQ-9, GAD-7, P</w:t>
            </w:r>
          </w:p>
        </w:tc>
        <w:tc>
          <w:tcPr>
            <w:tcW w:type="dxa" w:w="1465"/>
            <w:tcW w:w="737" w:type="dxa"/>
          </w:tcPr>
          <w:p>
            <w:r>
              <w:rPr>
                <w:rFonts w:ascii="Times New Roman" w:hAnsi="Times New Roman"/>
                <w:sz w:val="13"/>
              </w:rPr>
              <w:t>LA: 13,9% (GAD-7)</w:t>
              <w:br/>
              <w:t>TC: 23,0% (PHQ-9)</w:t>
            </w:r>
          </w:p>
        </w:tc>
        <w:tc>
          <w:tcPr>
            <w:tcW w:type="dxa" w:w="1465"/>
            <w:tcW w:w="4422" w:type="dxa"/>
          </w:tcPr>
          <w:p>
            <w:r>
              <w:rPr>
                <w:rFonts w:ascii="Times New Roman" w:hAnsi="Times New Roman"/>
                <w:sz w:val="13"/>
              </w:rPr>
              <w:t>Cỡ mẫu rất lớn (n=63.205), là nghiên cứu đầu tiên tại miền Tây Trung Quốc. Sử dụng nhiều công cụ xác thực: PHQ-9, GAD-7, PSQI (giấc ngủ), IGDS9-SF (nghiện game). Phát hiện 3 yếu tố nguy cơ chính: bắt nạt tại trường, chất lượng giấc ngủ kém, và nghiện game. Gia đình không hạt nhân (đơn thân, tái hôn) cũng là yếu tố nguy cơ đáng kể. Đăng BMC Psychiatry Q1.</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08</w:t>
            </w:r>
          </w:p>
        </w:tc>
        <w:tc>
          <w:tcPr>
            <w:tcW w:type="dxa" w:w="1465"/>
            <w:tcW w:w="793" w:type="dxa"/>
          </w:tcPr>
          <w:p>
            <w:r>
              <w:rPr>
                <w:rFonts w:ascii="Times New Roman" w:hAnsi="Times New Roman"/>
                <w:sz w:val="13"/>
              </w:rPr>
              <w:t>Wen và cs.</w:t>
              <w:br/>
              <w:t>(2020)</w:t>
            </w:r>
          </w:p>
        </w:tc>
        <w:tc>
          <w:tcPr>
            <w:tcW w:type="dxa" w:w="1465"/>
            <w:tcW w:w="680" w:type="dxa"/>
          </w:tcPr>
          <w:p>
            <w:r>
              <w:rPr>
                <w:rFonts w:ascii="Times New Roman" w:hAnsi="Times New Roman"/>
                <w:sz w:val="13"/>
              </w:rPr>
              <w:t>Trung Quốc</w:t>
              <w:br/>
              <w:t>n=900</w:t>
            </w:r>
          </w:p>
        </w:tc>
        <w:tc>
          <w:tcPr>
            <w:tcW w:type="dxa" w:w="1465"/>
            <w:tcW w:w="510" w:type="dxa"/>
          </w:tcPr>
          <w:p>
            <w:r>
              <w:rPr>
                <w:rFonts w:ascii="Times New Roman" w:hAnsi="Times New Roman"/>
                <w:sz w:val="13"/>
              </w:rPr>
              <w:t xml:space="preserve">Thang đo lo âu </w:t>
            </w:r>
          </w:p>
        </w:tc>
        <w:tc>
          <w:tcPr>
            <w:tcW w:type="dxa" w:w="1465"/>
            <w:tcW w:w="737" w:type="dxa"/>
          </w:tcPr>
          <w:p>
            <w:r>
              <w:rPr>
                <w:rFonts w:ascii="Times New Roman" w:hAnsi="Times New Roman"/>
                <w:sz w:val="13"/>
              </w:rPr>
              <w:t>LA: 24,78% lo âu nặng (LPA)</w:t>
              <w:br/>
              <w:t>TC: Không đo riêng</w:t>
            </w:r>
          </w:p>
        </w:tc>
        <w:tc>
          <w:tcPr>
            <w:tcW w:type="dxa" w:w="1465"/>
            <w:tcW w:w="4422" w:type="dxa"/>
          </w:tcPr>
          <w:p>
            <w:r>
              <w:rPr>
                <w:rFonts w:ascii="Times New Roman" w:hAnsi="Times New Roman"/>
                <w:sz w:val="13"/>
              </w:rPr>
              <w:t>Là nghiên cứu đầu tiên sử dụng Phân tích Hồ sơ Tiềm ẩn (LPA) ở HS nông thôn Trung Quốc. LPA xác định 3 nhóm lo âu khác biệt (thấp/trung bình/cao) thay vì chỉ dùng ngưỡng cắt. Nam giới có tỷ lệ lo âu cao hơn nữ — phù hợp với Saikia (2023) và Xu (2021), trái ngược y văn phương Tây. Hỗ trợ tâm thần tại trường là yếu tố bảo vệ duy nhất có ý nghĩa — bằng chứng mạnh cho việc đầu tư tư vấn tâm lý trường học.</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09</w:t>
            </w:r>
          </w:p>
        </w:tc>
        <w:tc>
          <w:tcPr>
            <w:tcW w:type="dxa" w:w="1465"/>
            <w:tcW w:w="793" w:type="dxa"/>
          </w:tcPr>
          <w:p>
            <w:r>
              <w:rPr>
                <w:rFonts w:ascii="Times New Roman" w:hAnsi="Times New Roman"/>
                <w:sz w:val="13"/>
              </w:rPr>
              <w:t>Qiu và cs.</w:t>
              <w:br/>
              <w:t>(2022)</w:t>
            </w:r>
          </w:p>
        </w:tc>
        <w:tc>
          <w:tcPr>
            <w:tcW w:type="dxa" w:w="1465"/>
            <w:tcW w:w="680" w:type="dxa"/>
          </w:tcPr>
          <w:p>
            <w:r>
              <w:rPr>
                <w:rFonts w:ascii="Times New Roman" w:hAnsi="Times New Roman"/>
                <w:sz w:val="13"/>
              </w:rPr>
              <w:t>Trung Quốc</w:t>
              <w:br/>
              <w:t>n=2.079</w:t>
            </w:r>
          </w:p>
        </w:tc>
        <w:tc>
          <w:tcPr>
            <w:tcW w:type="dxa" w:w="1465"/>
            <w:tcW w:w="510" w:type="dxa"/>
          </w:tcPr>
          <w:p>
            <w:r>
              <w:rPr>
                <w:rFonts w:ascii="Times New Roman" w:hAnsi="Times New Roman"/>
                <w:sz w:val="13"/>
              </w:rPr>
              <w:t>EMBU</w:t>
            </w:r>
          </w:p>
        </w:tc>
        <w:tc>
          <w:tcPr>
            <w:tcW w:type="dxa" w:w="1465"/>
            <w:tcW w:w="737" w:type="dxa"/>
          </w:tcPr>
          <w:p>
            <w:r>
              <w:rPr>
                <w:rFonts w:ascii="Times New Roman" w:hAnsi="Times New Roman"/>
                <w:sz w:val="13"/>
              </w:rPr>
              <w:t>LA: 13,4% (SAS)</w:t>
              <w:br/>
              <w:t>TC: 26,0% (CES-D)</w:t>
            </w:r>
          </w:p>
        </w:tc>
        <w:tc>
          <w:tcPr>
            <w:tcW w:type="dxa" w:w="1465"/>
            <w:tcW w:w="4422" w:type="dxa"/>
          </w:tcPr>
          <w:p>
            <w:r>
              <w:rPr>
                <w:rFonts w:ascii="Times New Roman" w:hAnsi="Times New Roman"/>
                <w:sz w:val="13"/>
              </w:rPr>
              <w:t>Nuôi dạy tiêu cực (trừng phạt, kiểm soát quá mức) tăng nguy cơ trầm cảm (OR=1,82–2,01) và lo âu (OR=1,82–2,01). Nuôi dạy tích cực (ấm áp, hỗ trợ) giảm nguy cơ mạnh (OR=0,30–0,32). Khả năng phục hồi thấp là yếu tố nguy cơ rất mạnh: OR trầm cảm = 6,74. Tuy nhiên, giả thuyết trung tâm của bài (tương tác nuôi dạy × phục hồi) KHÔNG có ý nghĩa thống kê — giảm giá trị đóng góp mới.</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10</w:t>
            </w:r>
          </w:p>
        </w:tc>
        <w:tc>
          <w:tcPr>
            <w:tcW w:type="dxa" w:w="1465"/>
            <w:tcW w:w="793" w:type="dxa"/>
          </w:tcPr>
          <w:p>
            <w:r>
              <w:rPr>
                <w:rFonts w:ascii="Times New Roman" w:hAnsi="Times New Roman"/>
                <w:sz w:val="13"/>
              </w:rPr>
              <w:t>Xu và cs.</w:t>
              <w:br/>
              <w:t>(2021)</w:t>
            </w:r>
          </w:p>
        </w:tc>
        <w:tc>
          <w:tcPr>
            <w:tcW w:type="dxa" w:w="1465"/>
            <w:tcW w:w="680" w:type="dxa"/>
          </w:tcPr>
          <w:p>
            <w:r>
              <w:rPr>
                <w:rFonts w:ascii="Times New Roman" w:hAnsi="Times New Roman"/>
                <w:sz w:val="13"/>
              </w:rPr>
              <w:t>Trung Quốc</w:t>
              <w:br/>
              <w:t>n=373.216</w:t>
            </w:r>
          </w:p>
        </w:tc>
        <w:tc>
          <w:tcPr>
            <w:tcW w:type="dxa" w:w="1465"/>
            <w:tcW w:w="510" w:type="dxa"/>
          </w:tcPr>
          <w:p>
            <w:r>
              <w:rPr>
                <w:rFonts w:ascii="Times New Roman" w:hAnsi="Times New Roman"/>
                <w:sz w:val="13"/>
              </w:rPr>
              <w:t>GAD-7</w:t>
            </w:r>
          </w:p>
        </w:tc>
        <w:tc>
          <w:tcPr>
            <w:tcW w:type="dxa" w:w="1465"/>
            <w:tcW w:w="737" w:type="dxa"/>
          </w:tcPr>
          <w:p>
            <w:r>
              <w:rPr>
                <w:rFonts w:ascii="Times New Roman" w:hAnsi="Times New Roman"/>
                <w:sz w:val="13"/>
              </w:rPr>
              <w:t>LA: 9,89% (GAD-7, ≥ 5)</w:t>
              <w:br/>
              <w:t>TC: Không đo</w:t>
            </w:r>
          </w:p>
        </w:tc>
        <w:tc>
          <w:tcPr>
            <w:tcW w:type="dxa" w:w="1465"/>
            <w:tcW w:w="4422" w:type="dxa"/>
          </w:tcPr>
          <w:p>
            <w:r>
              <w:rPr>
                <w:rFonts w:ascii="Times New Roman" w:hAnsi="Times New Roman"/>
                <w:sz w:val="13"/>
              </w:rPr>
              <w:t>CỠ MẪU LỚN NHẤT TOÀN CẦU về lo âu ở HS (n=373.216). Tỷ lệ lo âu 9,89% — thấp hơn nhiều NC khác dù trong đỉnh COVID. Nam giới lo âu cao hơn nữ (10,11% vs 9,66%) — trái y văn (phù hợp Saikia, Wen). Nông thôn cao nhất (12,80%) — trái ngược kỳ vọng. COVID worry/fear level là yếu tố nguy cơ chính. Đăng J Affective Disorders (Q1, IF ≈ 6,6) — tạp chí hàng đầu.</w:t>
            </w:r>
          </w:p>
        </w:tc>
        <w:tc>
          <w:tcPr>
            <w:tcW w:type="dxa" w:w="1465"/>
            <w:tcW w:w="283" w:type="dxa"/>
          </w:tcPr>
          <w:p>
            <w:r>
              <w:rPr>
                <w:rFonts w:ascii="Times New Roman" w:hAnsi="Times New Roman"/>
                <w:sz w:val="13"/>
              </w:rPr>
              <w:t>⭐⭐⭐⭐⭐</w:t>
            </w:r>
          </w:p>
        </w:tc>
      </w:tr>
      <w:tr>
        <w:tc>
          <w:tcPr>
            <w:tcW w:type="dxa" w:w="1465"/>
            <w:tcW w:w="226" w:type="dxa"/>
          </w:tcPr>
          <w:p>
            <w:r>
              <w:rPr>
                <w:rFonts w:ascii="Times New Roman" w:hAnsi="Times New Roman"/>
                <w:sz w:val="13"/>
              </w:rPr>
              <w:t>11</w:t>
            </w:r>
          </w:p>
        </w:tc>
        <w:tc>
          <w:tcPr>
            <w:tcW w:type="dxa" w:w="1465"/>
            <w:tcW w:w="793" w:type="dxa"/>
          </w:tcPr>
          <w:p>
            <w:r>
              <w:rPr>
                <w:rFonts w:ascii="Times New Roman" w:hAnsi="Times New Roman"/>
                <w:sz w:val="13"/>
              </w:rPr>
              <w:t>Bhardwaj và cs.</w:t>
              <w:br/>
              <w:t>(2020)</w:t>
            </w:r>
          </w:p>
        </w:tc>
        <w:tc>
          <w:tcPr>
            <w:tcW w:type="dxa" w:w="1465"/>
            <w:tcW w:w="680" w:type="dxa"/>
          </w:tcPr>
          <w:p>
            <w:r>
              <w:rPr>
                <w:rFonts w:ascii="Times New Roman" w:hAnsi="Times New Roman"/>
                <w:sz w:val="13"/>
              </w:rPr>
              <w:t>Ấn Độ</w:t>
              <w:br/>
              <w:t>n=288</w:t>
            </w:r>
          </w:p>
        </w:tc>
        <w:tc>
          <w:tcPr>
            <w:tcW w:type="dxa" w:w="1465"/>
            <w:tcW w:w="510" w:type="dxa"/>
          </w:tcPr>
          <w:p>
            <w:r>
              <w:rPr>
                <w:rFonts w:ascii="Times New Roman" w:hAnsi="Times New Roman"/>
                <w:sz w:val="13"/>
              </w:rPr>
              <w:t>DASS-21</w:t>
            </w:r>
          </w:p>
        </w:tc>
        <w:tc>
          <w:tcPr>
            <w:tcW w:type="dxa" w:w="1465"/>
            <w:tcW w:w="737" w:type="dxa"/>
          </w:tcPr>
          <w:p>
            <w:r>
              <w:rPr>
                <w:rFonts w:ascii="Times New Roman" w:hAnsi="Times New Roman"/>
                <w:sz w:val="13"/>
              </w:rPr>
              <w:t>LA: 73,3% (DASS-21)</w:t>
              <w:br/>
              <w:t>TC: 64,9%</w:t>
            </w:r>
          </w:p>
        </w:tc>
        <w:tc>
          <w:tcPr>
            <w:tcW w:type="dxa" w:w="1465"/>
            <w:tcW w:w="4422" w:type="dxa"/>
          </w:tcPr>
          <w:p>
            <w:r>
              <w:rPr>
                <w:rFonts w:ascii="Times New Roman" w:hAnsi="Times New Roman"/>
                <w:sz w:val="13"/>
              </w:rPr>
              <w:t>Tỷ lệ cao nhất trong 11 bài: lo âu 73,3%, trầm cảm 64,9%, căng thẳng 74,7%. Lo âu nặng + cực nặng chiếm 46,8% — gần một nửa mẫu. Đối tượng là HS trường công lập với hoàn cảnh kinh tế thấp — gợi ý mối liên hệ mạnh giữa điều kiện kinh tế và SKTT. Tuy nhiên, tỷ lệ cực cao có thể do DASS-21 với ngưỡng thấp trong bối cảnh dân số có nguy cơ cao.</w:t>
            </w:r>
          </w:p>
        </w:tc>
        <w:tc>
          <w:tcPr>
            <w:tcW w:type="dxa" w:w="1465"/>
            <w:tcW w:w="283" w:type="dxa"/>
          </w:tcPr>
          <w:p>
            <w:r>
              <w:rPr>
                <w:rFonts w:ascii="Times New Roman" w:hAnsi="Times New Roman"/>
                <w:sz w:val="13"/>
              </w:rPr>
              <w:t>⭐⭐</w:t>
            </w:r>
          </w:p>
        </w:tc>
      </w:tr>
    </w:tbl>
    <w:p>
      <w:r>
        <w:rPr>
          <w:rFonts w:ascii="Times New Roman" w:hAnsi="Times New Roman"/>
          <w:b w:val="0"/>
          <w:i/>
          <w:sz w:val="14"/>
        </w:rPr>
        <w:t>CL = Chất lượng: ⭐⭐ Thấp | ⭐⭐⭐ Trung bình | ⭐⭐⭐⭐ Tốt | ⭐⭐⭐⭐⭐ Xuất sắc. LA = Lo âu, TC = Trầm cảm.</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