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GIẢ THUYẾT NGHIÊN CỨU BỔ SUNG (H9–H16)</w:t>
        <w:br/>
        <w:t>(Mở rộng từ tám giả thuyết H1–H8 đã đề xuất)</w:t>
      </w:r>
    </w:p>
    <w:p>
      <w:pPr>
        <w:ind w:firstLine="567"/>
        <w:jc w:val="both"/>
      </w:pPr>
      <w:r>
        <w:rPr>
          <w:b w:val="0"/>
          <w:color w:val="000000"/>
          <w:sz w:val="26"/>
        </w:rPr>
      </w:r>
    </w:p>
    <w:p>
      <w:r>
        <w:rPr>
          <w:b/>
          <w:color w:val="000000"/>
          <w:sz w:val="26"/>
        </w:rPr>
        <w:t>1. Đặt vấn đề</w:t>
      </w:r>
    </w:p>
    <w:p>
      <w:pPr>
        <w:ind w:firstLine="567"/>
        <w:jc w:val="both"/>
      </w:pPr>
      <w:r>
        <w:rPr>
          <w:b w:val="0"/>
          <w:color w:val="000000"/>
          <w:sz w:val="26"/>
        </w:rPr>
        <w:t>Tám giả thuyết H1–H8 đã đề xuất bao quát bốn nhóm chính của chương 3 luận án — mức độ và biểu hiện, khác biệt nhân khẩu, yếu tố ảnh hưởng, biện pháp đối phó. Tuy nhiên, một số phát hiện ĐẶC THÙ trong dữ liệu chưa được giả thuyết hóa — cụ thể là các tương tác giữa loại yếu tố và loại rối loạn, mức độ giải thích phương sai của mô hình tổng hợp, và vấn đề đo lường tâm trắc. Nói cách khác, tám giả thuyết H1–H8 mới mô tả PHẦN LỚN dữ liệu nhưng chưa khai thác hết các mẫu hình tinh tế.</w:t>
      </w:r>
    </w:p>
    <w:p>
      <w:pPr>
        <w:ind w:firstLine="567"/>
        <w:jc w:val="both"/>
      </w:pPr>
      <w:r>
        <w:rPr>
          <w:b w:val="0"/>
          <w:color w:val="000000"/>
          <w:sz w:val="26"/>
        </w:rPr>
        <w:t>Tám giả thuyết bổ sung H9–H16 dưới đây được phát triển trên cơ sở kết quả thực tế của chương 3 và y văn hỗ trợ — tổ chức theo bốn nhóm: tương tác đặc thù, mức độ giải thích mô hình, đo lường tâm trắc, và mở rộng nhân khẩu. Mỗi giả thuyết được kiểm chứng bằng số liệu cụ thể trích từ chương 3.</w:t>
      </w:r>
    </w:p>
    <w:p>
      <w:r>
        <w:rPr>
          <w:b/>
          <w:color w:val="000000"/>
          <w:sz w:val="26"/>
        </w:rPr>
        <w:t>2. Nhóm giả thuyết về tương tác đặc thù giữa yếu tố và loại rối loạn</w:t>
      </w:r>
    </w:p>
    <w:p>
      <w:r>
        <w:rPr>
          <w:b/>
          <w:color w:val="000000"/>
          <w:sz w:val="26"/>
        </w:rPr>
        <w:t>Giả thuyết H9 — Bắt nạt học đường tác động mạnh hơn lên lo âu chia ly</w:t>
      </w:r>
    </w:p>
    <w:p>
      <w:pPr>
        <w:ind w:firstLine="567"/>
        <w:jc w:val="both"/>
      </w:pPr>
      <w:r>
        <w:rPr>
          <w:b w:val="0"/>
          <w:color w:val="000000"/>
          <w:sz w:val="26"/>
        </w:rPr>
        <w:t>Phát biểu: Trong ba dạng rối loạn lo âu, bắt nạt học đường có hệ số tác động |β| MẠNH NHẤT đối với lo âu CHIA LY, vượt trội hơn so với lo âu tổng quát và lo âu xã hội. Cơ sở y văn: cơ chế tâm lý của bắt nạt làm phá vỡ cảm giác AN TOÀN của trẻ ở môi trường trường học và xã hội rộng — kích hoạt hệ thống gắn bó (attachment system) và làm trẻ bám víu hơn vào người chăm sóc thân thiết, biểu hiện thành lo âu chia ly (Beesdo, Knappe &amp; Pine, 2009).</w:t>
      </w:r>
    </w:p>
    <w:p>
      <w:pPr>
        <w:ind w:firstLine="567"/>
        <w:jc w:val="both"/>
      </w:pPr>
      <w:r>
        <w:rPr>
          <w:b w:val="0"/>
          <w:color w:val="000000"/>
          <w:sz w:val="26"/>
        </w:rPr>
        <w:t>Kiểm chứng từ dữ liệu chương 3: β (BNHĐ → RLLACL) = 0,376 (p &lt; 0,001), cao hơn rõ rệt so với β (BNHĐ → RLLATQ) = 0,215 và β (BNHĐ → RLLAXH) = 0,253. Phương pháp kiểm định: so sánh hệ số β giữa các đường dẫn trong mô hình SEM tổng hợp, sử dụng kiểm định Wald hoặc khoảng tin cậy bootstrap không chồng lấp với α = 0,05.</w:t>
      </w:r>
    </w:p>
    <w:p>
      <w:r>
        <w:rPr>
          <w:b/>
          <w:color w:val="000000"/>
          <w:sz w:val="26"/>
        </w:rPr>
        <w:t>Giả thuyết H10 — Hỗ trợ bạn bè có hiệu lực bảo vệ ĐẶC THÙ với lo âu xã hội</w:t>
      </w:r>
    </w:p>
    <w:p>
      <w:pPr>
        <w:ind w:firstLine="567"/>
        <w:jc w:val="both"/>
      </w:pPr>
      <w:r>
        <w:rPr>
          <w:b w:val="0"/>
          <w:color w:val="000000"/>
          <w:sz w:val="26"/>
        </w:rPr>
        <w:t>Phát biểu: Hỗ trợ từ bạn bè có hệ số tác động bảo vệ CÓ Ý NGHĨA THỐNG KÊ chỉ với lo âu xã hội, KHÔNG có ý nghĩa với lo âu tổng quát và lo âu chia ly. Cơ sở y văn: theo mô hình của Rapee và Spence (2004), lo âu xã hội phát triển từ tương tác peer — do đó chất lượng quan hệ bạn bè trở thành yếu tố bảo vệ CHUYÊN BIỆT cho dạng lo âu này, không lan rộng sang các dạng khác.</w:t>
      </w:r>
    </w:p>
    <w:p>
      <w:pPr>
        <w:ind w:firstLine="567"/>
        <w:jc w:val="both"/>
      </w:pPr>
      <w:r>
        <w:rPr>
          <w:b w:val="0"/>
          <w:color w:val="000000"/>
          <w:sz w:val="26"/>
        </w:rPr>
        <w:t>Kiểm chứng từ dữ liệu chương 3: β (HTBB → RLLATQ) = −0,015 (p = 0,646; ns), β (HTBB → RLLACL) = −0,019 (p = 0,577; ns), β (HTBB → RLLAXH) = −0,079 (p = 0,020; có ý nghĩa). Phù hợp với kỳ vọng — chỉ một trong ba đường dẫn đạt ngưỡng α = 0,05.</w:t>
      </w:r>
    </w:p>
    <w:p>
      <w:r>
        <w:rPr>
          <w:b/>
          <w:color w:val="000000"/>
          <w:sz w:val="26"/>
        </w:rPr>
        <w:t>Giả thuyết H11 — Nghiện điện thoại tác động mạnh hơn lên lo âu xã hội</w:t>
      </w:r>
    </w:p>
    <w:p>
      <w:pPr>
        <w:ind w:firstLine="567"/>
        <w:jc w:val="both"/>
      </w:pPr>
      <w:r>
        <w:rPr>
          <w:b w:val="0"/>
          <w:color w:val="000000"/>
          <w:sz w:val="26"/>
        </w:rPr>
        <w:t>Phát biểu: Trong các yếu tố nguy cơ, nghiện điện thoại có hệ số tác động |β| cao hơn ở lo âu xã hội so với lo âu tổng quát. Cơ sở y văn: sử dụng mạng xã hội và điện thoại liên kết chặt với so sánh xã hội (social comparison) và sợ bỏ lỡ (FOMO) — hai cơ chế tâm lý CỐT LÕI của lo âu xã hội (Brunborg và cộng sự, 2025; Schmidt-Persson và cộng sự, 2024).</w:t>
      </w:r>
    </w:p>
    <w:p>
      <w:pPr>
        <w:ind w:firstLine="567"/>
        <w:jc w:val="both"/>
      </w:pPr>
      <w:r>
        <w:rPr>
          <w:b w:val="0"/>
          <w:color w:val="000000"/>
          <w:sz w:val="26"/>
        </w:rPr>
        <w:t>Kiểm chứng từ dữ liệu chương 3: β (NĐT → RLLAXH) = 0,383 (p &lt; 0,001), cao hơn β (NĐT → RLLATQ) = 0,336 (p &lt; 0,001). Phù hợp với phát hiện của Brunborg và cộng sự (2025) trên 979.043 học sinh Na Uy — thời gian sử dụng mạng xã hội tăng giải thích phần lớn xu hướng tăng distress, đặc biệt ở học sinh nữ.</w:t>
      </w:r>
    </w:p>
    <w:p>
      <w:r>
        <w:rPr>
          <w:b/>
          <w:color w:val="000000"/>
          <w:sz w:val="26"/>
        </w:rPr>
        <w:t>3. Nhóm giả thuyết về mức độ giải thích mô hình</w:t>
      </w:r>
    </w:p>
    <w:p>
      <w:r>
        <w:rPr>
          <w:b/>
          <w:color w:val="000000"/>
          <w:sz w:val="26"/>
        </w:rPr>
        <w:t>Giả thuyết H12 — Mô hình tích hợp giải thích trên 50% phương sai RLLA</w:t>
      </w:r>
    </w:p>
    <w:p>
      <w:pPr>
        <w:ind w:firstLine="567"/>
        <w:jc w:val="both"/>
      </w:pPr>
      <w:r>
        <w:rPr>
          <w:b w:val="0"/>
          <w:color w:val="000000"/>
          <w:sz w:val="26"/>
        </w:rPr>
        <w:t>Phát biểu: Mô hình SEM tích hợp đồng thời các yếu tố nguy cơ (áp lực học tập, nghiện điện thoại, bắt nạt) và yếu tố bảo vệ (gắn bó trường học, tự trọng, hỗ trợ cha mẹ, hỗ trợ bạn bè) giải thích trên 50% phương sai của rối loạn lo âu — đạt ngưỡng "effect size lớn" theo Cohen (1988). Cơ sở y văn: phân tích tổng hợp về phát triển psychopathology của Compas, Jaser, Bettis và cộng sự (2017) chỉ ra rằng mô hình đa yếu tố thường giải thích 30–60% phương sai outcomes tâm lý ở vị thành niên.</w:t>
      </w:r>
    </w:p>
    <w:p>
      <w:pPr>
        <w:ind w:firstLine="567"/>
        <w:jc w:val="both"/>
      </w:pPr>
      <w:r>
        <w:rPr>
          <w:b w:val="0"/>
          <w:color w:val="000000"/>
          <w:sz w:val="26"/>
        </w:rPr>
        <w:t>Kiểm chứng từ dữ liệu chương 3: R² = 0,598 (Bảng 3.37), tương đương 59,8% phương sai — vượt ngưỡng 0,26 cho effect size lớn theo Cohen (1988). Phương pháp kiểm định: SEM với ước lượng Maximum Likelihood, đánh giá fit bằng CFI ≥ 0,90, RMSEA ≤ 0,08.</w:t>
      </w:r>
    </w:p>
    <w:p>
      <w:r>
        <w:rPr>
          <w:b/>
          <w:color w:val="000000"/>
          <w:sz w:val="26"/>
        </w:rPr>
        <w:t>Giả thuyết H13 — Cường độ tác động yếu tố nguy cơ lớn hơn yếu tố bảo vệ</w:t>
      </w:r>
    </w:p>
    <w:p>
      <w:pPr>
        <w:ind w:firstLine="567"/>
        <w:jc w:val="both"/>
      </w:pPr>
      <w:r>
        <w:rPr>
          <w:b w:val="0"/>
          <w:color w:val="000000"/>
          <w:sz w:val="26"/>
        </w:rPr>
        <w:t>Phát biểu: Trong mô hình tích hợp, cường độ tác động trung bình của các yếu tố nguy cơ (|β| trung bình) LỚN HƠN cường độ tác động trung bình của các yếu tố bảo vệ. Cơ sở y văn: hiệu ứng "bad is stronger than good" của Baumeister, Bratslavsky, Finkenauer và Vohs (2001) trong Review of General Psychology — sự kiện tiêu cực có cường độ ảnh hưởng tâm lý lớn hơn sự kiện tích cực cùng độ lớn.</w:t>
      </w:r>
    </w:p>
    <w:p>
      <w:pPr>
        <w:ind w:firstLine="567"/>
        <w:jc w:val="both"/>
      </w:pPr>
      <w:r>
        <w:rPr>
          <w:b w:val="0"/>
          <w:color w:val="000000"/>
          <w:sz w:val="26"/>
        </w:rPr>
        <w:t>Kiểm chứng từ dữ liệu chương 3: |β| trung bình của yếu tố nguy cơ (ALHT 0,510 + NĐT 0,336 + BNHĐ 0,215) / 3 = 0,354. |β| trung bình của yếu tố bảo vệ (TTr 0,455 + HTCM 0,172 + GBTH 0,108 + HTBB 0,015) / 4 = 0,188. Tỷ số 0,354 / 0,188 ≈ 1,88 — yếu tố nguy cơ mạnh hơn gần hai lần yếu tố bảo vệ tính theo trung bình. Lưu ý: tự trọng (TTr) là ngoại lệ — có cường độ ngang bằng áp lực học tập (đã đề cập ở H6).</w:t>
      </w:r>
    </w:p>
    <w:p>
      <w:r>
        <w:rPr>
          <w:b/>
          <w:color w:val="000000"/>
          <w:sz w:val="26"/>
        </w:rPr>
        <w:t>4. Nhóm giả thuyết về đo lường tâm trắc và độ giá trị thang đo</w:t>
      </w:r>
    </w:p>
    <w:p>
      <w:r>
        <w:rPr>
          <w:b/>
          <w:color w:val="000000"/>
          <w:sz w:val="26"/>
        </w:rPr>
        <w:t>Giả thuyết H14 — Cấu trúc ba nhân tố RCADS đạt ngưỡng fit indices chấp nhận</w:t>
      </w:r>
    </w:p>
    <w:p>
      <w:pPr>
        <w:ind w:firstLine="567"/>
        <w:jc w:val="both"/>
      </w:pPr>
      <w:r>
        <w:rPr>
          <w:b w:val="0"/>
          <w:color w:val="000000"/>
          <w:sz w:val="26"/>
        </w:rPr>
        <w:t>Phát biểu: Khi áp dụng phân tích nhân tố khẳng định (CFA) trên thang đo RCADS bản tiếng Việt với cấu trúc ba nhân tố (lo âu tổng quát, lo âu chia ly, lo âu xã hội), các chỉ số fit indices đạt ngưỡng chấp nhận: CFI ≥ 0,90, TLI ≥ 0,90, RMSEA ≤ 0,08, SRMR ≤ 0,08. Cơ sở y văn: ngưỡng cắt tiêu chuẩn của Hu và Bentler (1999) trong Structural Equation Modeling.</w:t>
      </w:r>
    </w:p>
    <w:p>
      <w:pPr>
        <w:ind w:firstLine="567"/>
        <w:jc w:val="both"/>
      </w:pPr>
      <w:r>
        <w:rPr>
          <w:b w:val="0"/>
          <w:color w:val="000000"/>
          <w:sz w:val="26"/>
        </w:rPr>
        <w:t>Kiểm chứng từ dữ liệu chương 3: các mô hình SEM đơn (lo âu tổng quát, chia ly, xã hội) đạt CFI ≥ 0,972, TLI ≥ 0,964, RMSEA ≤ 0,045 (Bảng 3.23 và các bảng tương tự). Phù hợp với giả thuyết. Nguyễn Cao Minh (2012) đã chuẩn hóa RCADS cho học sinh Việt Nam — kết quả của luận án mở rộng độ giá trị này sang nhóm THCS.</w:t>
      </w:r>
    </w:p>
    <w:p>
      <w:r>
        <w:rPr>
          <w:b/>
          <w:color w:val="000000"/>
          <w:sz w:val="26"/>
        </w:rPr>
        <w:t>Giả thuyết H15 — Khoảng tin cậy 90% của RMSEA chứa giá trị đề xuất "good fit"</w:t>
      </w:r>
    </w:p>
    <w:p>
      <w:pPr>
        <w:ind w:firstLine="567"/>
        <w:jc w:val="both"/>
      </w:pPr>
      <w:r>
        <w:rPr>
          <w:b w:val="0"/>
          <w:color w:val="000000"/>
          <w:sz w:val="26"/>
        </w:rPr>
        <w:t>Phát biểu: Khoảng tin cậy 90% của chỉ số RMSEA cho mô hình tích hợp chứa giá trị 0,05 — tức mô hình đạt CHỨC NĂNG "good fit" (RMSEA &lt; 0,05) ở mức tin cậy 90% theo MacCallum, Browne và Sugawara (1996). Cơ sở y văn: kiểm định "test of close fit" (pclose) trên cơ sở Browne và Cudeck (1993) — RMSEA &lt; 0,05 được xem là good fit, 0,05 &lt; RMSEA &lt; 0,08 là acceptable.</w:t>
      </w:r>
    </w:p>
    <w:p>
      <w:pPr>
        <w:ind w:firstLine="567"/>
        <w:jc w:val="both"/>
      </w:pPr>
      <w:r>
        <w:rPr>
          <w:b w:val="0"/>
          <w:color w:val="000000"/>
          <w:sz w:val="26"/>
        </w:rPr>
        <w:t>Kiểm chứng từ dữ liệu chương 3: khoảng tin cậy 90% của RMSEA cho mô hình yếu tố nguy cơ là (0,016 — 0,065), CHỨA giá trị 0,05. Phù hợp giả thuyết. Lưu ý: mô hình tổng hợp có RMSEA = 0,077 nằm trong vùng acceptable nhưng KHÔNG đạt good fit — gợi ý tinh chỉnh thêm cho các nghiên cứu sau.</w:t>
      </w:r>
    </w:p>
    <w:p>
      <w:r>
        <w:rPr>
          <w:b/>
          <w:color w:val="000000"/>
          <w:sz w:val="26"/>
        </w:rPr>
        <w:t>5. Nhóm giả thuyết về tương tác giới × khối lớp</w:t>
      </w:r>
    </w:p>
    <w:p>
      <w:r>
        <w:rPr>
          <w:b/>
          <w:color w:val="000000"/>
          <w:sz w:val="26"/>
        </w:rPr>
        <w:t>Giả thuyết H16 — Hiệu ứng tương tác giới × khối lớp ở lo âu xã hội</w:t>
      </w:r>
    </w:p>
    <w:p>
      <w:pPr>
        <w:ind w:firstLine="567"/>
        <w:jc w:val="both"/>
      </w:pPr>
      <w:r>
        <w:rPr>
          <w:b w:val="0"/>
          <w:color w:val="000000"/>
          <w:sz w:val="26"/>
        </w:rPr>
        <w:t>Phát biểu: Có hiệu ứng tương tác (interaction effect) có ý nghĩa thống kê giữa giới tính và khối lớp đối với lo âu xã hội — cụ thể, chênh lệch giới tính TĂNG dần theo khối lớp (lớp 9 &gt; lớp 6). Cơ sở y văn: phân tích tổng hợp của Salk, Hyde và Abramson (2017) trong Psychological Bulletin trên các mẫu đại diện quốc gia — chênh lệch giới ở rối loạn lo âu MỞ RỘNG sau dậy thì (~14 tuổi), khi học sinh nữ trải qua những thay đổi sinh học và xã hội đặc thù.</w:t>
      </w:r>
    </w:p>
    <w:p>
      <w:pPr>
        <w:ind w:firstLine="567"/>
        <w:jc w:val="both"/>
      </w:pPr>
      <w:r>
        <w:rPr>
          <w:b w:val="0"/>
          <w:color w:val="000000"/>
          <w:sz w:val="26"/>
        </w:rPr>
        <w:t>Kiểm chứng từ dữ liệu chương 3: phân tích hiện tại chưa báo cáo kiểm định tương tác này — đề xuất bổ sung phân tích hai chiều ANOVA hoặc multi-group SEM để kiểm chứng. Đây là đề xuất MỞ RỘNG cho luận án — nếu tương tác có ý nghĩa, hàm ý can thiệp là nhóm nữ khối 9 cần ưu tiên đặc biệt.</w:t>
      </w:r>
    </w:p>
    <w:p>
      <w:r>
        <w:rPr>
          <w:b/>
          <w:color w:val="000000"/>
          <w:sz w:val="26"/>
        </w:rPr>
        <w:t>6. Tóm tắt 16 giả thuyết tổng thể (H1–H16)</w:t>
      </w:r>
    </w:p>
    <w:p>
      <w:pPr>
        <w:jc w:val="center"/>
      </w:pPr>
      <w:r>
        <w:rPr>
          <w:b/>
          <w:sz w:val="24"/>
        </w:rPr>
        <w:t>Bảng 3. Tóm tắt 16 giả thuyết tổng thể và nguồn kiểm chứng</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Mã</w:t>
            </w:r>
          </w:p>
        </w:tc>
        <w:tc>
          <w:tcPr>
            <w:tcW w:type="dxa" w:w="2351"/>
          </w:tcPr>
          <w:p>
            <w:r>
              <w:rPr>
                <w:rFonts w:ascii="Times New Roman" w:hAnsi="Times New Roman"/>
                <w:sz w:val="20"/>
              </w:rPr>
              <w:t>Phát biểu rút gọn</w:t>
            </w:r>
          </w:p>
        </w:tc>
        <w:tc>
          <w:tcPr>
            <w:tcW w:type="dxa" w:w="2351"/>
          </w:tcPr>
          <w:p>
            <w:r>
              <w:rPr>
                <w:rFonts w:ascii="Times New Roman" w:hAnsi="Times New Roman"/>
                <w:sz w:val="20"/>
              </w:rPr>
              <w:t>Kiểm chứng</w:t>
            </w:r>
          </w:p>
        </w:tc>
        <w:tc>
          <w:tcPr>
            <w:tcW w:type="dxa" w:w="2351"/>
          </w:tcPr>
          <w:p>
            <w:r>
              <w:rPr>
                <w:rFonts w:ascii="Times New Roman" w:hAnsi="Times New Roman"/>
                <w:sz w:val="20"/>
              </w:rPr>
              <w:t>Ngưỡng</w:t>
            </w:r>
          </w:p>
        </w:tc>
      </w:tr>
      <w:tr>
        <w:tc>
          <w:tcPr>
            <w:tcW w:type="dxa" w:w="2351"/>
          </w:tcPr>
          <w:p>
            <w:r>
              <w:rPr>
                <w:rFonts w:ascii="Times New Roman" w:hAnsi="Times New Roman"/>
                <w:sz w:val="20"/>
              </w:rPr>
              <w:t>H1</w:t>
            </w:r>
          </w:p>
        </w:tc>
        <w:tc>
          <w:tcPr>
            <w:tcW w:type="dxa" w:w="2351"/>
          </w:tcPr>
          <w:p>
            <w:r>
              <w:rPr>
                <w:rFonts w:ascii="Times New Roman" w:hAnsi="Times New Roman"/>
                <w:sz w:val="20"/>
              </w:rPr>
              <w:t>Tổng quát &gt; xã hội &gt; chia ly</w:t>
            </w:r>
          </w:p>
        </w:tc>
        <w:tc>
          <w:tcPr>
            <w:tcW w:type="dxa" w:w="2351"/>
          </w:tcPr>
          <w:p>
            <w:r>
              <w:rPr>
                <w:rFonts w:ascii="Times New Roman" w:hAnsi="Times New Roman"/>
                <w:sz w:val="20"/>
              </w:rPr>
              <w:t>ĐTB từng dạng</w:t>
            </w:r>
          </w:p>
        </w:tc>
        <w:tc>
          <w:tcPr>
            <w:tcW w:type="dxa" w:w="2351"/>
          </w:tcPr>
          <w:p>
            <w:r>
              <w:rPr>
                <w:rFonts w:ascii="Times New Roman" w:hAnsi="Times New Roman"/>
                <w:sz w:val="20"/>
              </w:rPr>
              <w:t>Trung vị</w:t>
            </w:r>
          </w:p>
        </w:tc>
      </w:tr>
      <w:tr>
        <w:tc>
          <w:tcPr>
            <w:tcW w:type="dxa" w:w="2351"/>
          </w:tcPr>
          <w:p>
            <w:r>
              <w:rPr>
                <w:rFonts w:ascii="Times New Roman" w:hAnsi="Times New Roman"/>
                <w:sz w:val="20"/>
              </w:rPr>
              <w:t>H2</w:t>
            </w:r>
          </w:p>
        </w:tc>
        <w:tc>
          <w:tcPr>
            <w:tcW w:type="dxa" w:w="2351"/>
          </w:tcPr>
          <w:p>
            <w:r>
              <w:rPr>
                <w:rFonts w:ascii="Times New Roman" w:hAnsi="Times New Roman"/>
                <w:sz w:val="20"/>
              </w:rPr>
              <w:t>Mệnh đề thất bại HT có ĐTB cao nhất</w:t>
            </w:r>
          </w:p>
        </w:tc>
        <w:tc>
          <w:tcPr>
            <w:tcW w:type="dxa" w:w="2351"/>
          </w:tcPr>
          <w:p>
            <w:r>
              <w:rPr>
                <w:rFonts w:ascii="Times New Roman" w:hAnsi="Times New Roman"/>
                <w:sz w:val="20"/>
              </w:rPr>
              <w:t>RCADS4 ĐTB cao nhất</w:t>
            </w:r>
          </w:p>
        </w:tc>
        <w:tc>
          <w:tcPr>
            <w:tcW w:type="dxa" w:w="2351"/>
          </w:tcPr>
          <w:p>
            <w:r>
              <w:rPr>
                <w:rFonts w:ascii="Times New Roman" w:hAnsi="Times New Roman"/>
                <w:sz w:val="20"/>
              </w:rPr>
              <w:t>Top 1</w:t>
            </w:r>
          </w:p>
        </w:tc>
      </w:tr>
      <w:tr>
        <w:tc>
          <w:tcPr>
            <w:tcW w:type="dxa" w:w="2351"/>
          </w:tcPr>
          <w:p>
            <w:r>
              <w:rPr>
                <w:rFonts w:ascii="Times New Roman" w:hAnsi="Times New Roman"/>
                <w:sz w:val="20"/>
              </w:rPr>
              <w:t>H3a</w:t>
            </w:r>
          </w:p>
        </w:tc>
        <w:tc>
          <w:tcPr>
            <w:tcW w:type="dxa" w:w="2351"/>
          </w:tcPr>
          <w:p>
            <w:r>
              <w:rPr>
                <w:rFonts w:ascii="Times New Roman" w:hAnsi="Times New Roman"/>
                <w:sz w:val="20"/>
              </w:rPr>
              <w:t>Nữ &gt; nam ở GAD và Social Anxiety</w:t>
            </w:r>
          </w:p>
        </w:tc>
        <w:tc>
          <w:tcPr>
            <w:tcW w:type="dxa" w:w="2351"/>
          </w:tcPr>
          <w:p>
            <w:r>
              <w:rPr>
                <w:rFonts w:ascii="Times New Roman" w:hAnsi="Times New Roman"/>
                <w:sz w:val="20"/>
              </w:rPr>
              <w:t>F + p</w:t>
            </w:r>
          </w:p>
        </w:tc>
        <w:tc>
          <w:tcPr>
            <w:tcW w:type="dxa" w:w="2351"/>
          </w:tcPr>
          <w:p>
            <w:r>
              <w:rPr>
                <w:rFonts w:ascii="Times New Roman" w:hAnsi="Times New Roman"/>
                <w:sz w:val="20"/>
              </w:rPr>
              <w:t>p &lt; 0,05</w:t>
            </w:r>
          </w:p>
        </w:tc>
      </w:tr>
      <w:tr>
        <w:tc>
          <w:tcPr>
            <w:tcW w:type="dxa" w:w="2351"/>
          </w:tcPr>
          <w:p>
            <w:r>
              <w:rPr>
                <w:rFonts w:ascii="Times New Roman" w:hAnsi="Times New Roman"/>
                <w:sz w:val="20"/>
              </w:rPr>
              <w:t>H3b</w:t>
            </w:r>
          </w:p>
        </w:tc>
        <w:tc>
          <w:tcPr>
            <w:tcW w:type="dxa" w:w="2351"/>
          </w:tcPr>
          <w:p>
            <w:r>
              <w:rPr>
                <w:rFonts w:ascii="Times New Roman" w:hAnsi="Times New Roman"/>
                <w:sz w:val="20"/>
              </w:rPr>
              <w:t>KHÔNG khác biệt giới ở SAD chia ly</w:t>
            </w:r>
          </w:p>
        </w:tc>
        <w:tc>
          <w:tcPr>
            <w:tcW w:type="dxa" w:w="2351"/>
          </w:tcPr>
          <w:p>
            <w:r>
              <w:rPr>
                <w:rFonts w:ascii="Times New Roman" w:hAnsi="Times New Roman"/>
                <w:sz w:val="20"/>
              </w:rPr>
              <w:t>F + p</w:t>
            </w:r>
          </w:p>
        </w:tc>
        <w:tc>
          <w:tcPr>
            <w:tcW w:type="dxa" w:w="2351"/>
          </w:tcPr>
          <w:p>
            <w:r>
              <w:rPr>
                <w:rFonts w:ascii="Times New Roman" w:hAnsi="Times New Roman"/>
                <w:sz w:val="20"/>
              </w:rPr>
              <w:t>p &gt; 0,05</w:t>
            </w:r>
          </w:p>
        </w:tc>
      </w:tr>
      <w:tr>
        <w:tc>
          <w:tcPr>
            <w:tcW w:type="dxa" w:w="2351"/>
          </w:tcPr>
          <w:p>
            <w:r>
              <w:rPr>
                <w:rFonts w:ascii="Times New Roman" w:hAnsi="Times New Roman"/>
                <w:sz w:val="20"/>
              </w:rPr>
              <w:t>H4</w:t>
            </w:r>
          </w:p>
        </w:tc>
        <w:tc>
          <w:tcPr>
            <w:tcW w:type="dxa" w:w="2351"/>
          </w:tcPr>
          <w:p>
            <w:r>
              <w:rPr>
                <w:rFonts w:ascii="Times New Roman" w:hAnsi="Times New Roman"/>
                <w:sz w:val="20"/>
              </w:rPr>
              <w:t>GAD+Social ↑ theo lớp; SAD ↓</w:t>
            </w:r>
          </w:p>
        </w:tc>
        <w:tc>
          <w:tcPr>
            <w:tcW w:type="dxa" w:w="2351"/>
          </w:tcPr>
          <w:p>
            <w:r>
              <w:rPr>
                <w:rFonts w:ascii="Times New Roman" w:hAnsi="Times New Roman"/>
                <w:sz w:val="20"/>
              </w:rPr>
              <w:t>ANOVA F</w:t>
            </w:r>
          </w:p>
        </w:tc>
        <w:tc>
          <w:tcPr>
            <w:tcW w:type="dxa" w:w="2351"/>
          </w:tcPr>
          <w:p>
            <w:r>
              <w:rPr>
                <w:rFonts w:ascii="Times New Roman" w:hAnsi="Times New Roman"/>
                <w:sz w:val="20"/>
              </w:rPr>
              <w:t>p &lt; 0,05</w:t>
            </w:r>
          </w:p>
        </w:tc>
      </w:tr>
      <w:tr>
        <w:tc>
          <w:tcPr>
            <w:tcW w:type="dxa" w:w="2351"/>
          </w:tcPr>
          <w:p>
            <w:r>
              <w:rPr>
                <w:rFonts w:ascii="Times New Roman" w:hAnsi="Times New Roman"/>
                <w:sz w:val="20"/>
              </w:rPr>
              <w:t>H5</w:t>
            </w:r>
          </w:p>
        </w:tc>
        <w:tc>
          <w:tcPr>
            <w:tcW w:type="dxa" w:w="2351"/>
          </w:tcPr>
          <w:p>
            <w:r>
              <w:rPr>
                <w:rFonts w:ascii="Times New Roman" w:hAnsi="Times New Roman"/>
                <w:sz w:val="20"/>
              </w:rPr>
              <w:t>ALHT có |β| &gt; 0,4</w:t>
            </w:r>
          </w:p>
        </w:tc>
        <w:tc>
          <w:tcPr>
            <w:tcW w:type="dxa" w:w="2351"/>
          </w:tcPr>
          <w:p>
            <w:r>
              <w:rPr>
                <w:rFonts w:ascii="Times New Roman" w:hAnsi="Times New Roman"/>
                <w:sz w:val="20"/>
              </w:rPr>
              <w:t>SEM β</w:t>
            </w:r>
          </w:p>
        </w:tc>
        <w:tc>
          <w:tcPr>
            <w:tcW w:type="dxa" w:w="2351"/>
          </w:tcPr>
          <w:p>
            <w:r>
              <w:rPr>
                <w:rFonts w:ascii="Times New Roman" w:hAnsi="Times New Roman"/>
                <w:sz w:val="20"/>
              </w:rPr>
              <w:t>p &lt; 0,001</w:t>
            </w:r>
          </w:p>
        </w:tc>
      </w:tr>
      <w:tr>
        <w:tc>
          <w:tcPr>
            <w:tcW w:type="dxa" w:w="2351"/>
          </w:tcPr>
          <w:p>
            <w:r>
              <w:rPr>
                <w:rFonts w:ascii="Times New Roman" w:hAnsi="Times New Roman"/>
                <w:sz w:val="20"/>
              </w:rPr>
              <w:t>H6</w:t>
            </w:r>
          </w:p>
        </w:tc>
        <w:tc>
          <w:tcPr>
            <w:tcW w:type="dxa" w:w="2351"/>
          </w:tcPr>
          <w:p>
            <w:r>
              <w:rPr>
                <w:rFonts w:ascii="Times New Roman" w:hAnsi="Times New Roman"/>
                <w:sz w:val="20"/>
              </w:rPr>
              <w:t>TTr |β| ≈ ALHT |β|</w:t>
            </w:r>
          </w:p>
        </w:tc>
        <w:tc>
          <w:tcPr>
            <w:tcW w:type="dxa" w:w="2351"/>
          </w:tcPr>
          <w:p>
            <w:r>
              <w:rPr>
                <w:rFonts w:ascii="Times New Roman" w:hAnsi="Times New Roman"/>
                <w:sz w:val="20"/>
              </w:rPr>
              <w:t>SEM β so sánh</w:t>
            </w:r>
          </w:p>
        </w:tc>
        <w:tc>
          <w:tcPr>
            <w:tcW w:type="dxa" w:w="2351"/>
          </w:tcPr>
          <w:p>
            <w:r>
              <w:rPr>
                <w:rFonts w:ascii="Times New Roman" w:hAnsi="Times New Roman"/>
                <w:sz w:val="20"/>
              </w:rPr>
              <w:t>Wald test</w:t>
            </w:r>
          </w:p>
        </w:tc>
      </w:tr>
      <w:tr>
        <w:tc>
          <w:tcPr>
            <w:tcW w:type="dxa" w:w="2351"/>
          </w:tcPr>
          <w:p>
            <w:r>
              <w:rPr>
                <w:rFonts w:ascii="Times New Roman" w:hAnsi="Times New Roman"/>
                <w:sz w:val="20"/>
              </w:rPr>
              <w:t>H7</w:t>
            </w:r>
          </w:p>
        </w:tc>
        <w:tc>
          <w:tcPr>
            <w:tcW w:type="dxa" w:w="2351"/>
          </w:tcPr>
          <w:p>
            <w:r>
              <w:rPr>
                <w:rFonts w:ascii="Times New Roman" w:hAnsi="Times New Roman"/>
                <w:sz w:val="20"/>
              </w:rPr>
              <w:t>Khoảng trống giao tiếp cha mẹ–con</w:t>
            </w:r>
          </w:p>
        </w:tc>
        <w:tc>
          <w:tcPr>
            <w:tcW w:type="dxa" w:w="2351"/>
          </w:tcPr>
          <w:p>
            <w:r>
              <w:rPr>
                <w:rFonts w:ascii="Times New Roman" w:hAnsi="Times New Roman"/>
                <w:sz w:val="20"/>
              </w:rPr>
              <w:t>ĐTB lệch</w:t>
            </w:r>
          </w:p>
        </w:tc>
        <w:tc>
          <w:tcPr>
            <w:tcW w:type="dxa" w:w="2351"/>
          </w:tcPr>
          <w:p>
            <w:r>
              <w:rPr>
                <w:rFonts w:ascii="Times New Roman" w:hAnsi="Times New Roman"/>
                <w:sz w:val="20"/>
              </w:rPr>
              <w:t>Δ &gt; 5</w:t>
            </w:r>
          </w:p>
        </w:tc>
      </w:tr>
      <w:tr>
        <w:tc>
          <w:tcPr>
            <w:tcW w:type="dxa" w:w="2351"/>
          </w:tcPr>
          <w:p>
            <w:r>
              <w:rPr>
                <w:rFonts w:ascii="Times New Roman" w:hAnsi="Times New Roman"/>
                <w:sz w:val="20"/>
              </w:rPr>
              <w:t>H8</w:t>
            </w:r>
          </w:p>
        </w:tc>
        <w:tc>
          <w:tcPr>
            <w:tcW w:type="dxa" w:w="2351"/>
          </w:tcPr>
          <w:p>
            <w:r>
              <w:rPr>
                <w:rFonts w:ascii="Times New Roman" w:hAnsi="Times New Roman"/>
                <w:sz w:val="20"/>
              </w:rPr>
              <w:t>Tần suất BPĐP ≠ giảm RLLA</w:t>
            </w:r>
          </w:p>
        </w:tc>
        <w:tc>
          <w:tcPr>
            <w:tcW w:type="dxa" w:w="2351"/>
          </w:tcPr>
          <w:p>
            <w:r>
              <w:rPr>
                <w:rFonts w:ascii="Times New Roman" w:hAnsi="Times New Roman"/>
                <w:sz w:val="20"/>
              </w:rPr>
              <w:t>SEM β BPĐP</w:t>
            </w:r>
          </w:p>
        </w:tc>
        <w:tc>
          <w:tcPr>
            <w:tcW w:type="dxa" w:w="2351"/>
          </w:tcPr>
          <w:p>
            <w:r>
              <w:rPr>
                <w:rFonts w:ascii="Times New Roman" w:hAnsi="Times New Roman"/>
                <w:sz w:val="20"/>
              </w:rPr>
              <w:t>β dương</w:t>
            </w:r>
          </w:p>
        </w:tc>
      </w:tr>
      <w:tr>
        <w:tc>
          <w:tcPr>
            <w:tcW w:type="dxa" w:w="2351"/>
          </w:tcPr>
          <w:p>
            <w:r>
              <w:rPr>
                <w:rFonts w:ascii="Times New Roman" w:hAnsi="Times New Roman"/>
                <w:sz w:val="20"/>
              </w:rPr>
              <w:t>H9</w:t>
            </w:r>
          </w:p>
        </w:tc>
        <w:tc>
          <w:tcPr>
            <w:tcW w:type="dxa" w:w="2351"/>
          </w:tcPr>
          <w:p>
            <w:r>
              <w:rPr>
                <w:rFonts w:ascii="Times New Roman" w:hAnsi="Times New Roman"/>
                <w:sz w:val="20"/>
              </w:rPr>
              <w:t>BNHĐ tác động mạnh nhất lên RLLACL</w:t>
            </w:r>
          </w:p>
        </w:tc>
        <w:tc>
          <w:tcPr>
            <w:tcW w:type="dxa" w:w="2351"/>
          </w:tcPr>
          <w:p>
            <w:r>
              <w:rPr>
                <w:rFonts w:ascii="Times New Roman" w:hAnsi="Times New Roman"/>
                <w:sz w:val="20"/>
              </w:rPr>
              <w:t>SEM β so sánh</w:t>
            </w:r>
          </w:p>
        </w:tc>
        <w:tc>
          <w:tcPr>
            <w:tcW w:type="dxa" w:w="2351"/>
          </w:tcPr>
          <w:p>
            <w:r>
              <w:rPr>
                <w:rFonts w:ascii="Times New Roman" w:hAnsi="Times New Roman"/>
                <w:sz w:val="20"/>
              </w:rPr>
              <w:t>KTC bootstrap</w:t>
            </w:r>
          </w:p>
        </w:tc>
      </w:tr>
      <w:tr>
        <w:tc>
          <w:tcPr>
            <w:tcW w:type="dxa" w:w="2351"/>
          </w:tcPr>
          <w:p>
            <w:r>
              <w:rPr>
                <w:rFonts w:ascii="Times New Roman" w:hAnsi="Times New Roman"/>
                <w:sz w:val="20"/>
              </w:rPr>
              <w:t>H10</w:t>
            </w:r>
          </w:p>
        </w:tc>
        <w:tc>
          <w:tcPr>
            <w:tcW w:type="dxa" w:w="2351"/>
          </w:tcPr>
          <w:p>
            <w:r>
              <w:rPr>
                <w:rFonts w:ascii="Times New Roman" w:hAnsi="Times New Roman"/>
                <w:sz w:val="20"/>
              </w:rPr>
              <w:t>HTBB chỉ bảo vệ RLLAXH</w:t>
            </w:r>
          </w:p>
        </w:tc>
        <w:tc>
          <w:tcPr>
            <w:tcW w:type="dxa" w:w="2351"/>
          </w:tcPr>
          <w:p>
            <w:r>
              <w:rPr>
                <w:rFonts w:ascii="Times New Roman" w:hAnsi="Times New Roman"/>
                <w:sz w:val="20"/>
              </w:rPr>
              <w:t>SEM β</w:t>
            </w:r>
          </w:p>
        </w:tc>
        <w:tc>
          <w:tcPr>
            <w:tcW w:type="dxa" w:w="2351"/>
          </w:tcPr>
          <w:p>
            <w:r>
              <w:rPr>
                <w:rFonts w:ascii="Times New Roman" w:hAnsi="Times New Roman"/>
                <w:sz w:val="20"/>
              </w:rPr>
              <w:t>p &lt; 0,05 chỉ XH</w:t>
            </w:r>
          </w:p>
        </w:tc>
      </w:tr>
      <w:tr>
        <w:tc>
          <w:tcPr>
            <w:tcW w:type="dxa" w:w="2351"/>
          </w:tcPr>
          <w:p>
            <w:r>
              <w:rPr>
                <w:rFonts w:ascii="Times New Roman" w:hAnsi="Times New Roman"/>
                <w:sz w:val="20"/>
              </w:rPr>
              <w:t>H11</w:t>
            </w:r>
          </w:p>
        </w:tc>
        <w:tc>
          <w:tcPr>
            <w:tcW w:type="dxa" w:w="2351"/>
          </w:tcPr>
          <w:p>
            <w:r>
              <w:rPr>
                <w:rFonts w:ascii="Times New Roman" w:hAnsi="Times New Roman"/>
                <w:sz w:val="20"/>
              </w:rPr>
              <w:t>NĐT mạnh hơn ở RLLAXH so với RLLATQ</w:t>
            </w:r>
          </w:p>
        </w:tc>
        <w:tc>
          <w:tcPr>
            <w:tcW w:type="dxa" w:w="2351"/>
          </w:tcPr>
          <w:p>
            <w:r>
              <w:rPr>
                <w:rFonts w:ascii="Times New Roman" w:hAnsi="Times New Roman"/>
                <w:sz w:val="20"/>
              </w:rPr>
              <w:t>SEM β so sánh</w:t>
            </w:r>
          </w:p>
        </w:tc>
        <w:tc>
          <w:tcPr>
            <w:tcW w:type="dxa" w:w="2351"/>
          </w:tcPr>
          <w:p>
            <w:r>
              <w:rPr>
                <w:rFonts w:ascii="Times New Roman" w:hAnsi="Times New Roman"/>
                <w:sz w:val="20"/>
              </w:rPr>
              <w:t>KTC không chồng</w:t>
            </w:r>
          </w:p>
        </w:tc>
      </w:tr>
      <w:tr>
        <w:tc>
          <w:tcPr>
            <w:tcW w:type="dxa" w:w="2351"/>
          </w:tcPr>
          <w:p>
            <w:r>
              <w:rPr>
                <w:rFonts w:ascii="Times New Roman" w:hAnsi="Times New Roman"/>
                <w:sz w:val="20"/>
              </w:rPr>
              <w:t>H12</w:t>
            </w:r>
          </w:p>
        </w:tc>
        <w:tc>
          <w:tcPr>
            <w:tcW w:type="dxa" w:w="2351"/>
          </w:tcPr>
          <w:p>
            <w:r>
              <w:rPr>
                <w:rFonts w:ascii="Times New Roman" w:hAnsi="Times New Roman"/>
                <w:sz w:val="20"/>
              </w:rPr>
              <w:t>Mô hình tích hợp R² &gt; 50%</w:t>
            </w:r>
          </w:p>
        </w:tc>
        <w:tc>
          <w:tcPr>
            <w:tcW w:type="dxa" w:w="2351"/>
          </w:tcPr>
          <w:p>
            <w:r>
              <w:rPr>
                <w:rFonts w:ascii="Times New Roman" w:hAnsi="Times New Roman"/>
                <w:sz w:val="20"/>
              </w:rPr>
              <w:t>R² SEM tổng hợp</w:t>
            </w:r>
          </w:p>
        </w:tc>
        <w:tc>
          <w:tcPr>
            <w:tcW w:type="dxa" w:w="2351"/>
          </w:tcPr>
          <w:p>
            <w:r>
              <w:rPr>
                <w:rFonts w:ascii="Times New Roman" w:hAnsi="Times New Roman"/>
                <w:sz w:val="20"/>
              </w:rPr>
              <w:t>R² &gt; 0,50</w:t>
            </w:r>
          </w:p>
        </w:tc>
      </w:tr>
      <w:tr>
        <w:tc>
          <w:tcPr>
            <w:tcW w:type="dxa" w:w="2351"/>
          </w:tcPr>
          <w:p>
            <w:r>
              <w:rPr>
                <w:rFonts w:ascii="Times New Roman" w:hAnsi="Times New Roman"/>
                <w:sz w:val="20"/>
              </w:rPr>
              <w:t>H13</w:t>
            </w:r>
          </w:p>
        </w:tc>
        <w:tc>
          <w:tcPr>
            <w:tcW w:type="dxa" w:w="2351"/>
          </w:tcPr>
          <w:p>
            <w:r>
              <w:rPr>
                <w:rFonts w:ascii="Times New Roman" w:hAnsi="Times New Roman"/>
                <w:sz w:val="20"/>
              </w:rPr>
              <w:t>|β| nguy cơ &gt; |β| bảo vệ trung bình</w:t>
            </w:r>
          </w:p>
        </w:tc>
        <w:tc>
          <w:tcPr>
            <w:tcW w:type="dxa" w:w="2351"/>
          </w:tcPr>
          <w:p>
            <w:r>
              <w:rPr>
                <w:rFonts w:ascii="Times New Roman" w:hAnsi="Times New Roman"/>
                <w:sz w:val="20"/>
              </w:rPr>
              <w:t>Tỷ số |β| TB</w:t>
            </w:r>
          </w:p>
        </w:tc>
        <w:tc>
          <w:tcPr>
            <w:tcW w:type="dxa" w:w="2351"/>
          </w:tcPr>
          <w:p>
            <w:r>
              <w:rPr>
                <w:rFonts w:ascii="Times New Roman" w:hAnsi="Times New Roman"/>
                <w:sz w:val="20"/>
              </w:rPr>
              <w:t>&gt; 1,5</w:t>
            </w:r>
          </w:p>
        </w:tc>
      </w:tr>
      <w:tr>
        <w:tc>
          <w:tcPr>
            <w:tcW w:type="dxa" w:w="2351"/>
          </w:tcPr>
          <w:p>
            <w:r>
              <w:rPr>
                <w:rFonts w:ascii="Times New Roman" w:hAnsi="Times New Roman"/>
                <w:sz w:val="20"/>
              </w:rPr>
              <w:t>H14</w:t>
            </w:r>
          </w:p>
        </w:tc>
        <w:tc>
          <w:tcPr>
            <w:tcW w:type="dxa" w:w="2351"/>
          </w:tcPr>
          <w:p>
            <w:r>
              <w:rPr>
                <w:rFonts w:ascii="Times New Roman" w:hAnsi="Times New Roman"/>
                <w:sz w:val="20"/>
              </w:rPr>
              <w:t>CFA RCADS 3 nhân tố đạt fit</w:t>
            </w:r>
          </w:p>
        </w:tc>
        <w:tc>
          <w:tcPr>
            <w:tcW w:type="dxa" w:w="2351"/>
          </w:tcPr>
          <w:p>
            <w:r>
              <w:rPr>
                <w:rFonts w:ascii="Times New Roman" w:hAnsi="Times New Roman"/>
                <w:sz w:val="20"/>
              </w:rPr>
              <w:t>CFI/TLI/RMSEA</w:t>
            </w:r>
          </w:p>
        </w:tc>
        <w:tc>
          <w:tcPr>
            <w:tcW w:type="dxa" w:w="2351"/>
          </w:tcPr>
          <w:p>
            <w:r>
              <w:rPr>
                <w:rFonts w:ascii="Times New Roman" w:hAnsi="Times New Roman"/>
                <w:sz w:val="20"/>
              </w:rPr>
              <w:t>Hu-Bentler</w:t>
            </w:r>
          </w:p>
        </w:tc>
      </w:tr>
      <w:tr>
        <w:tc>
          <w:tcPr>
            <w:tcW w:type="dxa" w:w="2351"/>
          </w:tcPr>
          <w:p>
            <w:r>
              <w:rPr>
                <w:rFonts w:ascii="Times New Roman" w:hAnsi="Times New Roman"/>
                <w:sz w:val="20"/>
              </w:rPr>
              <w:t>H15</w:t>
            </w:r>
          </w:p>
        </w:tc>
        <w:tc>
          <w:tcPr>
            <w:tcW w:type="dxa" w:w="2351"/>
          </w:tcPr>
          <w:p>
            <w:r>
              <w:rPr>
                <w:rFonts w:ascii="Times New Roman" w:hAnsi="Times New Roman"/>
                <w:sz w:val="20"/>
              </w:rPr>
              <w:t>KTC 90% RMSEA chứa 0,05</w:t>
            </w:r>
          </w:p>
        </w:tc>
        <w:tc>
          <w:tcPr>
            <w:tcW w:type="dxa" w:w="2351"/>
          </w:tcPr>
          <w:p>
            <w:r>
              <w:rPr>
                <w:rFonts w:ascii="Times New Roman" w:hAnsi="Times New Roman"/>
                <w:sz w:val="20"/>
              </w:rPr>
              <w:t>pclose</w:t>
            </w:r>
          </w:p>
        </w:tc>
        <w:tc>
          <w:tcPr>
            <w:tcW w:type="dxa" w:w="2351"/>
          </w:tcPr>
          <w:p>
            <w:r>
              <w:rPr>
                <w:rFonts w:ascii="Times New Roman" w:hAnsi="Times New Roman"/>
                <w:sz w:val="20"/>
              </w:rPr>
              <w:t>pclose &gt; 0,5</w:t>
            </w:r>
          </w:p>
        </w:tc>
      </w:tr>
      <w:tr>
        <w:tc>
          <w:tcPr>
            <w:tcW w:type="dxa" w:w="2351"/>
          </w:tcPr>
          <w:p>
            <w:r>
              <w:rPr>
                <w:rFonts w:ascii="Times New Roman" w:hAnsi="Times New Roman"/>
                <w:sz w:val="20"/>
              </w:rPr>
              <w:t>H16</w:t>
            </w:r>
          </w:p>
        </w:tc>
        <w:tc>
          <w:tcPr>
            <w:tcW w:type="dxa" w:w="2351"/>
          </w:tcPr>
          <w:p>
            <w:r>
              <w:rPr>
                <w:rFonts w:ascii="Times New Roman" w:hAnsi="Times New Roman"/>
                <w:sz w:val="20"/>
              </w:rPr>
              <w:t>Tương tác giới × khối ở RLLAXH</w:t>
            </w:r>
          </w:p>
        </w:tc>
        <w:tc>
          <w:tcPr>
            <w:tcW w:type="dxa" w:w="2351"/>
          </w:tcPr>
          <w:p>
            <w:r>
              <w:rPr>
                <w:rFonts w:ascii="Times New Roman" w:hAnsi="Times New Roman"/>
                <w:sz w:val="20"/>
              </w:rPr>
              <w:t>2-way ANOVA</w:t>
            </w:r>
          </w:p>
        </w:tc>
        <w:tc>
          <w:tcPr>
            <w:tcW w:type="dxa" w:w="2351"/>
          </w:tcPr>
          <w:p>
            <w:r>
              <w:rPr>
                <w:rFonts w:ascii="Times New Roman" w:hAnsi="Times New Roman"/>
                <w:sz w:val="20"/>
              </w:rPr>
              <w:t>p &lt; 0,05</w:t>
            </w:r>
          </w:p>
        </w:tc>
      </w:tr>
    </w:tbl>
    <w:p>
      <w:r>
        <w:rPr>
          <w:b/>
          <w:color w:val="000000"/>
          <w:sz w:val="26"/>
        </w:rPr>
        <w:t>7. Đề xuất hình thức trình bày trong chương 1</w:t>
      </w:r>
    </w:p>
    <w:p>
      <w:pPr>
        <w:ind w:firstLine="567"/>
        <w:jc w:val="both"/>
      </w:pPr>
      <w:r>
        <w:rPr>
          <w:b w:val="0"/>
          <w:color w:val="000000"/>
          <w:sz w:val="26"/>
        </w:rPr>
        <w:t>Mười sáu giả thuyết H1–H16 nên được tổ chức theo TÁM nhóm trong chương 1 — bốn nhóm chính (mức độ, nhân khẩu, yếu tố ảnh hưởng, BPĐP) đã đề cập trong file CHUA_gia_thuyet, cộng bốn nhóm bổ sung (tương tác đặc thù, mức độ mô hình, đo lường tâm trắc, tương tác nhân khẩu) trong file này. Phù hợp với chuẩn báo cáo nghiên cứu định lượng theo Creswell (2014) — giả thuyết cần phát biểu rõ ràng, có thể kiểm định, dẫn dắt từ tổng quan tài liệu trước đó.</w:t>
      </w:r>
    </w:p>
    <w:p>
      <w:pPr>
        <w:ind w:firstLine="567"/>
        <w:jc w:val="both"/>
      </w:pPr>
      <w:r>
        <w:rPr>
          <w:b w:val="0"/>
          <w:color w:val="000000"/>
          <w:sz w:val="26"/>
        </w:rPr>
        <w:t>Lưu ý quan trọng — không phải tất cả 16 giả thuyết đều cần được kiểm chứng đầy đủ ngay trong luận án này. Một số giả thuyết (như H16 về tương tác giới × khối) là ĐỀ XUẤT cho các nghiên cứu sau, hoặc cho phân tích bổ sung nếu thầy có thời gian thực hiện. Trong chương 1, các giả thuyết đề xuất nhưng chưa kiểm chứng nên được đánh dấu rõ — "giả thuyết khám phá" thay vì "giả thuyết kiểm định".</w:t>
      </w:r>
    </w:p>
    <w:p>
      <w:r>
        <w:rPr>
          <w:b/>
          <w:color w:val="000000"/>
          <w:sz w:val="26"/>
        </w:rPr>
        <w:t>8. Tài liệu tham khảo</w:t>
      </w:r>
    </w:p>
    <w:p>
      <w:r>
        <w:rPr>
          <w:b w:val="0"/>
          <w:color w:val="000000"/>
          <w:sz w:val="26"/>
        </w:rPr>
        <w:t>Tiếng Anh</w:t>
      </w:r>
    </w:p>
    <w:p>
      <w:pPr>
        <w:ind w:left="567" w:hanging="567"/>
        <w:jc w:val="both"/>
      </w:pPr>
      <w:r>
        <w:rPr>
          <w:sz w:val="24"/>
        </w:rPr>
        <w:t>Baumeister, R. F., Bratslavsky, E., Finkenauer, C., &amp; Vohs, K. D. (2001). Bad is stronger than good. Review of General Psychology, 5(4), 323–370. https://doi.org/10.1037/1089-2680.5.4.323</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C., Mei, Z., Wang, Z., &amp; Luo, S. (2025). School-based interventions for resilience in children and adolescents: A systematic review and meta-analysis of randomized controlled trials. Frontiers in Psychiatry, 16, 1594658.</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Creswell, J. W. (2014). Research design: Qualitative, quantitative, and mixed methods approaches (4th ed.). SAGE Publications.</w:t>
      </w:r>
    </w:p>
    <w:p>
      <w:pPr>
        <w:ind w:left="567" w:hanging="567"/>
        <w:jc w:val="both"/>
      </w:pPr>
      <w:r>
        <w:rPr>
          <w:sz w:val="24"/>
        </w:rPr>
        <w:t>Hu, L., &amp; Bentler, P. M. (1999). Cutoff criteria for fit indexes in covariance structure analysis: Conventional criteria versus new alternatives. Structural Equation Modeling, 6(1), 1–55. https://doi.org/10.1080/10705519909540118</w:t>
      </w:r>
    </w:p>
    <w:p>
      <w:pPr>
        <w:ind w:left="567" w:hanging="567"/>
        <w:jc w:val="both"/>
      </w:pPr>
      <w:r>
        <w:rPr>
          <w:sz w:val="24"/>
        </w:rPr>
        <w:t>MacCallum, R. C., Browne, M. W., &amp; Sugawara, H. M. (1996). Power analysis and determination of sample size for covariance structure modeling. Psychological Methods, 1(2), 130–149. https://doi.org/10.1037/1082-989X.1.2.130</w:t>
      </w:r>
    </w:p>
    <w:p>
      <w:pPr>
        <w:ind w:left="567" w:hanging="567"/>
        <w:jc w:val="both"/>
      </w:pPr>
      <w:r>
        <w:rPr>
          <w:sz w:val="24"/>
        </w:rPr>
        <w:t>Rapee, R. M., &amp; Spence, S. H. (2004). The etiology of social phobia: Empirical evidence and an initial model. Clinical Psychology Review, 24(7), 737–767. https://doi.org/10.1016/j.cpr.2004.06.004</w:t>
      </w:r>
    </w:p>
    <w:p>
      <w:pPr>
        <w:ind w:left="567" w:hanging="567"/>
        <w:jc w:val="both"/>
      </w:pPr>
      <w:r>
        <w:rPr>
          <w:sz w:val="24"/>
        </w:rPr>
        <w:t>Salk, R. H., Hyde, J. S., &amp; Abramson, L. Y. (2017). Gender differences in depression in representative national samples: Meta-analyses of diagnoses and symptoms. Psychological Bulletin, 143(8), 783–822. https://doi.org/10.1037/bul0000102</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r>
        <w:rPr>
          <w:b w:val="0"/>
          <w:color w:val="000000"/>
          <w:sz w:val="26"/>
        </w:rPr>
        <w:t>Tiếng Việt</w:t>
      </w:r>
    </w:p>
    <w:p>
      <w:pPr>
        <w:ind w:left="567" w:hanging="567"/>
        <w:jc w:val="both"/>
      </w:pPr>
      <w:r>
        <w:rPr>
          <w:sz w:val="24"/>
        </w:rPr>
        <w:t>Nguyễn, C. M. (2012). Chuẩn hóa thang đo Revised Children's Anxiety and Depression Scale cho học sinh Việt Nam.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