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Tỷ lệ HS chủ động tìm gặp bác sĩ tâm lý ở trường</w:t>
      </w:r>
    </w:p>
    <w:p>
      <w:r>
        <w:rPr>
          <w:b/>
          <w:color w:val="1F497D"/>
          <w:sz w:val="28"/>
        </w:rPr>
        <w:t>— so với tổng số HS có vấn đề lo âu/SKTT —</w:t>
      </w:r>
    </w:p>
    <w:p>
      <w:r>
        <w:rPr>
          <w:b/>
          <w:color w:val="1F497D"/>
          <w:sz w:val="28"/>
        </w:rPr>
        <w:t>Câu hỏi của thầy</w:t>
      </w:r>
    </w:p>
    <w:p>
      <w:r>
        <w:rPr>
          <w:b w:val="0"/>
          <w:color w:val="0070C0"/>
          <w:sz w:val="24"/>
        </w:rPr>
        <w:t>Có tài liệu nào ước tính về tỷ lệ HS chủ động tìm gặp bác sĩ tâm lý ở trường so với tổng có vấn đề lo âu hoặc SKTT không?</w:t>
      </w:r>
    </w:p>
    <w:p>
      <w:r>
        <w:rPr>
          <w:b/>
          <w:color w:val="1F497D"/>
          <w:sz w:val="28"/>
        </w:rPr>
        <w:t>1. Tổng quan: khái niệm "treatment gap" và "help-seeking"</w:t>
      </w:r>
    </w:p>
    <w:p>
      <w:r>
        <w:rPr>
          <w:b w:val="0"/>
          <w:i w:val="0"/>
          <w:color w:val="000000"/>
          <w:sz w:val="24"/>
        </w:rPr>
        <w:t>Trong dịch tễ tâm thần, có hai khái niệm liên quan thầy cần phân biệt:</w:t>
      </w:r>
    </w:p>
    <w:p>
      <w:pPr>
        <w:pStyle w:val="ListBullet"/>
      </w:pPr>
      <w:r>
        <w:rPr>
          <w:i w:val="0"/>
          <w:color w:val="000000"/>
          <w:sz w:val="24"/>
        </w:rPr>
        <w:t>Treatment gap (khoảng cách điều trị) = % người có rối loạn nhưng KHÔNG nhận được bất kỳ dịch vụ chăm sóc nào.</w:t>
      </w:r>
    </w:p>
    <w:p>
      <w:pPr>
        <w:pStyle w:val="ListBullet"/>
      </w:pPr>
      <w:r>
        <w:rPr>
          <w:i w:val="0"/>
          <w:color w:val="000000"/>
          <w:sz w:val="24"/>
        </w:rPr>
        <w:t>Help-seeking (hành vi tìm kiếm sự giúp đỡ) = chia nhỏ theo loại nguồn hỗ trợ: chuyên gia tâm thần, bác sĩ đa khoa, nhân viên trường, gia đình, bạn bè, hoặc tự giải quyết.</w:t>
      </w:r>
    </w:p>
    <w:p>
      <w:r>
        <w:rPr>
          <w:b w:val="0"/>
          <w:i w:val="0"/>
          <w:color w:val="000000"/>
          <w:sz w:val="24"/>
        </w:rPr>
        <w:t>Câu hỏi của thầy thuộc về help-seeking — cụ thể là "tìm gặp bác sĩ/chuyên gia tâm lý tại TRƯỜNG" (school-based mental health service). Đây là một subset rất nhỏ trong tổng help-seeking.</w:t>
      </w:r>
    </w:p>
    <w:p>
      <w:r>
        <w:rPr>
          <w:b/>
          <w:color w:val="1F497D"/>
          <w:sz w:val="28"/>
        </w:rPr>
        <w:t>2. Nguồn dữ liệu CHÍNH cho Việt Nam: VNAMHS 2022 (VN002)</w:t>
      </w:r>
    </w:p>
    <w:p>
      <w:r>
        <w:rPr>
          <w:b w:val="0"/>
          <w:i w:val="0"/>
          <w:color w:val="000000"/>
          <w:sz w:val="24"/>
        </w:rPr>
        <w:t>V-NAMHS 2022 (Viet Nam Adolescent Mental Health Survey) là báo cáo điều tra QUỐC GIA ĐẦU TIÊN của VN về rối loạn SKTT vị thành niên 10–17 tuổi theo chuẩn DSM-5. UNICEF Việt Nam phối hợp Bộ LĐ-TB-XH + Tổng cục Thống kê + Viện Xã hội học. Mẫu đại diện quốc gia 5.996 cặp phụ huynh–vị thành niên từ 38 tỉnh/thành, 4 vùng địa lý. Đây là NGUỒN ĐÁNG TIN CẬY NHẤT cho VN hiện nay.</w:t>
      </w:r>
    </w:p>
    <w:p>
      <w:r>
        <w:rPr>
          <w:b/>
          <w:color w:val="1F497D"/>
          <w:sz w:val="24"/>
        </w:rPr>
        <w:t>Số liệu cốt lõi từ VN002 (mục "Sử dụng dịch vụ"):</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2"/>
              </w:rPr>
              <w:t>Chỉ số</w:t>
            </w:r>
          </w:p>
        </w:tc>
        <w:tc>
          <w:tcPr>
            <w:tcW w:type="dxa" w:w="4844"/>
          </w:tcPr>
          <w:p>
            <w:r>
              <w:rPr>
                <w:rFonts w:ascii="Times New Roman" w:hAnsi="Times New Roman"/>
                <w:sz w:val="22"/>
              </w:rPr>
              <w:t>Tỷ lệ (weighted theo dân số VTN VN)</w:t>
            </w:r>
          </w:p>
        </w:tc>
      </w:tr>
      <w:tr>
        <w:tc>
          <w:tcPr>
            <w:tcW w:type="dxa" w:w="4844"/>
          </w:tcPr>
          <w:p>
            <w:r>
              <w:rPr>
                <w:rFonts w:ascii="Times New Roman" w:hAnsi="Times New Roman"/>
                <w:sz w:val="22"/>
              </w:rPr>
              <w:t>Tỷ lệ VTN có vấn đề SKTT (mental health problem, 12 tháng qua)</w:t>
            </w:r>
          </w:p>
        </w:tc>
        <w:tc>
          <w:tcPr>
            <w:tcW w:type="dxa" w:w="4844"/>
          </w:tcPr>
          <w:p>
            <w:r>
              <w:rPr>
                <w:rFonts w:ascii="Times New Roman" w:hAnsi="Times New Roman"/>
                <w:sz w:val="22"/>
              </w:rPr>
              <w:t>21,7%</w:t>
            </w:r>
          </w:p>
        </w:tc>
      </w:tr>
      <w:tr>
        <w:tc>
          <w:tcPr>
            <w:tcW w:type="dxa" w:w="4844"/>
          </w:tcPr>
          <w:p>
            <w:r>
              <w:rPr>
                <w:rFonts w:ascii="Times New Roman" w:hAnsi="Times New Roman"/>
                <w:sz w:val="22"/>
              </w:rPr>
              <w:t>Tỷ lệ VTN có rối loạn DSM-5 (full criteria)</w:t>
            </w:r>
          </w:p>
        </w:tc>
        <w:tc>
          <w:tcPr>
            <w:tcW w:type="dxa" w:w="4844"/>
          </w:tcPr>
          <w:p>
            <w:r>
              <w:rPr>
                <w:rFonts w:ascii="Times New Roman" w:hAnsi="Times New Roman"/>
                <w:sz w:val="22"/>
              </w:rPr>
              <w:t>Lo âu cao nhất; ~5–8% (clinical level)</w:t>
            </w:r>
          </w:p>
        </w:tc>
      </w:tr>
      <w:tr>
        <w:tc>
          <w:tcPr>
            <w:tcW w:type="dxa" w:w="4844"/>
          </w:tcPr>
          <w:p>
            <w:r>
              <w:rPr>
                <w:rFonts w:ascii="Times New Roman" w:hAnsi="Times New Roman"/>
                <w:sz w:val="22"/>
              </w:rPr>
              <w:t>Trong nhóm có vấn đề SKTT — đã sử dụng BẤT KỲ dịch vụ nào</w:t>
            </w:r>
          </w:p>
        </w:tc>
        <w:tc>
          <w:tcPr>
            <w:tcW w:type="dxa" w:w="4844"/>
          </w:tcPr>
          <w:p>
            <w:r>
              <w:rPr>
                <w:rFonts w:ascii="Times New Roman" w:hAnsi="Times New Roman"/>
                <w:sz w:val="22"/>
              </w:rPr>
              <w:t>8,4% (n = 389)</w:t>
            </w:r>
          </w:p>
        </w:tc>
      </w:tr>
      <w:tr>
        <w:tc>
          <w:tcPr>
            <w:tcW w:type="dxa" w:w="4844"/>
          </w:tcPr>
          <w:p>
            <w:r>
              <w:rPr>
                <w:rFonts w:ascii="Times New Roman" w:hAnsi="Times New Roman"/>
                <w:sz w:val="22"/>
              </w:rPr>
              <w:t>Trong nhóm đã sử dụng — đến bác sĩ/điều dưỡng (cơ sở y tế)</w:t>
            </w:r>
          </w:p>
        </w:tc>
        <w:tc>
          <w:tcPr>
            <w:tcW w:type="dxa" w:w="4844"/>
          </w:tcPr>
          <w:p>
            <w:r>
              <w:rPr>
                <w:rFonts w:ascii="Times New Roman" w:hAnsi="Times New Roman"/>
                <w:sz w:val="22"/>
              </w:rPr>
              <w:t>56,2%</w:t>
            </w:r>
          </w:p>
        </w:tc>
      </w:tr>
      <w:tr>
        <w:tc>
          <w:tcPr>
            <w:tcW w:type="dxa" w:w="4844"/>
          </w:tcPr>
          <w:p>
            <w:r>
              <w:rPr>
                <w:rFonts w:ascii="Times New Roman" w:hAnsi="Times New Roman"/>
                <w:sz w:val="22"/>
              </w:rPr>
              <w:t>Trong nhóm đã sử dụng — đến nhân viên y tế cộng đồng</w:t>
            </w:r>
          </w:p>
        </w:tc>
        <w:tc>
          <w:tcPr>
            <w:tcW w:type="dxa" w:w="4844"/>
          </w:tcPr>
          <w:p>
            <w:r>
              <w:rPr>
                <w:rFonts w:ascii="Times New Roman" w:hAnsi="Times New Roman"/>
                <w:sz w:val="22"/>
              </w:rPr>
              <w:t>10,7%</w:t>
            </w:r>
          </w:p>
        </w:tc>
      </w:tr>
      <w:tr>
        <w:tc>
          <w:tcPr>
            <w:tcW w:type="dxa" w:w="4844"/>
          </w:tcPr>
          <w:p>
            <w:r>
              <w:rPr>
                <w:rFonts w:ascii="Times New Roman" w:hAnsi="Times New Roman"/>
                <w:sz w:val="22"/>
              </w:rPr>
              <w:t>Trong nhóm đã sử dụng — đến NHÂN VIÊN TRƯỜNG (school staff)</w:t>
            </w:r>
          </w:p>
        </w:tc>
        <w:tc>
          <w:tcPr>
            <w:tcW w:type="dxa" w:w="4844"/>
          </w:tcPr>
          <w:p>
            <w:r>
              <w:rPr>
                <w:rFonts w:ascii="Times New Roman" w:hAnsi="Times New Roman"/>
                <w:sz w:val="22"/>
              </w:rPr>
              <w:t>5,5%</w:t>
            </w:r>
          </w:p>
        </w:tc>
      </w:tr>
      <w:tr>
        <w:tc>
          <w:tcPr>
            <w:tcW w:type="dxa" w:w="4844"/>
          </w:tcPr>
          <w:p>
            <w:r>
              <w:rPr>
                <w:rFonts w:ascii="Times New Roman" w:hAnsi="Times New Roman"/>
                <w:sz w:val="22"/>
              </w:rPr>
              <w:t>Trong nhóm đã sử dụng — đến chuyên gia tâm thần (psychiatrist/psychologist)</w:t>
            </w:r>
          </w:p>
        </w:tc>
        <w:tc>
          <w:tcPr>
            <w:tcW w:type="dxa" w:w="4844"/>
          </w:tcPr>
          <w:p>
            <w:r>
              <w:rPr>
                <w:rFonts w:ascii="Times New Roman" w:hAnsi="Times New Roman"/>
                <w:sz w:val="22"/>
              </w:rPr>
              <w:t>1,4%</w:t>
            </w:r>
          </w:p>
        </w:tc>
      </w:tr>
    </w:tbl>
    <w:p>
      <w:r>
        <w:rPr>
          <w:b w:val="0"/>
          <w:i w:val="0"/>
          <w:color w:val="000000"/>
          <w:sz w:val="24"/>
        </w:rPr>
      </w:r>
    </w:p>
    <w:p>
      <w:r>
        <w:rPr>
          <w:b/>
          <w:i w:val="0"/>
          <w:color w:val="000000"/>
          <w:sz w:val="24"/>
        </w:rPr>
        <w:t>Một số phát hiện bổ sung từ VN002:</w:t>
      </w:r>
    </w:p>
    <w:p>
      <w:pPr>
        <w:pStyle w:val="ListBullet"/>
      </w:pPr>
      <w:r>
        <w:rPr>
          <w:i w:val="0"/>
          <w:color w:val="000000"/>
          <w:sz w:val="24"/>
        </w:rPr>
        <w:t>Chỉ 5,1% phụ huynh xác định được con cần trợ giúp; trong số đó chỉ 37,7% nhận đủ trợ giúp.</w:t>
      </w:r>
    </w:p>
    <w:p>
      <w:pPr>
        <w:pStyle w:val="ListBullet"/>
      </w:pPr>
      <w:r>
        <w:rPr>
          <w:i w:val="0"/>
          <w:color w:val="000000"/>
          <w:sz w:val="24"/>
        </w:rPr>
        <w:t>Hỗ trợ phi chính thức (gia đình, bạn bè, tự giải quyết): 73,9% VTN.</w:t>
      </w:r>
    </w:p>
    <w:p>
      <w:pPr>
        <w:pStyle w:val="ListBullet"/>
      </w:pPr>
      <w:r>
        <w:rPr>
          <w:i w:val="0"/>
          <w:color w:val="000000"/>
          <w:sz w:val="24"/>
        </w:rPr>
        <w:t>Rào cản hàng đầu: "tự giải quyết trong gia đình" 20,4%; "không chắc con có cần" 10,7%; "không biết chỗ tìm" 10,0%.</w:t>
      </w:r>
    </w:p>
    <w:p>
      <w:r>
        <w:rPr>
          <w:b/>
          <w:color w:val="1F497D"/>
          <w:sz w:val="28"/>
        </w:rPr>
        <w:t>3. Tính toán cụ thể cho câu hỏi của thầy</w:t>
      </w:r>
    </w:p>
    <w:p>
      <w:r>
        <w:rPr>
          <w:b w:val="0"/>
          <w:i w:val="0"/>
          <w:color w:val="000000"/>
          <w:sz w:val="24"/>
        </w:rPr>
        <w:t>Câu hỏi: "Tỷ lệ HS chủ động tìm gặp bác sĩ tâm lý Ở TRƯỜNG / tổng số HS có vấn đề SKTT" = ?</w:t>
      </w:r>
    </w:p>
    <w:p>
      <w:r>
        <w:rPr>
          <w:b/>
          <w:i w:val="0"/>
          <w:color w:val="000000"/>
          <w:sz w:val="24"/>
        </w:rPr>
        <w:t>Hai bước nhân:</w:t>
      </w:r>
    </w:p>
    <w:p>
      <w:pPr>
        <w:pStyle w:val="ListBullet"/>
      </w:pPr>
      <w:r>
        <w:rPr>
          <w:i w:val="0"/>
          <w:color w:val="000000"/>
          <w:sz w:val="24"/>
        </w:rPr>
        <w:t>Bước 1: 8,4% trong số HS có vấn đề SKTT đã sử dụng BẤT KỲ dịch vụ nào.</w:t>
      </w:r>
    </w:p>
    <w:p>
      <w:pPr>
        <w:pStyle w:val="ListBullet"/>
      </w:pPr>
      <w:r>
        <w:rPr>
          <w:i w:val="0"/>
          <w:color w:val="000000"/>
          <w:sz w:val="24"/>
        </w:rPr>
        <w:t>Bước 2: trong nhóm đã sử dụng, chỉ 5,5% đến nhân viên trường.</w:t>
      </w:r>
    </w:p>
    <w:p>
      <w:r>
        <w:rPr>
          <w:b/>
          <w:i w:val="0"/>
          <w:color w:val="000000"/>
          <w:sz w:val="24"/>
        </w:rPr>
        <w:t>=&gt; 8,4% × 5,5% ≈ 0,46% — tức trong 100 HS có vấn đề SKTT, CHƯA TỚI 1 EM tìm gặp nhân viên/phòng tư vấn trường.</w:t>
      </w:r>
    </w:p>
    <w:p>
      <w:r>
        <w:rPr>
          <w:b w:val="0"/>
          <w:i w:val="0"/>
          <w:color w:val="000000"/>
          <w:sz w:val="24"/>
        </w:rPr>
      </w:r>
    </w:p>
    <w:p>
      <w:r>
        <w:rPr>
          <w:b w:val="0"/>
          <w:i w:val="0"/>
          <w:color w:val="000000"/>
          <w:sz w:val="24"/>
        </w:rPr>
        <w:t>Lưu ý: VN002 dùng cụm "school staff" (nhân viên trường) bao gồm cả giáo viên chủ nhiệm, nhân viên y tế trường, và tham vấn viên — KHÔNG phân tách riêng "bác sĩ tâm lý ở trường". Vì hệ thống tham vấn học đường ở VN còn rất thưa thớt, con số 5,5% chủ yếu là HS gặp giáo viên/y tá trường, KHÔNG hẳn là chuyên gia tâm lý chuyên nghiệp.</w:t>
      </w:r>
    </w:p>
    <w:p>
      <w:r>
        <w:rPr>
          <w:b/>
          <w:color w:val="1F497D"/>
          <w:sz w:val="28"/>
        </w:rPr>
        <w:t>4. Treatment gap tổng cho VN</w:t>
      </w:r>
    </w:p>
    <w:p>
      <w:r>
        <w:rPr>
          <w:b w:val="0"/>
          <w:i w:val="0"/>
          <w:color w:val="000000"/>
          <w:sz w:val="24"/>
        </w:rPr>
        <w:t>100% − 8,4% = 91,6% HS có vấn đề SKTT KHÔNG nhận BẤT KỲ dịch vụ nào. Đây là treatment gap rất lớn, nằm ở mức cao trong khu vực Đông Nam Á.</w:t>
      </w:r>
    </w:p>
    <w:p>
      <w:r>
        <w:rPr>
          <w:b/>
          <w:color w:val="1F497D"/>
          <w:sz w:val="28"/>
        </w:rPr>
        <w:t>5. Các tài liệu BỔ SUNG trong corpus dự án</w:t>
      </w:r>
    </w:p>
    <w:p>
      <w:pPr>
        <w:pStyle w:val="ListBullet"/>
      </w:pPr>
      <w:r>
        <w:rPr>
          <w:i/>
          <w:color w:val="000000"/>
          <w:sz w:val="24"/>
        </w:rPr>
        <w:t>VN022 — UNICEF (2022) "Tâm điểm về Sức khỏe Tâm thần của Trẻ em Vị thành niên Nam và Nữ tại Việt Nam": khảo sát 668 HS THCS/THPT 5 tỉnh + 66 GV, có thông tin về stigma và rào cản help-seeking. Tham khảo bổ sung cho VN002.</w:t>
      </w:r>
    </w:p>
    <w:p>
      <w:pPr>
        <w:pStyle w:val="ListBullet"/>
      </w:pPr>
      <w:r>
        <w:rPr>
          <w:i/>
          <w:color w:val="000000"/>
          <w:sz w:val="24"/>
        </w:rPr>
        <w:t>QT008 — Wang et al. "A Latent Profile Analysis of Anxiety among Junior High School Students in Rural China": khuyến nghị "thiết lập phòng tư vấn tâm lý chuyên nghiệp tại trường" — gợi ý gap dịch vụ ở TQ cũng tương tự VN.</w:t>
      </w:r>
    </w:p>
    <w:p>
      <w:pPr>
        <w:pStyle w:val="ListBullet"/>
      </w:pPr>
      <w:r>
        <w:rPr>
          <w:i/>
          <w:color w:val="000000"/>
          <w:sz w:val="24"/>
        </w:rPr>
        <w:t>VN028 — Đào Thị Ngoãn và cs. (2025) ĐH Y Hà Nội: dùng "Bộ câu hỏi nhu cầu tham vấn tâm lý" trên SV năm 4 — có dữ liệu nhu cầu ở SV (không phải HS THCS/THPT).</w:t>
      </w:r>
    </w:p>
    <w:p>
      <w:pPr>
        <w:pStyle w:val="ListBullet"/>
      </w:pPr>
      <w:r>
        <w:rPr>
          <w:i/>
          <w:color w:val="000000"/>
          <w:sz w:val="24"/>
        </w:rPr>
        <w:t>QT066 — Murphy et al. (2024) Scoping review về peer support trong primary youth MH care (Ireland) — gián tiếp giải thích vì sao giới trẻ thường chọn bạn bè thay vì chuyên gia.</w:t>
      </w:r>
    </w:p>
    <w:p>
      <w:pPr>
        <w:pStyle w:val="ListBullet"/>
      </w:pPr>
      <w:r>
        <w:rPr>
          <w:i/>
          <w:color w:val="000000"/>
          <w:sz w:val="24"/>
        </w:rPr>
        <w:t>QT067 — Pascoe, Hetrick &amp; Parker (2020): nhắc đến school connectedness ↔ less anxiety nhưng KHÔNG có % help-seeking cụ thể.</w:t>
      </w:r>
    </w:p>
    <w:p>
      <w:r>
        <w:rPr>
          <w:b/>
          <w:color w:val="1F497D"/>
          <w:sz w:val="28"/>
        </w:rPr>
        <w:t>6. Tài liệu QUỐC TẾ NGOÀI corpus (đáng cân nhắc bổ sung)</w:t>
      </w:r>
    </w:p>
    <w:p>
      <w:pPr>
        <w:pStyle w:val="ListBullet"/>
      </w:pPr>
      <w:r>
        <w:rPr>
          <w:i/>
          <w:color w:val="000000"/>
          <w:sz w:val="24"/>
        </w:rPr>
        <w:t>Gulliver, A., Griffiths, K. M., &amp; Christensen, H. (2010). Perceived barriers and facilitators to mental health help-seeking in young people: A systematic review. BMC Psychiatry, 10, 113. — Tổng quan KINH ĐIỂN; rào cản hàng đầu: stigma, ngại bộc lộ, thích tự giải quyết.</w:t>
      </w:r>
    </w:p>
    <w:p>
      <w:pPr>
        <w:pStyle w:val="ListBullet"/>
      </w:pPr>
      <w:r>
        <w:rPr>
          <w:i/>
          <w:color w:val="000000"/>
          <w:sz w:val="24"/>
        </w:rPr>
        <w:t>Kessler, R. C., et al. (2009). The global burden of mental disorders: An update from the WHO World Mental Health (WMH) surveys. Epidemiology and Psychiatric Sciences. — Treatment gap toàn cầu ~50–80% ở thanh thiếu niên.</w:t>
      </w:r>
    </w:p>
    <w:p>
      <w:pPr>
        <w:pStyle w:val="ListBullet"/>
      </w:pPr>
      <w:r>
        <w:rPr>
          <w:i/>
          <w:color w:val="000000"/>
          <w:sz w:val="24"/>
        </w:rPr>
        <w:t>WHO (2021). Mental health atlas 2020. Geneva. — Số liệu so sánh quốc tế về service utilization.</w:t>
      </w:r>
    </w:p>
    <w:p>
      <w:pPr>
        <w:pStyle w:val="ListBullet"/>
      </w:pPr>
      <w:r>
        <w:rPr>
          <w:i/>
          <w:color w:val="000000"/>
          <w:sz w:val="24"/>
        </w:rPr>
        <w:t>Radez, J., et al. (2021). Why do children and adolescents (not) seek and access professional help for their mental health problems? A systematic review of quantitative and qualitative studies. European Child &amp; Adolescent Psychiatry, 30, 183–211. — Tổng quan mới; lý do trẻ TÌM hoặc KHÔNG tìm trợ giúp chuyên môn.</w:t>
      </w:r>
    </w:p>
    <w:p>
      <w:pPr>
        <w:pStyle w:val="ListBullet"/>
      </w:pPr>
      <w:r>
        <w:rPr>
          <w:i/>
          <w:color w:val="000000"/>
          <w:sz w:val="24"/>
        </w:rPr>
        <w:t>Health Behaviour in School-aged Children (HBSC) study — báo cáo định kỳ Châu Âu, có dữ liệu so sánh % HS gặp school nurse/counselor giữa các nước.</w:t>
      </w:r>
    </w:p>
    <w:p>
      <w:r>
        <w:rPr>
          <w:b/>
          <w:color w:val="0070C0"/>
          <w:sz w:val="28"/>
        </w:rPr>
        <w:t>7. CÂU TRẢ LỜI</w:t>
      </w:r>
    </w:p>
    <w:p>
      <w:r>
        <w:rPr>
          <w:b/>
          <w:color w:val="0070C0"/>
          <w:sz w:val="24"/>
        </w:rPr>
        <w:t>Trả lời ngắn cho thầy:</w:t>
      </w:r>
    </w:p>
    <w:p>
      <w:r>
        <w:rPr>
          <w:b w:val="0"/>
          <w:color w:val="0070C0"/>
          <w:sz w:val="24"/>
        </w:rPr>
        <w:t>CÓ — tài liệu chính cho VN là V-NAMHS 2022 (VN002 trong DB dự án), điều tra QUỐC GIA đầu tiên về SKTT vị thành niên VN. Đây là nguồn đáng tin cậy nhất hiện nay.</w:t>
      </w:r>
    </w:p>
    <w:p>
      <w:r>
        <w:rPr>
          <w:b/>
          <w:color w:val="0070C0"/>
          <w:sz w:val="24"/>
        </w:rPr>
        <w:t>Số liệu cốt lõi (VN002, weighted, đại diện toàn quốc VN):</w:t>
      </w:r>
    </w:p>
    <w:p>
      <w:pPr>
        <w:pStyle w:val="ListBullet"/>
      </w:pPr>
      <w:r>
        <w:rPr>
          <w:color w:val="0070C0"/>
          <w:sz w:val="24"/>
        </w:rPr>
        <w:t>21,7% VTN VN có vấn đề SKTT trong 12 tháng qua.</w:t>
      </w:r>
    </w:p>
    <w:p>
      <w:pPr>
        <w:pStyle w:val="ListBullet"/>
      </w:pPr>
      <w:r>
        <w:rPr>
          <w:color w:val="0070C0"/>
          <w:sz w:val="24"/>
        </w:rPr>
        <w:t>Trong nhóm này, chỉ 8,4% đã sử dụng bất kỳ dịch vụ nào → treatment gap = 91,6%.</w:t>
      </w:r>
    </w:p>
    <w:p>
      <w:pPr>
        <w:pStyle w:val="ListBullet"/>
      </w:pPr>
      <w:r>
        <w:rPr>
          <w:color w:val="0070C0"/>
          <w:sz w:val="24"/>
        </w:rPr>
        <w:t>Trong nhóm đã sử dụng dịch vụ, chỉ 5,5% đến NHÂN VIÊN TRƯỜNG.</w:t>
      </w:r>
    </w:p>
    <w:p>
      <w:pPr>
        <w:pStyle w:val="ListBullet"/>
      </w:pPr>
      <w:r>
        <w:rPr>
          <w:color w:val="0070C0"/>
          <w:sz w:val="24"/>
        </w:rPr>
        <w:t>Trong nhóm đã sử dụng dịch vụ, chỉ 1,4% đến CHUYÊN GIA TÂM THẦN.</w:t>
      </w:r>
    </w:p>
    <w:p>
      <w:r>
        <w:rPr>
          <w:b/>
          <w:color w:val="0070C0"/>
          <w:sz w:val="24"/>
        </w:rPr>
        <w:t>Tính toán trực tiếp cho câu hỏi của thầy:</w:t>
      </w:r>
    </w:p>
    <w:p>
      <w:pPr>
        <w:pStyle w:val="ListBullet"/>
      </w:pPr>
      <w:r>
        <w:rPr>
          <w:color w:val="0070C0"/>
          <w:sz w:val="24"/>
        </w:rPr>
        <w:t>Tỷ lệ HS có vấn đề SKTT mà CHỦ ĐỘNG TÌM tới nhân viên/phòng tư vấn TRƯỜNG = 8,4% × 5,5% ≈ 0,46% — tức TRONG 100 HS CÓ VẤN ĐỀ SKTT, CHƯA TỚI 1 EM tìm tới trường để được hỗ trợ.</w:t>
      </w:r>
    </w:p>
    <w:p>
      <w:pPr>
        <w:pStyle w:val="ListBullet"/>
      </w:pPr>
      <w:r>
        <w:rPr>
          <w:color w:val="0070C0"/>
          <w:sz w:val="24"/>
        </w:rPr>
        <w:t>Nếu tính chuyên gia tâm thần riêng: 8,4% × 1,4% ≈ 0,12% — tức 12/10.000 HS có vấn đề SKTT mới gặp được chuyên gia thực thụ.</w:t>
      </w:r>
    </w:p>
    <w:p>
      <w:r>
        <w:rPr>
          <w:b/>
          <w:color w:val="0070C0"/>
          <w:sz w:val="24"/>
        </w:rPr>
        <w:t>Cảnh báo về cách hiểu:</w:t>
      </w:r>
    </w:p>
    <w:p>
      <w:pPr>
        <w:pStyle w:val="ListBullet"/>
      </w:pPr>
      <w:r>
        <w:rPr>
          <w:color w:val="0070C0"/>
          <w:sz w:val="24"/>
        </w:rPr>
        <w:t>"School staff" trong VN002 bao gồm cả giáo viên chủ nhiệm, y tá trường, tham vấn viên — KHÔNG phân tách riêng "bác sĩ tâm lý chuyên nghiệp ở trường". Vì hệ thống tham vấn học đường VN còn thưa, con số 5,5% chủ yếu là HS gặp GV/y tá, không hẳn chuyên gia tâm lý.</w:t>
      </w:r>
    </w:p>
    <w:p>
      <w:pPr>
        <w:pStyle w:val="ListBullet"/>
      </w:pPr>
      <w:r>
        <w:rPr>
          <w:color w:val="0070C0"/>
          <w:sz w:val="24"/>
        </w:rPr>
        <w:t>Để có số liệu CHÍNH XÁC HƠN về "bác sĩ tâm lý ở trường" riêng biệt, cần khảo sát bổ sung — VN hiện chưa có bài nào tách rõ. Có thể dựa vào VN022 (UNICEF 2022) cho data khu vực, hoặc Gulliver 2010 / Radez 2021 cho khung phân loại quốc tế.</w:t>
      </w:r>
    </w:p>
    <w:p>
      <w:r>
        <w:rPr>
          <w:b/>
          <w:color w:val="0070C0"/>
          <w:sz w:val="24"/>
        </w:rPr>
        <w:t>Hàm ý cho đề tài lo âu HS THCS/THPT của thầy:</w:t>
      </w:r>
    </w:p>
    <w:p>
      <w:pPr>
        <w:pStyle w:val="ListBullet"/>
      </w:pPr>
      <w:r>
        <w:rPr>
          <w:color w:val="0070C0"/>
          <w:sz w:val="24"/>
        </w:rPr>
        <w:t>Treatment gap 91,6% là CON SỐ LỚN, đáng đưa vào phần "rationale" của đề cương — minh họa tính cấp thiết của can thiệp dựa vào trường (school-based intervention).</w:t>
      </w:r>
    </w:p>
    <w:p>
      <w:pPr>
        <w:pStyle w:val="ListBullet"/>
      </w:pPr>
      <w:r>
        <w:rPr>
          <w:color w:val="0070C0"/>
          <w:sz w:val="24"/>
        </w:rPr>
        <w:t>Nếu phát triển chương trình tư vấn học đường, baseline ~0,5% HS chủ động tìm gặp có thể là KPI dễ tăng — chỉ cần đạt 5–10% là đã cải thiện 10–20 lần.</w:t>
      </w:r>
    </w:p>
    <w:p>
      <w:pPr>
        <w:pStyle w:val="ListBullet"/>
      </w:pPr>
      <w:r>
        <w:rPr>
          <w:color w:val="0070C0"/>
          <w:sz w:val="24"/>
        </w:rPr>
        <w:t>Khi viết: nên dẫn VN002 trực tiếp + so sánh với GSHS 2019 (ý nghĩ tự sát 15,6% — cao hơn VN002 do GSHS dùng tự khai vs VN002 phỏng vấn face-to-face).</w:t>
      </w:r>
    </w:p>
    <w:p>
      <w:r>
        <w:rPr>
          <w:b/>
          <w:color w:val="0070C0"/>
          <w:sz w:val="24"/>
        </w:rPr>
        <w:t>Tóm lại:</w:t>
      </w:r>
    </w:p>
    <w:p>
      <w:r>
        <w:rPr>
          <w:b w:val="0"/>
          <w:color w:val="0070C0"/>
          <w:sz w:val="24"/>
        </w:rPr>
        <w:t>CÓ tài liệu (chính là VN002 VNAMHS 2022). Tỷ lệ HS chủ động tìm gặp tới nhân viên trường ≈ 0,46%. Treatment gap tổng = 91,6%. Đây là phát hiện rất quan trọng cho đề cương can thiệp.</w:t>
      </w:r>
    </w:p>
    <w:p>
      <w:r>
        <w:rPr>
          <w:b/>
          <w:color w:val="1F497D"/>
          <w:sz w:val="28"/>
        </w:rPr>
        <w:t>8. Phụ lục — Tài liệu tham khảo</w:t>
      </w:r>
    </w:p>
    <w:p>
      <w:r>
        <w:rPr>
          <w:b w:val="0"/>
          <w:i/>
          <w:color w:val="000000"/>
          <w:sz w:val="24"/>
        </w:rPr>
        <w:t>1. Viện Xã hội học, UNICEF Việt Nam, Bộ LĐ-TB-XH, Tổng cục Thống kê (2022). Khảo sát Sức khỏe Tâm thần Vị thành niên Việt Nam (V-NAMHS 2022). Hà Nội. — (VN002 trong DB dự án) Báo cáo điều tra quốc gia đầu tiên về SKTT VTN VN; n = 5.996 cặp phụ huynh-vị thành niên; chuẩn DSM-5 (DISC-5).</w:t>
      </w:r>
    </w:p>
    <w:p>
      <w:r>
        <w:rPr>
          <w:b w:val="0"/>
          <w:i/>
          <w:color w:val="000000"/>
          <w:sz w:val="24"/>
        </w:rPr>
        <w:t>2. UNICEF Việt Nam (2022). Tâm điểm về Sức khỏe Tâm thần của Trẻ em Vị thành niên Nam và Nữ tại Việt Nam (Adolescent Boys and Girls in Viet Nam). Hà Nội. — (VN022 trong DB dự án) Khảo sát 668 HS THCS/THPT + 66 GV ở 5 tỉnh; mixed methods.</w:t>
      </w:r>
    </w:p>
    <w:p>
      <w:r>
        <w:rPr>
          <w:b w:val="0"/>
          <w:i/>
          <w:color w:val="000000"/>
          <w:sz w:val="24"/>
        </w:rPr>
        <w:t>3. Gulliver, A., Griffiths, K. M., &amp; Christensen, H. (2010). Perceived barriers and facilitators to mental health help-seeking in young people: A systematic review. BMC Psychiatry, 10, 113. doi:10.1186/1471-244X-10-113 — Tổng quan kinh điển về rào cản và yếu tố thúc đẩy help-seeking ở thanh thiếu niên.</w:t>
      </w:r>
    </w:p>
    <w:p>
      <w:r>
        <w:rPr>
          <w:b w:val="0"/>
          <w:i/>
          <w:color w:val="000000"/>
          <w:sz w:val="24"/>
        </w:rPr>
        <w:t>4. Radez, J., Reardon, T., Creswell, C., Lawrence, P. J., Evdoka-Burton, G., &amp; Waite, P. (2021). Why do children and adolescents (not) seek and access professional help for their mental health problems? A systematic review of quantitative and qualitative studies. European Child &amp; Adolescent Psychiatry, 30(2), 183–211. doi:10.1007/s00787-019-01469-4 — Tổng quan cập nhật về help-seeking.</w:t>
      </w:r>
    </w:p>
    <w:p>
      <w:r>
        <w:rPr>
          <w:b w:val="0"/>
          <w:i/>
          <w:color w:val="000000"/>
          <w:sz w:val="24"/>
        </w:rPr>
        <w:t>5. Kessler, R. C., Aguilar-Gaxiola, S., Alonso, J., Chatterji, S., Lee, S., Ormel, J., Üstün, T. B., &amp; Wang, P. S. (2009). The global burden of mental disorders: An update from the WHO World Mental Health (WMH) surveys. Epidemiology and Psychiatric Sciences, 18(1), 23–33. — Treatment gap toàn cầu.</w:t>
      </w:r>
    </w:p>
    <w:p>
      <w:r>
        <w:rPr>
          <w:b w:val="0"/>
          <w:i/>
          <w:color w:val="000000"/>
          <w:sz w:val="24"/>
        </w:rPr>
        <w:t>6. World Health Organization (2021). Mental health atlas 2020. Geneva: WHO. — Dữ liệu service utilization quốc tế.</w:t>
      </w:r>
    </w:p>
    <w:p>
      <w:r>
        <w:rPr>
          <w:b w:val="0"/>
          <w:i/>
          <w:color w:val="000000"/>
          <w:sz w:val="24"/>
        </w:rPr>
        <w:t>7. Wang, X., et al. (2022/2023). A Latent Profile Analysis of Anxiety among Junior High School Students in Rural China. International Journal of Environmental Research and Public Health. — (QT008 trong DB dự án) Đề xuất phòng tư vấn tâm lý ở trường.</w:t>
      </w:r>
    </w:p>
    <w:p>
      <w:r>
        <w:rPr>
          <w:b w:val="0"/>
          <w:i/>
          <w:color w:val="000000"/>
          <w:sz w:val="24"/>
        </w:rPr>
        <w:t>8. Đào Thị Ngoãn và cs. (2025). Thực trạng tâm lý của sinh viên năm thứ tư Trường Đại học Y Hà Nội năm học 2023-2024. — (VN028 trong DB dự án) Có "Bộ câu hỏi nhu cầu tham vấn tâm lý" — dữ liệu nhu cầu ở SV.</w:t>
      </w:r>
    </w:p>
    <w:p>
      <w:r>
        <w:rPr>
          <w:b w:val="0"/>
          <w:i/>
          <w:color w:val="000000"/>
          <w:sz w:val="24"/>
        </w:rPr>
        <w:t>9. Murphy, R., et al. (2024). Peer support in primary youth mental health care: A scoping review. Journal of Community Psychology, 52(1), 154–180. doi:10.1002/jcop.23090 — (QT066 trong DB dự án) Lý do giới trẻ chọn peer thay vì chuyên gia.</w:t>
      </w:r>
    </w:p>
    <w:p>
      <w:r>
        <w:rPr>
          <w:b w:val="0"/>
          <w:i/>
          <w:color w:val="000000"/>
          <w:sz w:val="24"/>
        </w:rPr>
        <w:t>10. Pascoe, M. C., Hetrick, S. E., &amp; Parker, A. G. (2020). The impact of stress on students in secondary school and higher education. International Journal of Adolescence and Youth, 25(1), 104–112. doi:10.1080/02673843.2019.1596823 — (QT067 trong DB dự án) Có nhắc school connectedness; không có % cụ thể.</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