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ỨNG PHÓ LÀ YẾU TỐ BẢO VỆ?</w:t>
        <w:br/>
        <w:t>BẰNG CHỨNG QUỐC TẾ VÀ HÀM Ý CHO ĐỀ TÀI</w:t>
        <w:br/>
        <w:t>LO ÂU HỌC SINH TRUNG HỌC CƠ SỞ VIỆT NAM</w:t>
      </w:r>
    </w:p>
    <w:p>
      <w:pPr>
        <w:ind w:firstLine="567"/>
        <w:jc w:val="both"/>
      </w:pPr>
      <w:r>
        <w:rPr>
          <w:b w:val="0"/>
          <w:i w:val="0"/>
          <w:color w:val="000000"/>
          <w:sz w:val="26"/>
        </w:rPr>
      </w:r>
    </w:p>
    <w:p>
      <w:r>
        <w:rPr>
          <w:b/>
          <w:color w:val="1F497D"/>
          <w:sz w:val="26"/>
        </w:rPr>
        <w:t>1. Đặt vấn đề</w:t>
      </w:r>
    </w:p>
    <w:p>
      <w:pPr>
        <w:ind w:firstLine="567"/>
        <w:jc w:val="both"/>
      </w:pPr>
      <w:r>
        <w:rPr>
          <w:b w:val="0"/>
          <w:i w:val="0"/>
          <w:color w:val="000000"/>
          <w:sz w:val="26"/>
        </w:rPr>
        <w:t>Ứng phó (coping) — các nỗ lực nhận thức và hành vi để quản lý các đòi hỏi vượt quá nguồn lực cá nhân — là khái niệm trung tâm trong tâm lý học sức khỏe tâm thần kể từ tác phẩm kinh điển của Lazarus và Folkman (1984). Trên BÌNH DIỆN TOÀN CẦU, phân tích tổng hợp lớn nhất đến nay (Compas và cộng sự, 2017 — 212 nghiên cứu, N = 80.850 trẻ em và vị thành niên) đã thiết lập rõ rệt ranh giới giữa ứng phó tích cực và ứng phó tiêu cực — hai chiều TRÁI ngược nhau về tác động lên rối loạn nội hóa.</w:t>
      </w:r>
    </w:p>
    <w:p>
      <w:pPr>
        <w:ind w:firstLine="567"/>
        <w:jc w:val="both"/>
      </w:pPr>
      <w:r>
        <w:rPr>
          <w:b w:val="0"/>
          <w:i w:val="0"/>
          <w:color w:val="000000"/>
          <w:sz w:val="26"/>
        </w:rPr>
        <w:t>Tại KHU VỰC châu Á và Đông Nam Á, các nghiên cứu gần đây (Qiu và cộng sự, 2022 — Trung Quốc, n = 2.079) đã xác lập vai trò bảo vệ của khả năng phục hồi (resilience) — thành phần cốt lõi của ứng phó tích cực — qua hồi quy logistic đa biến. Tại VIỆT NAM, kết quả của Trần Thảo Vi và cộng sự (2024) tại Huế (thuần tập 3 năm, n = 611 học sinh trung học cơ sở) cho thấy lối sống và yếu tố học tập là nguồn stress chính — gợi ý nhu cầu can thiệp ứng phó.</w:t>
      </w:r>
    </w:p>
    <w:p>
      <w:pPr>
        <w:ind w:firstLine="567"/>
        <w:jc w:val="both"/>
      </w:pPr>
      <w:r>
        <w:rPr>
          <w:b w:val="0"/>
          <w:i w:val="0"/>
          <w:color w:val="000000"/>
          <w:sz w:val="26"/>
        </w:rPr>
        <w:t>Câu hỏi đặt ra trong đề tài: ứng phó của học sinh có phải là yếu tố bảo vệ không? Phần dưới đây tổng hợp bằng chứng từ 6 công trình KINH ĐIỂN và CẬP NHẬT — từ khung lý thuyết gốc, phân tích tổng hợp định lượng, đến thử nghiệm can thiệp ngẫu nhiên — để trả lời câu hỏi này một cách TINH VI: KHÔNG phải mọi ứng phó đều bảo vệ; chỉ ứng phó TÍCH CỰC bảo vệ, trong khi ứng phó TIÊU CỰC LÀ YẾU TỐ NGUY CƠ.</w:t>
      </w:r>
    </w:p>
    <w:p>
      <w:r>
        <w:rPr>
          <w:b/>
          <w:color w:val="1F497D"/>
          <w:sz w:val="26"/>
        </w:rPr>
        <w:t>2. Khung khái niệm — Lazarus và Folkman (1984)</w:t>
      </w:r>
    </w:p>
    <w:p>
      <w:pPr>
        <w:ind w:firstLine="567"/>
        <w:jc w:val="both"/>
      </w:pPr>
      <w:r>
        <w:rPr>
          <w:b w:val="0"/>
          <w:i w:val="0"/>
          <w:color w:val="000000"/>
          <w:sz w:val="26"/>
        </w:rPr>
        <w:t>Lazarus và Folkman (1984) trong tác phẩm "Stress, Appraisal, and Coping" (Springer New York, 445 trang) đã xây dựng khung lý thuyết stress-đánh giá-ứng phó được xem là CÔNG TRÌNH ĐƯỢC TRÍCH DẪN NHIỀU NHẤT trong y văn về stress và ứng phó. Hai trục phân loại được thiết lập: (1) ứng phó TẬP TRUNG vào VẤN ĐỀ (problem-focused coping) — thay đổi nguồn gốc stress; (2) ứng phó TẬP TRUNG vào CẢM XÚC (emotion-focused coping) — điều chỉnh phản ứng cảm xúc với stress.</w:t>
      </w:r>
    </w:p>
    <w:p>
      <w:pPr>
        <w:ind w:firstLine="567"/>
        <w:jc w:val="both"/>
      </w:pPr>
      <w:r>
        <w:rPr>
          <w:b w:val="0"/>
          <w:i w:val="0"/>
          <w:color w:val="000000"/>
          <w:sz w:val="26"/>
        </w:rPr>
        <w:t>Compas và cộng sự (2017) mở rộng khung này thành hai cặp khái niệm tinh vi hơn. Thứ nhất, ứng phó KIỂM SOÁT SƠ CẤP (primary control coping) — thay đổi tác nhân stress hoặc phản ứng cảm xúc trực tiếp (giải quyết vấn đề, biểu hiện cảm xúc có chủ đích). Thứ hai, ứng phó KIỂM SOÁT THỨ CẤP (secondary control coping) — thích nghi với tác nhân stress thay vì thay đổi nó (chấp nhận, đánh thoái nhận thức, nghĩ tích cực, tập trung sự chú ý). Thứ ba, ứng phó NGẮT KẾT NỐI (disengagement coping) — né tránh, phủ nhận, ức chế cảm xúc — KHÔNG được xem là ứng phó hiệu quả mà là CHIẾN LƯỢC GÂY HẠI.</w:t>
      </w:r>
    </w:p>
    <w:p>
      <w:r>
        <w:rPr>
          <w:b/>
          <w:color w:val="1F497D"/>
          <w:sz w:val="26"/>
        </w:rPr>
        <w:t>3. Bằng chứng định lượng — sáu công trình</w:t>
      </w:r>
    </w:p>
    <w:p>
      <w:r>
        <w:rPr>
          <w:b/>
          <w:color w:val="000000"/>
          <w:sz w:val="26"/>
        </w:rPr>
        <w:t>3.1. Compas và cộng sự (2017) — Phân tích tổng hợp 212 nghiên cứu</w:t>
      </w:r>
    </w:p>
    <w:p>
      <w:pPr>
        <w:ind w:firstLine="567"/>
        <w:jc w:val="both"/>
      </w:pPr>
      <w:r>
        <w:rPr>
          <w:b w:val="0"/>
          <w:i w:val="0"/>
          <w:color w:val="000000"/>
          <w:sz w:val="26"/>
        </w:rPr>
        <w:t>Compas, Jaser, Bettis, Watson, Gruhn, Dunbar, Williams và Thigpen (2017) trong Psychological Bulletin thực hiện phân tích tổng hợp 212 nghiên cứu với N = 80.850 trẻ em và vị thành niên — đến nay là phân tích tổng hợp LỚN NHẤT về mối quan hệ giữa ứng phó, điều tiết cảm xúc, và bệnh lý tâm thần ở giai đoạn phát triển. Bài báo phân tích cả nghiên cứu cắt ngang (đa số) và nghiên cứu thuần tập (cung cấp bằng chứng MẠNH HƠN về quan hệ nhân quả).</w:t>
      </w:r>
    </w:p>
    <w:p>
      <w:pPr>
        <w:ind w:firstLine="567"/>
        <w:jc w:val="both"/>
      </w:pPr>
      <w:r>
        <w:rPr>
          <w:b w:val="0"/>
          <w:i w:val="0"/>
          <w:color w:val="000000"/>
          <w:sz w:val="26"/>
        </w:rPr>
        <w:t>Phát hiện CỐT LÕI: hai chiều ứng phó tác động TRÁI ngược nhau lên triệu chứng nội hóa (lo âu + trầm cảm). Ứng phó kiểm soát SƠ CẤP và ứng phó kiểm soát THỨ CẤP có liên quan với MỨC THẤP HƠN của triệu chứng bệnh lý tâm thần. Trái lại, ứng phó NGẮT KẾT NỐI cùng với các chiến lược ức chế cảm xúc, né tránh, và phủ nhận có liên quan với MỨC CAO HƠN của triệu chứng bệnh lý.</w:t>
      </w:r>
    </w:p>
    <w:p>
      <w:pPr>
        <w:ind w:firstLine="567"/>
        <w:jc w:val="both"/>
      </w:pPr>
      <w:r>
        <w:rPr>
          <w:b w:val="0"/>
          <w:i w:val="0"/>
          <w:color w:val="000000"/>
          <w:sz w:val="26"/>
        </w:rPr>
        <w:t>Nói cách khác, kết quả của Compas và cộng sự xác lập hai luận điểm. Thứ nhất, ứng phó KHÔNG phải là một biến đơn — phải phân biệt ít nhất ba thành phần (sơ cấp / thứ cấp / ngắt kết nối). Thứ hai, gộp tất cả "ứng phó" vào một biến tổng hợp sẽ TRIỆT TIÊU lẫn nhau hai chiều tác động — và làm mờ đi phát hiện thực sự.</w:t>
      </w:r>
    </w:p>
    <w:p>
      <w:r>
        <w:rPr>
          <w:b/>
          <w:color w:val="000000"/>
          <w:sz w:val="26"/>
        </w:rPr>
        <w:t>3.2. Herres và Ohannessian (2015) — Hồ sơ ứng phó phân biệt lo âu và trầm cảm</w:t>
      </w:r>
    </w:p>
    <w:p>
      <w:pPr>
        <w:ind w:firstLine="567"/>
        <w:jc w:val="both"/>
      </w:pPr>
      <w:r>
        <w:rPr>
          <w:b w:val="0"/>
          <w:i w:val="0"/>
          <w:color w:val="000000"/>
          <w:sz w:val="26"/>
        </w:rPr>
        <w:t>Herres và Ohannessian (2015) trong Journal of Affective Disorders, tập 186, trang 312–319 (DOI: 10.1016/j.jad.2015.07.031), thực hiện khảo sát cắt ngang 982 học sinh trung học phổ thông tại 7 trường công lập vùng Mid-Atlantic Hoa Kỳ (Pennsylvania, New Jersey, Delaware, Maryland) vào mùa xuân 2007 — tuổi trung bình 16,09 (SD = 0,68); 54% nữ; lớp 10–11. Bộ công cụ chuẩn: Children's Depression Inventory (CDI), State-Trait Anxiety Inventory for Children (STAIC), và COPE Inventory.</w:t>
      </w:r>
    </w:p>
    <w:p>
      <w:pPr>
        <w:ind w:firstLine="567"/>
        <w:jc w:val="both"/>
      </w:pPr>
      <w:r>
        <w:rPr>
          <w:b w:val="0"/>
          <w:i w:val="0"/>
          <w:color w:val="000000"/>
          <w:sz w:val="26"/>
        </w:rPr>
        <w:t>Đặc sắc của bài: thay vì xem ứng phó như biến liên tục, các tác giả áp dụng phân tích hồ sơ tiềm ẩn (latent profile analysis) để xác định CÁC HỒ SƠ ỨNG PHÓ — tổ hợp đặc trưng của các chiến lược trong cùng một học sinh. Phát hiện: hồ sơ ứng phó CHỦ ĐỘNG TÍCH CỰC (giải quyết vấn đề + tìm hỗ trợ + đánh thoái) phân biệt rõ với hồ sơ ứng phó NÉ TRÁNH (rút lui + phủ nhận + ức chế cảm xúc) về cả triệu chứng trầm cảm lẫn lo âu.</w:t>
      </w:r>
    </w:p>
    <w:p>
      <w:pPr>
        <w:ind w:firstLine="567"/>
        <w:jc w:val="both"/>
      </w:pPr>
      <w:r>
        <w:rPr>
          <w:b w:val="0"/>
          <w:i w:val="0"/>
          <w:color w:val="000000"/>
          <w:sz w:val="26"/>
        </w:rPr>
        <w:t>Phù hợp với phát hiện của Compas và cộng sự (2017): cùng một thanh thiếu niên thường có CẢ chiến lược tích cực và tiêu cực — điểm khác biệt giữa nhóm có triệu chứng cao và nhóm có triệu chứng thấp KHÔNG nằm ở việc dùng hay không dùng một chiến lược đơn lẻ, mà nằm ở TỶ LỆ giữa các chiến lược.</w:t>
      </w:r>
    </w:p>
    <w:p>
      <w:r>
        <w:rPr>
          <w:b/>
          <w:color w:val="000000"/>
          <w:sz w:val="26"/>
        </w:rPr>
        <w:t>3.3. Lochman và cộng sự (2025) — Thử nghiệm Coping Power tại trường</w:t>
      </w:r>
    </w:p>
    <w:p>
      <w:pPr>
        <w:ind w:firstLine="567"/>
        <w:jc w:val="both"/>
      </w:pPr>
      <w:r>
        <w:rPr>
          <w:b w:val="0"/>
          <w:i w:val="0"/>
          <w:color w:val="000000"/>
          <w:sz w:val="26"/>
        </w:rPr>
        <w:t>Lochman và cộng sự (2025) trong Journal of School Psychology công bố thử nghiệm ngẫu nhiên có đối chứng theo cụm (cluster RCT) của chương trình Early Adolescent Coping Power (EACP) tại 40 trường trung học cơ sở Hoa Kỳ — n = 709 học sinh lớp 7 (69,8% gốc Phi; 59,4% nam) được tuyển vì có hành vi gây hấn. Tài trợ của Viện Sức khỏe Tâm thần Quốc gia Hoa Kỳ (NIMH).</w:t>
      </w:r>
    </w:p>
    <w:p>
      <w:pPr>
        <w:ind w:firstLine="567"/>
        <w:jc w:val="both"/>
      </w:pPr>
      <w:r>
        <w:rPr>
          <w:b w:val="0"/>
          <w:i w:val="0"/>
          <w:color w:val="000000"/>
          <w:sz w:val="26"/>
        </w:rPr>
        <w:t>Chương trình EACP gồm BA THÀNH PHẦN: (1) học sinh — 25 buổi nhóm trong năm học; (2) cha mẹ — 16 buổi 90 phút song song; (3) giáo viên — phối hợp cố vấn học đường. Năm nhóm kỹ năng cho học sinh: quản lý cơn giận và lo âu (lời nói nội tâm tích cực + thư giãn); giải quyết vấn đề xã hội; tương tác với bạn bè; kỹ năng học tập và tổ chức; kỹ năng từ chối chất gây nghiện. Nền tảng lý thuyết: mô hình social-cognitive developmental contextual.</w:t>
      </w:r>
    </w:p>
    <w:p>
      <w:pPr>
        <w:ind w:firstLine="567"/>
        <w:jc w:val="both"/>
      </w:pPr>
      <w:r>
        <w:rPr>
          <w:b w:val="0"/>
          <w:i w:val="0"/>
          <w:color w:val="000000"/>
          <w:sz w:val="26"/>
        </w:rPr>
        <w:t>Hàm ý cho Việt Nam: mô hình BA THÀNH PHẦN — học sinh + cha mẹ + giáo viên — phù hợp bối cảnh trường học Việt Nam, nơi cha mẹ và giáo viên đóng vai trò TRUNG TÂM trong quản lý sức khỏe tâm thần học sinh. Tuy nhiên, đối tượng gốc của EACP là học sinh có hành vi GÂY HẤN — không phải lo âu thuần — nên cần điều chỉnh nội dung trước khi áp dụng cho lo âu.</w:t>
      </w:r>
    </w:p>
    <w:p>
      <w:r>
        <w:rPr>
          <w:b/>
          <w:color w:val="000000"/>
          <w:sz w:val="26"/>
        </w:rPr>
        <w:t>3.4. Cai và cộng sự (2025) — Phân tích tổng hợp 21 RCT can thiệp tại trường</w:t>
      </w:r>
    </w:p>
    <w:p>
      <w:pPr>
        <w:ind w:firstLine="567"/>
        <w:jc w:val="both"/>
      </w:pPr>
      <w:r>
        <w:rPr>
          <w:b w:val="0"/>
          <w:i w:val="0"/>
          <w:color w:val="000000"/>
          <w:sz w:val="26"/>
        </w:rPr>
        <w:t>Cai, Mei, Wang và Luo (2025) trong Frontiers in Psychiatry (DOI: 10.3389/fpsyt.2025.1594658) thực hiện phân tích tổng hợp các thử nghiệm ngẫu nhiên có đối chứng về can thiệp resilience tại trường — thành phần lõi gồm kỹ năng ứng phó, lòng tự trọng, kết nối xã hội, và lạc quan. Tổng số 38 RCT qua 17 quốc gia: Mỹ (n = 10), Trung Quốc (n = 9), Úc (n = 4), Pakistan (n = 2), Ấn Độ (n = 2), và 11 nước khác mỗi nước 1 nghiên cứu.</w:t>
      </w:r>
    </w:p>
    <w:p>
      <w:pPr>
        <w:ind w:firstLine="567"/>
        <w:jc w:val="both"/>
      </w:pPr>
      <w:r>
        <w:rPr>
          <w:b w:val="0"/>
          <w:i w:val="0"/>
          <w:color w:val="000000"/>
          <w:sz w:val="26"/>
        </w:rPr>
        <w:t>Kết quả tổng hợp trên 21 RCT đo resilience: SMD = 0,17 (KTC 95% từ 0,06 đến 0,29; p &lt; 0,01) — tương ứng kích thước hiệu ứng NHỎ nhưng có ý nghĩa thống kê. Heterogeneity rất CAO (I² = 81,90%) — gợi ý hiệu quả phụ thuộc nhiều vào thiết kế can thiệp, đối tượng, và bối cảnh. Phù hợp với khuyến nghị của các tác giả: can thiệp ứng phó-resilience tại trường có hiệu quả thực tế nhưng cần cá nhân hóa cho từng bối cảnh.</w:t>
      </w:r>
    </w:p>
    <w:p>
      <w:r>
        <w:rPr>
          <w:b/>
          <w:color w:val="000000"/>
          <w:sz w:val="26"/>
        </w:rPr>
        <w:t>3.5. Qiu và cộng sự (2022) — Resilience là yếu tố bảo vệ MẠNH NHẤT (Trung Quốc)</w:t>
      </w:r>
    </w:p>
    <w:p>
      <w:pPr>
        <w:ind w:firstLine="567"/>
        <w:jc w:val="both"/>
      </w:pPr>
      <w:r>
        <w:rPr>
          <w:b w:val="0"/>
          <w:i w:val="0"/>
          <w:color w:val="000000"/>
          <w:sz w:val="26"/>
        </w:rPr>
        <w:t>Qiu, Guo, Wang và Zhang (2022) trong Frontiers in Public Health khảo sát 2.079 học sinh trung học cơ sở (tuổi trung bình 16,7) tại thành phố Hợp Phì, tỉnh An Huy, Trung Quốc — sử dụng Thang Khả năng Phục hồi SRSMSS, Thang Trầm cảm CES-D, Thang Lo âu Tự đánh giá SAS, và Thang Phong cách Nuôi dạy EMBU. Tỷ lệ phản hồi cao (98,06%).</w:t>
      </w:r>
    </w:p>
    <w:p>
      <w:pPr>
        <w:ind w:firstLine="567"/>
        <w:jc w:val="both"/>
      </w:pPr>
      <w:r>
        <w:rPr>
          <w:b w:val="0"/>
          <w:i w:val="0"/>
          <w:color w:val="000000"/>
          <w:sz w:val="26"/>
        </w:rPr>
        <w:t>Phát hiện đáng chú ý: KHẢ NĂNG PHỤC HỒI THẤP là YẾU TỐ NGUY CƠ MẠNH NHẤT cho trầm cảm — OR = 6,74 sau khi kiểm soát các biến nhân khẩu học và phong cách nuôi dạy. Trái lại, nuôi dạy tích cực giảm nguy cơ trầm cảm 70% (OR = 0,30) và lo âu 68% (OR = 0,32). Tỷ lệ trầm cảm 26% và lo âu 13,4% trong mẫu — cao đáng kể.</w:t>
      </w:r>
    </w:p>
    <w:p>
      <w:pPr>
        <w:ind w:firstLine="567"/>
        <w:jc w:val="both"/>
      </w:pPr>
      <w:r>
        <w:rPr>
          <w:b w:val="0"/>
          <w:i w:val="0"/>
          <w:color w:val="000000"/>
          <w:sz w:val="26"/>
        </w:rPr>
        <w:t>Nói cách khác, resilience — thành phần CỐT LÕI của ứng phó tích cực — là yếu tố bảo vệ MẠNH HƠN cả phong cách nuôi dạy. Điều này ủng hộ luận điểm: can thiệp ứng phó ở cấp độ cá nhân (kỹ năng học sinh) có giá trị độc lập, không thể thay thế bằng can thiệp môi trường (cha mẹ, trường học) — và ngược lại.</w:t>
      </w:r>
    </w:p>
    <w:p>
      <w:r>
        <w:rPr>
          <w:b/>
          <w:color w:val="000000"/>
          <w:sz w:val="26"/>
        </w:rPr>
        <w:t>3.6. Murphy và cộng sự (2024) — Hỗ trợ đồng đẳng (peer support) trong dịch vụ tâm thần thanh niên</w:t>
      </w:r>
    </w:p>
    <w:p>
      <w:pPr>
        <w:ind w:firstLine="567"/>
        <w:jc w:val="both"/>
      </w:pPr>
      <w:r>
        <w:rPr>
          <w:b w:val="0"/>
          <w:i w:val="0"/>
          <w:color w:val="000000"/>
          <w:sz w:val="26"/>
        </w:rPr>
        <w:t>Murphy, Huggard, Fitzgerald, Hennessy và Booth (2024) trong Journal of Community Psychology, tập 52, số 1, trang 154–180 (DOI: 10.1002/jcop.23090) thực hiện scoping review hệ thống theo khung Arksey và O'Malley — gộp 15 nghiên cứu mô tả 13 can thiệp peer support trong dịch vụ chăm sóc sức khỏe tâm thần thanh niên. Định nghĩa peer support: hỗ trợ xã hội + cảm xúc giữa cá nhân có TRẢI NGHIỆM CHUNG về khó khăn sức khỏe tâm thần.</w:t>
      </w:r>
    </w:p>
    <w:p>
      <w:pPr>
        <w:ind w:firstLine="567"/>
        <w:jc w:val="both"/>
      </w:pPr>
      <w:r>
        <w:rPr>
          <w:b w:val="0"/>
          <w:i w:val="0"/>
          <w:color w:val="000000"/>
          <w:sz w:val="26"/>
        </w:rPr>
        <w:t>Phát hiện: peer support có TIỀM NĂNG cải thiện kết quả phục hồi (recovery-related outcomes) — tuy nhiên bằng chứng chưa đồng nhất do thiết kế khác nhau. Hai rào cản chính: (1) lo ngại bảo mật trong quan hệ peer; (2) peer worker thiếu tự tin về vai trò. Hai yếu tố thúc đẩy: (1) nhân viên chuyên môn hỗ trợ peer worker; (2) vai trò peer được định nghĩa rõ. Đáng chú ý: 9 trong 13 can thiệp dành cho thanh niên 16–25 tuổi — chỉ 2 trong 13 cho học sinh trung học cơ sở-trung học phổ thông.</w:t>
      </w:r>
    </w:p>
    <w:p>
      <w:r>
        <w:rPr>
          <w:b/>
          <w:color w:val="1F497D"/>
          <w:sz w:val="26"/>
        </w:rPr>
        <w:t>4. Bảng tổng hợp sáu công trình</w:t>
      </w:r>
    </w:p>
    <w:p>
      <w:pPr>
        <w:jc w:val="center"/>
      </w:pPr>
      <w:r>
        <w:rPr>
          <w:b/>
          <w:sz w:val="24"/>
        </w:rPr>
        <w:t>Bảng 1. Sáu công trình quốc tế về ứng phó là yếu tố bảo vệ</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sz w:val="20"/>
              </w:rPr>
              <w:t>Công trình</w:t>
            </w:r>
          </w:p>
        </w:tc>
        <w:tc>
          <w:tcPr>
            <w:tcW w:type="dxa" w:w="3135"/>
          </w:tcPr>
          <w:p>
            <w:r>
              <w:rPr>
                <w:rFonts w:ascii="Times New Roman" w:hAnsi="Times New Roman"/>
                <w:sz w:val="20"/>
              </w:rPr>
              <w:t>Loại NC + mẫu</w:t>
            </w:r>
          </w:p>
        </w:tc>
        <w:tc>
          <w:tcPr>
            <w:tcW w:type="dxa" w:w="3135"/>
          </w:tcPr>
          <w:p>
            <w:r>
              <w:rPr>
                <w:rFonts w:ascii="Times New Roman" w:hAnsi="Times New Roman"/>
                <w:sz w:val="20"/>
              </w:rPr>
              <w:t>Phát hiện chính</w:t>
            </w:r>
          </w:p>
        </w:tc>
      </w:tr>
      <w:tr>
        <w:tc>
          <w:tcPr>
            <w:tcW w:type="dxa" w:w="3135"/>
          </w:tcPr>
          <w:p>
            <w:r>
              <w:rPr>
                <w:rFonts w:ascii="Times New Roman" w:hAnsi="Times New Roman"/>
                <w:sz w:val="20"/>
              </w:rPr>
              <w:t>Lazarus &amp; Folkman (1984), Springer NY</w:t>
            </w:r>
          </w:p>
        </w:tc>
        <w:tc>
          <w:tcPr>
            <w:tcW w:type="dxa" w:w="3135"/>
          </w:tcPr>
          <w:p>
            <w:r>
              <w:rPr>
                <w:rFonts w:ascii="Times New Roman" w:hAnsi="Times New Roman"/>
                <w:sz w:val="20"/>
              </w:rPr>
              <w:t>Sách lý thuyết, 445 trang</w:t>
            </w:r>
          </w:p>
        </w:tc>
        <w:tc>
          <w:tcPr>
            <w:tcW w:type="dxa" w:w="3135"/>
          </w:tcPr>
          <w:p>
            <w:r>
              <w:rPr>
                <w:rFonts w:ascii="Times New Roman" w:hAnsi="Times New Roman"/>
                <w:sz w:val="20"/>
              </w:rPr>
              <w:t>Khung stress-đánh giá-ứng phó; 2 loại: problem-focused vs emotion-focused</w:t>
            </w:r>
          </w:p>
        </w:tc>
      </w:tr>
      <w:tr>
        <w:tc>
          <w:tcPr>
            <w:tcW w:type="dxa" w:w="3135"/>
          </w:tcPr>
          <w:p>
            <w:r>
              <w:rPr>
                <w:rFonts w:ascii="Times New Roman" w:hAnsi="Times New Roman"/>
                <w:sz w:val="20"/>
              </w:rPr>
              <w:t>Compas và cộng sự (2017), Psychological Bulletin</w:t>
            </w:r>
          </w:p>
        </w:tc>
        <w:tc>
          <w:tcPr>
            <w:tcW w:type="dxa" w:w="3135"/>
          </w:tcPr>
          <w:p>
            <w:r>
              <w:rPr>
                <w:rFonts w:ascii="Times New Roman" w:hAnsi="Times New Roman"/>
                <w:sz w:val="20"/>
              </w:rPr>
              <w:t>Meta-analysis 212 NC, N = 80.850</w:t>
            </w:r>
          </w:p>
        </w:tc>
        <w:tc>
          <w:tcPr>
            <w:tcW w:type="dxa" w:w="3135"/>
          </w:tcPr>
          <w:p>
            <w:r>
              <w:rPr>
                <w:rFonts w:ascii="Times New Roman" w:hAnsi="Times New Roman"/>
                <w:sz w:val="20"/>
              </w:rPr>
              <w:t>Sơ cấp + thứ cấp giảm triệu chứng; ngắt kết nối + né tránh tăng triệu chứng</w:t>
            </w:r>
          </w:p>
        </w:tc>
      </w:tr>
      <w:tr>
        <w:tc>
          <w:tcPr>
            <w:tcW w:type="dxa" w:w="3135"/>
          </w:tcPr>
          <w:p>
            <w:r>
              <w:rPr>
                <w:rFonts w:ascii="Times New Roman" w:hAnsi="Times New Roman"/>
                <w:sz w:val="20"/>
              </w:rPr>
              <w:t>Herres &amp; Ohannessian (2015), J Affective Disorders 186:312-319</w:t>
            </w:r>
          </w:p>
        </w:tc>
        <w:tc>
          <w:tcPr>
            <w:tcW w:type="dxa" w:w="3135"/>
          </w:tcPr>
          <w:p>
            <w:r>
              <w:rPr>
                <w:rFonts w:ascii="Times New Roman" w:hAnsi="Times New Roman"/>
                <w:sz w:val="20"/>
              </w:rPr>
              <w:t>Cắt ngang n = 982 HS THPT Mỹ</w:t>
            </w:r>
          </w:p>
        </w:tc>
        <w:tc>
          <w:tcPr>
            <w:tcW w:type="dxa" w:w="3135"/>
          </w:tcPr>
          <w:p>
            <w:r>
              <w:rPr>
                <w:rFonts w:ascii="Times New Roman" w:hAnsi="Times New Roman"/>
                <w:sz w:val="20"/>
              </w:rPr>
              <w:t>Hồ sơ ứng phó tích cực vs né tránh phân biệt rõ trầm cảm + lo âu</w:t>
            </w:r>
          </w:p>
        </w:tc>
      </w:tr>
      <w:tr>
        <w:tc>
          <w:tcPr>
            <w:tcW w:type="dxa" w:w="3135"/>
          </w:tcPr>
          <w:p>
            <w:r>
              <w:rPr>
                <w:rFonts w:ascii="Times New Roman" w:hAnsi="Times New Roman"/>
                <w:sz w:val="20"/>
              </w:rPr>
              <w:t>Qiu và cộng sự (2022), Frontiers in Public Health</w:t>
            </w:r>
          </w:p>
        </w:tc>
        <w:tc>
          <w:tcPr>
            <w:tcW w:type="dxa" w:w="3135"/>
          </w:tcPr>
          <w:p>
            <w:r>
              <w:rPr>
                <w:rFonts w:ascii="Times New Roman" w:hAnsi="Times New Roman"/>
                <w:sz w:val="20"/>
              </w:rPr>
              <w:t>Cắt ngang n = 2.079 HS THCS TQ</w:t>
            </w:r>
          </w:p>
        </w:tc>
        <w:tc>
          <w:tcPr>
            <w:tcW w:type="dxa" w:w="3135"/>
          </w:tcPr>
          <w:p>
            <w:r>
              <w:rPr>
                <w:rFonts w:ascii="Times New Roman" w:hAnsi="Times New Roman"/>
                <w:sz w:val="20"/>
              </w:rPr>
              <w:t>Resilience THẤP là yếu tố nguy cơ MẠNH NHẤT (OR = 6,74)</w:t>
            </w:r>
          </w:p>
        </w:tc>
      </w:tr>
      <w:tr>
        <w:tc>
          <w:tcPr>
            <w:tcW w:type="dxa" w:w="3135"/>
          </w:tcPr>
          <w:p>
            <w:r>
              <w:rPr>
                <w:rFonts w:ascii="Times New Roman" w:hAnsi="Times New Roman"/>
                <w:sz w:val="20"/>
              </w:rPr>
              <w:t>Murphy và cộng sự (2024), J Community Psychology 52(1):154-180</w:t>
            </w:r>
          </w:p>
        </w:tc>
        <w:tc>
          <w:tcPr>
            <w:tcW w:type="dxa" w:w="3135"/>
          </w:tcPr>
          <w:p>
            <w:r>
              <w:rPr>
                <w:rFonts w:ascii="Times New Roman" w:hAnsi="Times New Roman"/>
                <w:sz w:val="20"/>
              </w:rPr>
              <w:t>Scoping review 15 NC, 13 can thiệp</w:t>
            </w:r>
          </w:p>
        </w:tc>
        <w:tc>
          <w:tcPr>
            <w:tcW w:type="dxa" w:w="3135"/>
          </w:tcPr>
          <w:p>
            <w:r>
              <w:rPr>
                <w:rFonts w:ascii="Times New Roman" w:hAnsi="Times New Roman"/>
                <w:sz w:val="20"/>
              </w:rPr>
              <w:t>Peer support có tiềm năng — cần vai trò rõ + hỗ trợ chuyên môn</w:t>
            </w:r>
          </w:p>
        </w:tc>
      </w:tr>
      <w:tr>
        <w:tc>
          <w:tcPr>
            <w:tcW w:type="dxa" w:w="3135"/>
          </w:tcPr>
          <w:p>
            <w:r>
              <w:rPr>
                <w:rFonts w:ascii="Times New Roman" w:hAnsi="Times New Roman"/>
                <w:sz w:val="20"/>
              </w:rPr>
              <w:t>Cai và cộng sự (2025), Frontiers in Psychiatry</w:t>
            </w:r>
          </w:p>
        </w:tc>
        <w:tc>
          <w:tcPr>
            <w:tcW w:type="dxa" w:w="3135"/>
          </w:tcPr>
          <w:p>
            <w:r>
              <w:rPr>
                <w:rFonts w:ascii="Times New Roman" w:hAnsi="Times New Roman"/>
                <w:sz w:val="20"/>
              </w:rPr>
              <w:t>Meta-analysis 21 RCT can thiệp tại trường</w:t>
            </w:r>
          </w:p>
        </w:tc>
        <w:tc>
          <w:tcPr>
            <w:tcW w:type="dxa" w:w="3135"/>
          </w:tcPr>
          <w:p>
            <w:r>
              <w:rPr>
                <w:rFonts w:ascii="Times New Roman" w:hAnsi="Times New Roman"/>
                <w:sz w:val="20"/>
              </w:rPr>
              <w:t>SMD = 0,17 (KTC 95% 0,06–0,29); I² = 81,90%</w:t>
            </w:r>
          </w:p>
        </w:tc>
      </w:tr>
      <w:tr>
        <w:tc>
          <w:tcPr>
            <w:tcW w:type="dxa" w:w="3135"/>
          </w:tcPr>
          <w:p>
            <w:r>
              <w:rPr>
                <w:rFonts w:ascii="Times New Roman" w:hAnsi="Times New Roman"/>
                <w:sz w:val="20"/>
              </w:rPr>
              <w:t>Lochman và cộng sự (2025), J School Psychology</w:t>
            </w:r>
          </w:p>
        </w:tc>
        <w:tc>
          <w:tcPr>
            <w:tcW w:type="dxa" w:w="3135"/>
          </w:tcPr>
          <w:p>
            <w:r>
              <w:rPr>
                <w:rFonts w:ascii="Times New Roman" w:hAnsi="Times New Roman"/>
                <w:sz w:val="20"/>
              </w:rPr>
              <w:t>Cluster RCT n = 709 lớp 7 Mỹ</w:t>
            </w:r>
          </w:p>
        </w:tc>
        <w:tc>
          <w:tcPr>
            <w:tcW w:type="dxa" w:w="3135"/>
          </w:tcPr>
          <w:p>
            <w:r>
              <w:rPr>
                <w:rFonts w:ascii="Times New Roman" w:hAnsi="Times New Roman"/>
                <w:sz w:val="20"/>
              </w:rPr>
              <w:t>EACP 3 thành phần (HS + cha mẹ + GV) — hiệu quả hành vi</w:t>
            </w:r>
          </w:p>
        </w:tc>
      </w:tr>
    </w:tbl>
    <w:p>
      <w:r>
        <w:rPr>
          <w:b/>
          <w:color w:val="1F497D"/>
          <w:sz w:val="26"/>
        </w:rPr>
        <w:t>5. Năm phát hiện chính</w:t>
      </w:r>
    </w:p>
    <w:p>
      <w:pPr>
        <w:jc w:val="both"/>
      </w:pPr>
      <w:r>
        <w:rPr>
          <w:b w:val="0"/>
          <w:i w:val="0"/>
          <w:color w:val="000000"/>
          <w:sz w:val="26"/>
        </w:rPr>
        <w:t>Bằng chứng quốc tế cho phép rút ra NĂM PHÁT HIỆN chính về vai trò ứng phó trong lo âu vị thành niên.</w:t>
      </w:r>
    </w:p>
    <w:p>
      <w:pPr>
        <w:ind w:firstLine="567"/>
        <w:jc w:val="both"/>
      </w:pPr>
      <w:r>
        <w:rPr>
          <w:b w:val="0"/>
          <w:i w:val="0"/>
          <w:color w:val="000000"/>
          <w:sz w:val="26"/>
        </w:rPr>
        <w:t>Thứ nhất, ứng phó là biến PHÂN ĐỔI — không thể xử lý như biến tổng. Compas và cộng sự (2017) trên 80.850 trẻ em + vị thành niên xác lập rõ: ứng phó kiểm soát SƠ CẤP và THỨ CẤP có tác động ÂM với triệu chứng nội hóa, trong khi ứng phó NGẮT KẾT NỐI (né tránh, phủ nhận, ức chế cảm xúc) có tác động DƯƠNG. Hai chiều TRÁI ngược nhau — gộp lại sẽ triệt tiêu phát hiện.</w:t>
      </w:r>
    </w:p>
    <w:p>
      <w:pPr>
        <w:ind w:firstLine="567"/>
        <w:jc w:val="both"/>
      </w:pPr>
      <w:r>
        <w:rPr>
          <w:b w:val="0"/>
          <w:i w:val="0"/>
          <w:color w:val="000000"/>
          <w:sz w:val="26"/>
        </w:rPr>
        <w:t>Thứ hai, ứng phó tích cực là YẾU TỐ BẢO VỆ; ứng phó tiêu cực là YẾU TỐ NGUY CƠ. Cả nghiên cứu hồ sơ (Herres &amp; Ohannessian, 2015) và phân tích tổng hợp định lượng (Compas và cộng sự, 2017) đều ủng hộ luận điểm này. Trái với quan niệm dân gian "có ứng phó là tốt", bằng chứng cho thấy ứng phó NÉ TRÁNH làm TRẦM TRỌNG thêm lo âu.</w:t>
      </w:r>
    </w:p>
    <w:p>
      <w:pPr>
        <w:ind w:firstLine="567"/>
        <w:jc w:val="both"/>
      </w:pPr>
      <w:r>
        <w:rPr>
          <w:b w:val="0"/>
          <w:i w:val="0"/>
          <w:color w:val="000000"/>
          <w:sz w:val="26"/>
        </w:rPr>
        <w:t>Thứ ba, can thiệp tại trường có HIỆU QUẢ THỰC TẾ nhưng kích thước NHỎ (SMD = 0,17 — Cai và cộng sự, 2025). Heterogeneity rất CAO (I² = 81,90%) — gợi ý hiệu quả phụ thuộc thiết kế. Mô hình EACP của Lochman và cộng sự (2025) — kết hợp ba thành phần học sinh + cha mẹ + giáo viên — là khung tham khảo cho thiết kế can thiệp tại Việt Nam.</w:t>
      </w:r>
    </w:p>
    <w:p>
      <w:pPr>
        <w:ind w:firstLine="567"/>
        <w:jc w:val="both"/>
      </w:pPr>
      <w:r>
        <w:rPr>
          <w:b w:val="0"/>
          <w:i w:val="0"/>
          <w:color w:val="000000"/>
          <w:sz w:val="26"/>
        </w:rPr>
        <w:t>Thứ tư, resilience — thành phần CỐT LÕI của ứng phó tích cực — có tác động ĐỘC LẬP với phong cách nuôi dạy (Qiu và cộng sự, 2022). Khả năng phục hồi thấp là yếu tố nguy cơ MẠNH NHẤT cho trầm cảm với OR = 6,74. Phát hiện này ủng hộ chương trình can thiệp ở cấp ĐỘ HỌC SINH (kỹ năng cá nhân) — không thể thay thế bằng can thiệp gia đình.</w:t>
      </w:r>
    </w:p>
    <w:p>
      <w:pPr>
        <w:ind w:firstLine="567"/>
        <w:jc w:val="both"/>
      </w:pPr>
      <w:r>
        <w:rPr>
          <w:b w:val="0"/>
          <w:i w:val="0"/>
          <w:color w:val="000000"/>
          <w:sz w:val="26"/>
        </w:rPr>
        <w:t>Thứ năm, peer support là kênh BỔ TRỢ tiềm năng — đặc biệt cho bối cảnh Việt Nam nơi học sinh ưu thích nguồn hỗ trợ NON-PROFESSIONAL trước (Murphy và cộng sự, 2024). Tuy nhiên, cần định nghĩa rõ vai trò peer worker và bảo đảm hỗ trợ chuyên môn — tránh rủi ro bảo mật và quá tải đồng đẳng.</w:t>
      </w:r>
    </w:p>
    <w:p>
      <w:r>
        <w:rPr>
          <w:b/>
          <w:color w:val="1F497D"/>
          <w:sz w:val="26"/>
        </w:rPr>
        <w:t>6. Hàm ý cho đề tài lo âu HS THCS Việt Nam</w:t>
      </w:r>
    </w:p>
    <w:p>
      <w:pPr>
        <w:jc w:val="both"/>
      </w:pPr>
      <w:r>
        <w:rPr>
          <w:b w:val="0"/>
          <w:i w:val="0"/>
          <w:color w:val="000000"/>
          <w:sz w:val="26"/>
        </w:rPr>
        <w:t>Sáu công trình trên cùng kết luận của bài thúc đẩy bốn khuyến nghị thiết kế cho đề tài.</w:t>
      </w:r>
    </w:p>
    <w:p>
      <w:pPr>
        <w:ind w:firstLine="567"/>
        <w:jc w:val="both"/>
      </w:pPr>
      <w:r>
        <w:rPr>
          <w:b w:val="0"/>
          <w:i w:val="0"/>
          <w:color w:val="000000"/>
          <w:sz w:val="26"/>
        </w:rPr>
        <w:t>KHUYẾN NGHỊ 1 — Đo ứng phó bằng thang phân biệt nhiều chiều. Đề xuất sử dụng A-COPE (Adolescent Coping Orientation for Problem Experiences) hoặc Children's Coping Strategies Checklist (CCSC) — phân biệt ít nhất bốn nhóm: giải quyết vấn đề / tìm hỗ trợ xã hội / đánh thoái nhận thức / né tránh. KHÔNG GỘP tất cả thành biến "ứng phó" tổng — sẽ triệt tiêu hai chiều tác động.</w:t>
      </w:r>
    </w:p>
    <w:p>
      <w:pPr>
        <w:ind w:firstLine="567"/>
        <w:jc w:val="both"/>
      </w:pPr>
      <w:r>
        <w:rPr>
          <w:b w:val="0"/>
          <w:i w:val="0"/>
          <w:color w:val="000000"/>
          <w:sz w:val="26"/>
        </w:rPr>
        <w:t>KHUYẾN NGHỊ 2 — Phân tích RIÊNG hiệu ứng từng nhóm với lo âu. Dự kiến kết quả: nhóm tích cực (giải quyết vấn đề + tìm hỗ trợ xã hội + đánh thoái) có β ÂM với lo âu; nhóm tiêu cực (né tránh + phủ nhận + ức chế cảm xúc) có β DƯƠNG. Nếu kết quả khớp với dự kiến, đây là bằng chứng VIỆT NAM bổ sung cho phát hiện quốc tế của Compas và cộng sự (2017).</w:t>
      </w:r>
    </w:p>
    <w:p>
      <w:pPr>
        <w:ind w:firstLine="567"/>
        <w:jc w:val="both"/>
      </w:pPr>
      <w:r>
        <w:rPr>
          <w:b w:val="0"/>
          <w:i w:val="0"/>
          <w:color w:val="000000"/>
          <w:sz w:val="26"/>
        </w:rPr>
        <w:t>KHUYẾN NGHỊ 3 — Thiết kế can thiệp ba thành phần. Theo mô hình EACP (Lochman và cộng sự, 2025): thành phần học sinh (kỹ năng ứng phó cá nhân) + thành phần cha mẹ (phong cách nuôi dạy) + thành phần giáo viên (phát hiện sớm + cố vấn học đường). Tích hợp peer support theo khuyến nghị Murphy và cộng sự (2024) — với vai trò định nghĩa rõ.</w:t>
      </w:r>
    </w:p>
    <w:p>
      <w:pPr>
        <w:ind w:firstLine="567"/>
        <w:jc w:val="both"/>
      </w:pPr>
      <w:r>
        <w:rPr>
          <w:b w:val="0"/>
          <w:i w:val="0"/>
          <w:color w:val="000000"/>
          <w:sz w:val="26"/>
        </w:rPr>
        <w:t>KHUYẾN NGHỊ 4 — Đo resilience riêng bằng CD-RISC. Connor &amp; Davidson Resilience Scale (Connor &amp; Davidson, 2003) — 25 mục, năm yếu tố — là thang đo chuẩn vàng quốc tế. Sử dụng CD-RISC tách riêng resilience khỏi ứng phó cho phép so sánh trực tiếp với phát hiện Qiu và cộng sự (2022) — đặc biệt OR = 6,74 cho resilience thấp.</w:t>
      </w:r>
    </w:p>
    <w:p>
      <w:r>
        <w:rPr>
          <w:b/>
          <w:color w:val="1F497D"/>
          <w:sz w:val="26"/>
        </w:rPr>
        <w:t>7. Trả lời câu hỏi ban đầu</w:t>
      </w:r>
    </w:p>
    <w:p>
      <w:pPr>
        <w:jc w:val="both"/>
      </w:pPr>
      <w:r>
        <w:rPr>
          <w:b/>
          <w:i w:val="0"/>
          <w:color w:val="000000"/>
          <w:sz w:val="26"/>
        </w:rPr>
        <w:t>Câu hỏi: Ứng phó của học sinh có phải là yếu tố bảo vệ không?</w:t>
      </w:r>
    </w:p>
    <w:p>
      <w:pPr>
        <w:ind w:firstLine="567"/>
        <w:jc w:val="both"/>
      </w:pPr>
      <w:r>
        <w:rPr>
          <w:b w:val="0"/>
          <w:i w:val="0"/>
          <w:color w:val="000000"/>
          <w:sz w:val="26"/>
        </w:rPr>
        <w:t>Trả lời: CÓ — nhưng chỉ ứng phó TÍCH CỰC (kiểm soát sơ cấp + kiểm soát thứ cấp). Ứng phó TIÊU CỰC (ngắt kết nối, né tránh, phủ nhận, ức chế cảm xúc) là YẾU TỐ NGUY CƠ — làm TĂNG triệu chứng lo âu và trầm cảm. Bằng chứng MẠNH NHẤT đến nay là phân tích tổng hợp 212 nghiên cứu của Compas và cộng sự (2017) trên 80.850 trẻ em + vị thành niên — xác lập rõ hai chiều TRÁI ngược nhau. Phù hợp với phát hiện hồ sơ ứng phó của Herres và Ohannessian (2015) trên 982 học sinh trung học phổ thông Hoa Kỳ và phát hiện về resilience của Qiu và cộng sự (2022) trên 2.079 học sinh trung học cơ sở Trung Quốc.</w:t>
      </w:r>
    </w:p>
    <w:p>
      <w:pPr>
        <w:ind w:firstLine="567"/>
        <w:jc w:val="both"/>
      </w:pPr>
      <w:r>
        <w:rPr>
          <w:b w:val="0"/>
          <w:i w:val="0"/>
          <w:color w:val="000000"/>
          <w:sz w:val="26"/>
        </w:rPr>
        <w:t>Hàm ý quan trọng cho đề tài: thiết kế nghiên cứu KHÔNG nên gộp tất cả "ứng phó" thành một biến — phải phân biệt ít nhất BA NHÓM (sơ cấp / thứ cấp / né tránh) và phân tích RIÊNG hiệu ứng từng nhóm với lo âu. Đo resilience riêng bằng CD-RISC để so sánh trực tiếp với chuẩn quốc tế.</w:t>
      </w:r>
    </w:p>
    <w:p>
      <w:r>
        <w:rPr>
          <w:b/>
          <w:color w:val="1F497D"/>
          <w:sz w:val="26"/>
        </w:rPr>
        <w:t>8. Tài liệu tham khảo</w:t>
      </w:r>
    </w:p>
    <w:p>
      <w:pPr>
        <w:ind w:left="567" w:hanging="567"/>
        <w:jc w:val="both"/>
      </w:pPr>
      <w:r>
        <w:rPr>
          <w:sz w:val="24"/>
        </w:rPr>
        <w:t>Cai, C., Mei, Z., Wang, Z., &amp; Luo, S. (2025). School-based interventions for resilience in children and adolescents: A systematic review and meta-analysis of randomized controlled trials. Frontiers in Psychiatry, 16, 1594658. https://doi.org/10.3389/fpsyt.2025.1594658</w:t>
      </w:r>
    </w:p>
    <w:p>
      <w:pPr>
        <w:ind w:left="567" w:hanging="567"/>
        <w:jc w:val="both"/>
      </w:pPr>
      <w:r>
        <w:rPr>
          <w:sz w:val="24"/>
        </w:rPr>
        <w:t>Compas, B. E., Jaser, S. S., Bettis, A. H., Watson, K. H., Gruhn, M. A., Dunbar, J. P., Williams, E., &amp; Thigpen, J. C. (2017). Coping, emotion regulation, and psychopathology in childhood and adolescence: A meta-analysis and narrative review. Psychological Bulletin, 143(9), 939–991. https://doi.org/10.1037/bul0000110</w:t>
      </w:r>
    </w:p>
    <w:p>
      <w:pPr>
        <w:ind w:left="567" w:hanging="567"/>
        <w:jc w:val="both"/>
      </w:pPr>
      <w:r>
        <w:rPr>
          <w:sz w:val="24"/>
        </w:rPr>
        <w:t>Connor, K. M., &amp; Davidson, J. R. T. (2003). Development of a new resilience scale: The Connor-Davidson Resilience Scale (CD-RISC). Depression and Anxiety, 18(2), 76–82. https://doi.org/10.1002/da.10113</w:t>
      </w:r>
    </w:p>
    <w:p>
      <w:pPr>
        <w:ind w:left="567" w:hanging="567"/>
        <w:jc w:val="both"/>
      </w:pPr>
      <w:r>
        <w:rPr>
          <w:sz w:val="24"/>
        </w:rPr>
        <w:t>Herres, J., &amp; Ohannessian, C. M. (2015). Adolescent coping profiles differentiate reports of depression and anxiety symptoms. Journal of Affective Disorders, 186, 312–319. https://doi.org/10.1016/j.jad.2015.07.031</w:t>
      </w:r>
    </w:p>
    <w:p>
      <w:pPr>
        <w:ind w:left="567" w:hanging="567"/>
        <w:jc w:val="both"/>
      </w:pPr>
      <w:r>
        <w:rPr>
          <w:sz w:val="24"/>
        </w:rPr>
        <w:t>Lazarus, R. S., &amp; Folkman, S. (1984). Stress, appraisal, and coping. Springer Publishing Company.</w:t>
      </w:r>
    </w:p>
    <w:p>
      <w:pPr>
        <w:ind w:left="567" w:hanging="567"/>
        <w:jc w:val="both"/>
      </w:pPr>
      <w:r>
        <w:rPr>
          <w:sz w:val="24"/>
        </w:rPr>
        <w:t>Lochman, J. E., và cộng sự. (2025). Randomized controlled trial of the early adolescent coping power program: Effects on emotional and behavioral problems in middle schoolers. Journal of School Psychology.</w:t>
      </w:r>
    </w:p>
    <w:p>
      <w:pPr>
        <w:ind w:left="567" w:hanging="567"/>
        <w:jc w:val="both"/>
      </w:pPr>
      <w:r>
        <w:rPr>
          <w:sz w:val="24"/>
        </w:rPr>
        <w:t>Murphy, R., Huggard, L., Fitzgerald, A., Hennessy, E., &amp; Booth, A. (2024). A systematic scoping review of peer support interventions in integrated primary youth mental health care. Journal of Community Psychology, 52(1), 154–180. https://doi.org/10.1002/jcop.23090</w:t>
      </w:r>
    </w:p>
    <w:p>
      <w:pPr>
        <w:ind w:left="567" w:hanging="567"/>
        <w:jc w:val="both"/>
      </w:pPr>
      <w:r>
        <w:rPr>
          <w:sz w:val="24"/>
        </w:rPr>
        <w:t>Qiu, Z., Guo, Y., Wang, J., &amp; Zhang, H. (2022). Associations of parenting style and resilience with depression and anxiety symptoms among Chinese middle school students. Frontiers in Public Health, 10, 897339. [QT009 trong cơ sở dữ liệu dự án.]</w:t>
      </w:r>
    </w:p>
    <w:p>
      <w:pPr>
        <w:ind w:left="567" w:hanging="567"/>
        <w:jc w:val="both"/>
      </w:pPr>
      <w:r>
        <w:rPr>
          <w:sz w:val="24"/>
        </w:rPr>
        <w:t>Trần, T. V., và cộng sự. (2024). Academic stress among students in Vietnam: A three-year longitudinal study on the impact of family, lifestyle, and academic factors. Journal of Rural Medicine, 19(4).</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