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70C0"/>
          <w:sz w:val="32"/>
        </w:rPr>
        <w:t>BẢN DỊCH + PHẢN BIỆN ĐẦY ĐỦ</w:t>
      </w:r>
    </w:p>
    <w:p>
      <w:pPr>
        <w:jc w:val="center"/>
      </w:pPr>
      <w:r>
        <w:rPr>
          <w:rFonts w:ascii="Times New Roman" w:hAnsi="Times New Roman"/>
          <w:b/>
          <w:color w:val="0070C0"/>
          <w:sz w:val="30"/>
        </w:rPr>
        <w:t>CÁC HỒ SƠ ỨNG PHÓ CỦA VỊ THÀNH NIÊN</w:t>
      </w:r>
    </w:p>
    <w:p>
      <w:pPr>
        <w:jc w:val="center"/>
      </w:pPr>
      <w:r>
        <w:rPr>
          <w:rFonts w:ascii="Times New Roman" w:hAnsi="Times New Roman"/>
          <w:b/>
          <w:color w:val="0070C0"/>
          <w:sz w:val="28"/>
        </w:rPr>
        <w:t>PHÂN BIỆT BÁO CÁO TRIỆU CHỨNG TRẦM CẢM VÀ LO ÂU</w:t>
      </w:r>
    </w:p>
    <w:p>
      <w:pPr>
        <w:jc w:val="center"/>
      </w:pPr>
      <w:r>
        <w:rPr>
          <w:rFonts w:ascii="Times New Roman" w:hAnsi="Times New Roman"/>
          <w:i/>
          <w:color w:val="555555"/>
          <w:sz w:val="22"/>
        </w:rPr>
        <w:t>Adolescent Coping Profiles Differentiate Reports of Depression and Anxiety Symptoms</w:t>
      </w:r>
    </w:p>
    <w:p>
      <w:r>
        <w:rPr>
          <w:rFonts w:ascii="Times New Roman" w:hAnsi="Times New Roman"/>
          <w:b w:val="0"/>
          <w:i w:val="0"/>
          <w:sz w:val="24"/>
        </w:rPr>
      </w:r>
    </w:p>
    <w:p>
      <w:pPr>
        <w:jc w:val="center"/>
      </w:pPr>
      <w:r>
        <w:rPr>
          <w:rFonts w:ascii="Times New Roman" w:hAnsi="Times New Roman"/>
          <w:i/>
          <w:color w:val="555555"/>
          <w:sz w:val="22"/>
        </w:rPr>
        <w:t>Joanna Herres &amp; Christine McCauley Ohannessian (2015)</w:t>
      </w:r>
    </w:p>
    <w:p>
      <w:pPr>
        <w:jc w:val="center"/>
      </w:pPr>
      <w:r>
        <w:rPr>
          <w:rFonts w:ascii="Times New Roman" w:hAnsi="Times New Roman"/>
          <w:i/>
          <w:color w:val="555555"/>
          <w:sz w:val="22"/>
        </w:rPr>
        <w:t>Journal of Affective Disorders, Tập 186: 312–319</w:t>
      </w:r>
    </w:p>
    <w:p>
      <w:pPr>
        <w:jc w:val="center"/>
      </w:pPr>
      <w:r>
        <w:rPr>
          <w:rFonts w:ascii="Times New Roman" w:hAnsi="Times New Roman"/>
          <w:i/>
          <w:color w:val="555555"/>
          <w:sz w:val="22"/>
        </w:rPr>
        <w:t>DOI: 10.1016/j.jad.2015.07.031 — PMID 26275359 — PMC4565746</w:t>
      </w:r>
    </w:p>
    <w:p>
      <w:r>
        <w:rPr>
          <w:rFonts w:ascii="Times New Roman" w:hAnsi="Times New Roman"/>
          <w:b w:val="0"/>
          <w:i w:val="0"/>
          <w:sz w:val="24"/>
        </w:rPr>
      </w:r>
    </w:p>
    <w:p>
      <w:pPr>
        <w:jc w:val="center"/>
      </w:pPr>
      <w:r>
        <w:rPr>
          <w:rFonts w:ascii="Times New Roman" w:hAnsi="Times New Roman"/>
          <w:i/>
          <w:color w:val="555555"/>
          <w:sz w:val="22"/>
        </w:rPr>
        <w:t>Trợ lý nghiên cứu — 27/04/2026 — tiếng Việt thuần — chú thích Anh trong ngoặc</w:t>
      </w:r>
    </w:p>
    <w:p>
      <w:r>
        <w:rPr>
          <w:rFonts w:ascii="Times New Roman" w:hAnsi="Times New Roman"/>
          <w:b/>
          <w:color w:val="0070C0"/>
          <w:sz w:val="30"/>
        </w:rPr>
        <w:t>THÔNG TIN THƯ MỤC</w:t>
      </w:r>
    </w:p>
    <w:tbl>
      <w:tblPr>
        <w:tblStyle w:val="TableGrid"/>
        <w:tblW w:type="auto" w:w="0"/>
        <w:jc w:val="center"/>
        <w:tblLook w:firstColumn="1" w:firstRow="1" w:lastColumn="0" w:lastRow="0" w:noHBand="0" w:noVBand="1" w:val="04A0"/>
      </w:tblPr>
      <w:tblGrid>
        <w:gridCol w:w="4844"/>
        <w:gridCol w:w="4844"/>
      </w:tblGrid>
      <w:tr>
        <w:tc>
          <w:tcPr>
            <w:tcW w:type="dxa" w:w="4844"/>
            <w:tcW w:w="2268" w:type="dxa"/>
            <w:shd w:fill="D9E2F3" w:val="clear"/>
          </w:tcPr>
          <w:p>
            <w:pPr>
              <w:jc w:val="center"/>
            </w:pPr>
            <w:r>
              <w:rPr>
                <w:rFonts w:ascii="Times New Roman" w:hAnsi="Times New Roman"/>
                <w:b/>
                <w:sz w:val="20"/>
              </w:rPr>
              <w:t>Mục</w:t>
            </w:r>
          </w:p>
        </w:tc>
        <w:tc>
          <w:tcPr>
            <w:tcW w:type="dxa" w:w="4844"/>
            <w:tcW w:w="6804" w:type="dxa"/>
            <w:shd w:fill="D9E2F3" w:val="clear"/>
          </w:tcPr>
          <w:p>
            <w:pPr>
              <w:jc w:val="center"/>
            </w:pPr>
            <w:r>
              <w:rPr>
                <w:rFonts w:ascii="Times New Roman" w:hAnsi="Times New Roman"/>
                <w:b/>
                <w:sz w:val="20"/>
              </w:rPr>
              <w:t>Nội dung</w:t>
            </w:r>
          </w:p>
        </w:tc>
      </w:tr>
      <w:tr>
        <w:tc>
          <w:tcPr>
            <w:tcW w:type="dxa" w:w="4844"/>
            <w:tcW w:w="2268" w:type="dxa"/>
          </w:tcPr>
          <w:p>
            <w:r>
              <w:rPr>
                <w:rFonts w:ascii="Times New Roman" w:hAnsi="Times New Roman"/>
                <w:sz w:val="18"/>
              </w:rPr>
              <w:t>Tên bài (tiếng Anh)</w:t>
            </w:r>
          </w:p>
        </w:tc>
        <w:tc>
          <w:tcPr>
            <w:tcW w:type="dxa" w:w="4844"/>
            <w:tcW w:w="6804" w:type="dxa"/>
          </w:tcPr>
          <w:p>
            <w:r>
              <w:rPr>
                <w:rFonts w:ascii="Times New Roman" w:hAnsi="Times New Roman"/>
                <w:sz w:val="18"/>
              </w:rPr>
              <w:t>Adolescent coping profiles differentiate reports of depression and anxiety symptoms</w:t>
            </w:r>
          </w:p>
        </w:tc>
      </w:tr>
      <w:tr>
        <w:tc>
          <w:tcPr>
            <w:tcW w:type="dxa" w:w="4844"/>
            <w:tcW w:w="2268" w:type="dxa"/>
          </w:tcPr>
          <w:p>
            <w:r>
              <w:rPr>
                <w:rFonts w:ascii="Times New Roman" w:hAnsi="Times New Roman"/>
                <w:sz w:val="18"/>
              </w:rPr>
              <w:t>Tạm dịch</w:t>
            </w:r>
          </w:p>
        </w:tc>
        <w:tc>
          <w:tcPr>
            <w:tcW w:type="dxa" w:w="4844"/>
            <w:tcW w:w="6804" w:type="dxa"/>
          </w:tcPr>
          <w:p>
            <w:r>
              <w:rPr>
                <w:rFonts w:ascii="Times New Roman" w:hAnsi="Times New Roman"/>
                <w:sz w:val="18"/>
              </w:rPr>
              <w:t>Các hồ sơ ứng phó của vị thành niên phân biệt các báo cáo về triệu chứng trầm cảm và lo âu</w:t>
            </w:r>
          </w:p>
        </w:tc>
      </w:tr>
      <w:tr>
        <w:tc>
          <w:tcPr>
            <w:tcW w:type="dxa" w:w="4844"/>
            <w:tcW w:w="2268" w:type="dxa"/>
          </w:tcPr>
          <w:p>
            <w:r>
              <w:rPr>
                <w:rFonts w:ascii="Times New Roman" w:hAnsi="Times New Roman"/>
                <w:sz w:val="18"/>
              </w:rPr>
              <w:t>Tác giả</w:t>
            </w:r>
          </w:p>
        </w:tc>
        <w:tc>
          <w:tcPr>
            <w:tcW w:type="dxa" w:w="4844"/>
            <w:tcW w:w="6804" w:type="dxa"/>
          </w:tcPr>
          <w:p>
            <w:r>
              <w:rPr>
                <w:rFonts w:ascii="Times New Roman" w:hAnsi="Times New Roman"/>
                <w:sz w:val="18"/>
              </w:rPr>
              <w:t>Joanna Herres + Christine McCauley Ohannessian</w:t>
            </w:r>
          </w:p>
        </w:tc>
      </w:tr>
      <w:tr>
        <w:tc>
          <w:tcPr>
            <w:tcW w:type="dxa" w:w="4844"/>
            <w:tcW w:w="2268" w:type="dxa"/>
          </w:tcPr>
          <w:p>
            <w:r>
              <w:rPr>
                <w:rFonts w:ascii="Times New Roman" w:hAnsi="Times New Roman"/>
                <w:sz w:val="18"/>
              </w:rPr>
              <w:t>Tạp chí</w:t>
            </w:r>
          </w:p>
        </w:tc>
        <w:tc>
          <w:tcPr>
            <w:tcW w:type="dxa" w:w="4844"/>
            <w:tcW w:w="6804" w:type="dxa"/>
          </w:tcPr>
          <w:p>
            <w:r>
              <w:rPr>
                <w:rFonts w:ascii="Times New Roman" w:hAnsi="Times New Roman"/>
                <w:sz w:val="18"/>
              </w:rPr>
              <w:t>Journal of Affective Disorders</w:t>
            </w:r>
          </w:p>
        </w:tc>
      </w:tr>
      <w:tr>
        <w:tc>
          <w:tcPr>
            <w:tcW w:type="dxa" w:w="4844"/>
            <w:tcW w:w="2268" w:type="dxa"/>
          </w:tcPr>
          <w:p>
            <w:r>
              <w:rPr>
                <w:rFonts w:ascii="Times New Roman" w:hAnsi="Times New Roman"/>
                <w:sz w:val="18"/>
              </w:rPr>
              <w:t>Tập / Trang / Năm</w:t>
            </w:r>
          </w:p>
        </w:tc>
        <w:tc>
          <w:tcPr>
            <w:tcW w:type="dxa" w:w="4844"/>
            <w:tcW w:w="6804" w:type="dxa"/>
          </w:tcPr>
          <w:p>
            <w:r>
              <w:rPr>
                <w:rFonts w:ascii="Times New Roman" w:hAnsi="Times New Roman"/>
                <w:sz w:val="18"/>
              </w:rPr>
              <w:t>Tập 186: 312–319 (2015)</w:t>
            </w:r>
          </w:p>
        </w:tc>
      </w:tr>
      <w:tr>
        <w:tc>
          <w:tcPr>
            <w:tcW w:type="dxa" w:w="4844"/>
            <w:tcW w:w="2268" w:type="dxa"/>
          </w:tcPr>
          <w:p>
            <w:r>
              <w:rPr>
                <w:rFonts w:ascii="Times New Roman" w:hAnsi="Times New Roman"/>
                <w:sz w:val="18"/>
              </w:rPr>
              <w:t>DOI</w:t>
            </w:r>
          </w:p>
        </w:tc>
        <w:tc>
          <w:tcPr>
            <w:tcW w:type="dxa" w:w="4844"/>
            <w:tcW w:w="6804" w:type="dxa"/>
          </w:tcPr>
          <w:p>
            <w:r>
              <w:rPr>
                <w:rFonts w:ascii="Times New Roman" w:hAnsi="Times New Roman"/>
                <w:sz w:val="18"/>
              </w:rPr>
              <w:t>10.1016/j.jad.2015.07.031</w:t>
            </w:r>
          </w:p>
        </w:tc>
      </w:tr>
      <w:tr>
        <w:tc>
          <w:tcPr>
            <w:tcW w:type="dxa" w:w="4844"/>
            <w:tcW w:w="2268" w:type="dxa"/>
          </w:tcPr>
          <w:p>
            <w:r>
              <w:rPr>
                <w:rFonts w:ascii="Times New Roman" w:hAnsi="Times New Roman"/>
                <w:sz w:val="18"/>
              </w:rPr>
              <w:t>PMID</w:t>
            </w:r>
          </w:p>
        </w:tc>
        <w:tc>
          <w:tcPr>
            <w:tcW w:type="dxa" w:w="4844"/>
            <w:tcW w:w="6804" w:type="dxa"/>
          </w:tcPr>
          <w:p>
            <w:r>
              <w:rPr>
                <w:rFonts w:ascii="Times New Roman" w:hAnsi="Times New Roman"/>
                <w:sz w:val="18"/>
              </w:rPr>
              <w:t>26275359</w:t>
            </w:r>
          </w:p>
        </w:tc>
      </w:tr>
      <w:tr>
        <w:tc>
          <w:tcPr>
            <w:tcW w:type="dxa" w:w="4844"/>
            <w:tcW w:w="2268" w:type="dxa"/>
          </w:tcPr>
          <w:p>
            <w:r>
              <w:rPr>
                <w:rFonts w:ascii="Times New Roman" w:hAnsi="Times New Roman"/>
                <w:sz w:val="18"/>
              </w:rPr>
              <w:t>PMC</w:t>
            </w:r>
          </w:p>
        </w:tc>
        <w:tc>
          <w:tcPr>
            <w:tcW w:type="dxa" w:w="4844"/>
            <w:tcW w:w="6804" w:type="dxa"/>
          </w:tcPr>
          <w:p>
            <w:r>
              <w:rPr>
                <w:rFonts w:ascii="Times New Roman" w:hAnsi="Times New Roman"/>
                <w:sz w:val="18"/>
              </w:rPr>
              <w:t>PMC4565746</w:t>
            </w:r>
          </w:p>
        </w:tc>
      </w:tr>
      <w:tr>
        <w:tc>
          <w:tcPr>
            <w:tcW w:type="dxa" w:w="4844"/>
            <w:tcW w:w="2268" w:type="dxa"/>
          </w:tcPr>
          <w:p>
            <w:r>
              <w:rPr>
                <w:rFonts w:ascii="Times New Roman" w:hAnsi="Times New Roman"/>
                <w:sz w:val="18"/>
              </w:rPr>
              <w:t>Cỡ mẫu</w:t>
            </w:r>
          </w:p>
        </w:tc>
        <w:tc>
          <w:tcPr>
            <w:tcW w:type="dxa" w:w="4844"/>
            <w:tcW w:w="6804" w:type="dxa"/>
          </w:tcPr>
          <w:p>
            <w:r>
              <w:rPr>
                <w:rFonts w:ascii="Times New Roman" w:hAnsi="Times New Roman"/>
                <w:sz w:val="18"/>
              </w:rPr>
              <w:t>N=982 học sinh (51% nữ; 66% Caucasian; 19% gốc Phi; 11% gốc Hispanic; 2% gốc Á)</w:t>
            </w:r>
          </w:p>
        </w:tc>
      </w:tr>
      <w:tr>
        <w:tc>
          <w:tcPr>
            <w:tcW w:type="dxa" w:w="4844"/>
            <w:tcW w:w="2268" w:type="dxa"/>
          </w:tcPr>
          <w:p>
            <w:r>
              <w:rPr>
                <w:rFonts w:ascii="Times New Roman" w:hAnsi="Times New Roman"/>
                <w:sz w:val="18"/>
              </w:rPr>
              <w:t>Tuổi</w:t>
            </w:r>
          </w:p>
        </w:tc>
        <w:tc>
          <w:tcPr>
            <w:tcW w:type="dxa" w:w="4844"/>
            <w:tcW w:w="6804" w:type="dxa"/>
          </w:tcPr>
          <w:p>
            <w:r>
              <w:rPr>
                <w:rFonts w:ascii="Times New Roman" w:hAnsi="Times New Roman"/>
                <w:sz w:val="18"/>
              </w:rPr>
              <w:t>Lớp 10–11 — tuổi trung bình 16,04 (độ lệch chuẩn 0,73)</w:t>
            </w:r>
          </w:p>
        </w:tc>
      </w:tr>
      <w:tr>
        <w:tc>
          <w:tcPr>
            <w:tcW w:type="dxa" w:w="4844"/>
            <w:tcW w:w="2268" w:type="dxa"/>
          </w:tcPr>
          <w:p>
            <w:r>
              <w:rPr>
                <w:rFonts w:ascii="Times New Roman" w:hAnsi="Times New Roman"/>
                <w:sz w:val="18"/>
              </w:rPr>
              <w:t>Bối cảnh</w:t>
            </w:r>
          </w:p>
        </w:tc>
        <w:tc>
          <w:tcPr>
            <w:tcW w:type="dxa" w:w="4844"/>
            <w:tcW w:w="6804" w:type="dxa"/>
          </w:tcPr>
          <w:p>
            <w:r>
              <w:rPr>
                <w:rFonts w:ascii="Times New Roman" w:hAnsi="Times New Roman"/>
                <w:sz w:val="18"/>
              </w:rPr>
              <w:t>Trường THPT công lập vùng Mid-Atlantic Hoa Kỳ (Delaware, Pennsylvania, Maryland), khảo sát mùa xuân 2007</w:t>
            </w:r>
          </w:p>
        </w:tc>
      </w:tr>
      <w:tr>
        <w:tc>
          <w:tcPr>
            <w:tcW w:type="dxa" w:w="4844"/>
            <w:tcW w:w="2268" w:type="dxa"/>
          </w:tcPr>
          <w:p>
            <w:r>
              <w:rPr>
                <w:rFonts w:ascii="Times New Roman" w:hAnsi="Times New Roman"/>
                <w:sz w:val="18"/>
              </w:rPr>
              <w:t>Loại nghiên cứu</w:t>
            </w:r>
          </w:p>
        </w:tc>
        <w:tc>
          <w:tcPr>
            <w:tcW w:type="dxa" w:w="4844"/>
            <w:tcW w:w="6804" w:type="dxa"/>
          </w:tcPr>
          <w:p>
            <w:r>
              <w:rPr>
                <w:rFonts w:ascii="Times New Roman" w:hAnsi="Times New Roman"/>
                <w:sz w:val="18"/>
              </w:rPr>
              <w:t>Cắt ngang (cross-sectional) với phân tích hồ sơ tiềm ẩn (Latent Profile Analysis — LPA)</w:t>
            </w:r>
          </w:p>
        </w:tc>
      </w:tr>
    </w:tbl>
    <w:p>
      <w:r>
        <w:rPr>
          <w:rFonts w:ascii="Times New Roman" w:hAnsi="Times New Roman"/>
          <w:b/>
          <w:color w:val="0070C0"/>
          <w:sz w:val="30"/>
        </w:rPr>
        <w:t>PHẦN 1 — TÓM TẮT VÀ DỊCH SONG NGỮ</w:t>
      </w:r>
    </w:p>
    <w:p>
      <w:r>
        <w:rPr>
          <w:rFonts w:ascii="Times New Roman" w:hAnsi="Times New Roman"/>
          <w:b/>
          <w:color w:val="0070C0"/>
          <w:sz w:val="26"/>
        </w:rPr>
        <w:t>Tóm tắt (Abstract)</w:t>
      </w:r>
    </w:p>
    <w:p>
      <w:pPr>
        <w:ind w:left="227"/>
      </w:pPr>
      <w:r>
        <w:rPr>
          <w:rFonts w:ascii="Times New Roman" w:hAnsi="Times New Roman"/>
          <w:i/>
          <w:color w:val="555555"/>
          <w:sz w:val="22"/>
        </w:rPr>
        <w:t>Background: Diathesis-stress models suggest that the way one copes with stress influences whether stressful events lead to depression and anxiety. Coping strategies have typically been classified as approach versus avoidance.</w:t>
      </w:r>
    </w:p>
    <w:p>
      <w:r>
        <w:rPr>
          <w:rFonts w:ascii="Times New Roman" w:hAnsi="Times New Roman"/>
          <w:sz w:val="26"/>
        </w:rPr>
        <w:t>Bối cảnh: Các mô hình "tố chất – căng thẳng" (diathesis-stress models) gợi ý rằng CÁCH một người đối phó với căng thẳng ảnh hưởng đến việc các sự kiện căng thẳng có dẫn đến trầm cảm và lo âu hay không. Các chiến lược ứng phó thường được phân loại thành tiếp cận (approach) so với tránh né (avoidance).</w:t>
      </w:r>
    </w:p>
    <w:p>
      <w:pPr>
        <w:ind w:left="227"/>
      </w:pPr>
      <w:r>
        <w:rPr>
          <w:rFonts w:ascii="Times New Roman" w:hAnsi="Times New Roman"/>
          <w:i/>
          <w:color w:val="555555"/>
          <w:sz w:val="22"/>
        </w:rPr>
        <w:t>Methods: This study used latent profile analysis (LPA) to examine coping profiles in a community sample of 982 high school adolescents.</w:t>
      </w:r>
    </w:p>
    <w:p>
      <w:r>
        <w:rPr>
          <w:rFonts w:ascii="Times New Roman" w:hAnsi="Times New Roman"/>
          <w:sz w:val="26"/>
        </w:rPr>
        <w:t>Phương pháp: Nghiên cứu này sử dụng phân tích hồ sơ tiềm ẩn (LPA) để xem xét các hồ sơ ứng phó trong một mẫu cộng đồng gồm 982 học sinh THPT.</w:t>
      </w:r>
    </w:p>
    <w:p>
      <w:pPr>
        <w:ind w:left="227"/>
      </w:pPr>
      <w:r>
        <w:rPr>
          <w:rFonts w:ascii="Times New Roman" w:hAnsi="Times New Roman"/>
          <w:i/>
          <w:color w:val="555555"/>
          <w:sz w:val="22"/>
        </w:rPr>
        <w:t>Results: Four profiles were identified: (1) Disengaged Copers (15.6%), who reported the lowest coping overall; (2) Independent Copers (38.2%), who reported moderate coping; (3) Social Support Seeking Copers (30.6%), who reported high social support seeking; and (4) Active Copers (12.4%), who reported the highest coping across all subscales. The independent copers reported the lowest levels of depressive symptoms compared to the three other groups. The Social Support Seeking and Active Coping Groups reported the highest levels of anxiety.</w:t>
      </w:r>
    </w:p>
    <w:p>
      <w:r>
        <w:rPr>
          <w:rFonts w:ascii="Times New Roman" w:hAnsi="Times New Roman"/>
          <w:sz w:val="26"/>
        </w:rPr>
        <w:t>Kết quả: Bốn hồ sơ được xác định: (1) Đứt kết với ứng phó (Disengaged Copers) chiếm 15,6%, với mức ứng phó thấp nhất nói chung; (2) Ứng phó độc lập (Independent Copers) chiếm 38,2%, mức ứng phó vừa phải; (3) Tìm hỗ trợ xã hội (Social Support Seeking Copers) chiếm 30,6%, có xu hướng tìm hỗ trợ xã hội cao; (4) Ứng phó chủ động (Active Copers) chiếm 12,4%, mức ứng phó cao nhất trên tất cả các thang con. NHÓM ĐỘC LẬP báo cáo mức triệu chứng TRẦM CẢM THẤP NHẤT so với 3 nhóm còn lại. NHÓM TÌM HỖ TRỢ XÃ HỘI và NHÓM CHỦ ĐỘNG báo cáo mức LO ÂU CAO NHẤT.</w:t>
      </w:r>
    </w:p>
    <w:p>
      <w:pPr>
        <w:ind w:left="283"/>
      </w:pPr>
      <w:r>
        <w:rPr>
          <w:rFonts w:ascii="Times New Roman" w:hAnsi="Times New Roman"/>
          <w:b/>
          <w:color w:val="C00000"/>
          <w:sz w:val="24"/>
        </w:rPr>
        <w:t xml:space="preserve">[Phản biện] </w:t>
      </w:r>
      <w:r>
        <w:rPr>
          <w:rFonts w:ascii="Times New Roman" w:hAnsi="Times New Roman"/>
          <w:color w:val="C00000"/>
          <w:sz w:val="24"/>
        </w:rPr>
        <w:t>ĐÂY LÀ PHÁT HIỆN ĐẢO NGƯỢC TRỰC GIÁC: nhóm ứng phó NHIỀU NHẤT lại có lo âu CAO NHẤT. Tác giả gợi ý quan hệ "cong" (curvilinear) — coping vừa phải tốt nhất. Tuy nhiên không loại trừ giả thuyết "reverse causation": người đã có lo âu cao thì PHẢI dùng nhiều cách ứng phó để cố gắng giảm. Thiết kế cắt ngang không thể phân biệt được hai khả năng này.</w:t>
      </w:r>
    </w:p>
    <w:p>
      <w:pPr>
        <w:ind w:left="227"/>
      </w:pPr>
      <w:r>
        <w:rPr>
          <w:rFonts w:ascii="Times New Roman" w:hAnsi="Times New Roman"/>
          <w:i/>
          <w:color w:val="555555"/>
          <w:sz w:val="22"/>
        </w:rPr>
        <w:t>Limitations: The findings are based on cross-sectional self-report data from a community sample.</w:t>
      </w:r>
    </w:p>
    <w:p>
      <w:r>
        <w:rPr>
          <w:rFonts w:ascii="Times New Roman" w:hAnsi="Times New Roman"/>
          <w:sz w:val="26"/>
        </w:rPr>
        <w:t>Hạn chế: Phát hiện dựa trên dữ liệu tự báo cáo cắt ngang từ một mẫu cộng đồng.</w:t>
      </w:r>
    </w:p>
    <w:p>
      <w:pPr>
        <w:ind w:left="227"/>
      </w:pPr>
      <w:r>
        <w:rPr>
          <w:rFonts w:ascii="Times New Roman" w:hAnsi="Times New Roman"/>
          <w:i/>
          <w:color w:val="555555"/>
          <w:sz w:val="22"/>
        </w:rPr>
        <w:t>Conclusions: Findings highlight the importance of considering individual differences in coping when working with adolescents who report depression and anxiety symptoms.</w:t>
      </w:r>
    </w:p>
    <w:p>
      <w:r>
        <w:rPr>
          <w:rFonts w:ascii="Times New Roman" w:hAnsi="Times New Roman"/>
          <w:sz w:val="26"/>
        </w:rPr>
        <w:t>Kết luận: Phát hiện nhấn mạnh tầm quan trọng của việc xem xét các khác biệt cá nhân về ứng phó khi làm việc với vị thành niên có triệu chứng trầm cảm và lo âu.</w:t>
      </w:r>
    </w:p>
    <w:p>
      <w:r>
        <w:rPr>
          <w:rFonts w:ascii="Times New Roman" w:hAnsi="Times New Roman"/>
          <w:b/>
          <w:color w:val="0070C0"/>
          <w:sz w:val="26"/>
        </w:rPr>
        <w:t>Phương pháp chi tiết</w:t>
      </w:r>
    </w:p>
    <w:p>
      <w:r>
        <w:rPr>
          <w:rFonts w:ascii="Times New Roman" w:hAnsi="Times New Roman"/>
          <w:b w:val="0"/>
          <w:i w:val="0"/>
          <w:sz w:val="24"/>
        </w:rPr>
        <w:t>• THANG ĐO ỨNG PHÓ: Bộ COPE 60 mục (Carver và cộng sự 1989) — đo 9 thang con: ứng phó chủ động (active coping), phủ nhận (denial), tìm hỗ trợ xã hội cảm xúc (emotional social support), hài hước (humor), tìm hỗ trợ xã hội công cụ (instrumental social support), thoát ra tinh thần (mental disengagement), lập kế hoạch (planning), ứng phó tâm linh (religious coping), giải toả cảm xúc (venting emotions).</w:t>
      </w:r>
    </w:p>
    <w:p>
      <w:r>
        <w:rPr>
          <w:rFonts w:ascii="Times New Roman" w:hAnsi="Times New Roman"/>
          <w:b w:val="0"/>
          <w:i w:val="0"/>
          <w:sz w:val="24"/>
        </w:rPr>
        <w:t>• THANG ĐO TRẦM CẢM: CES-DC (Center for Epidemiological Studies Depression Scale for Children) 20 mục — phổ điểm 20–80 — hệ số tin cậy nội tại Cronbach alpha = 0,91.</w:t>
      </w:r>
    </w:p>
    <w:p>
      <w:r>
        <w:rPr>
          <w:rFonts w:ascii="Times New Roman" w:hAnsi="Times New Roman"/>
          <w:b w:val="0"/>
          <w:i w:val="0"/>
          <w:sz w:val="24"/>
        </w:rPr>
        <w:t>• THANG ĐO LO ÂU: SCARED (Screen for Child Anxiety Related Disorders) 41 mục — phổ điểm 0–82 — Cronbach alpha = 0,94.</w:t>
      </w:r>
    </w:p>
    <w:p>
      <w:r>
        <w:rPr>
          <w:rFonts w:ascii="Times New Roman" w:hAnsi="Times New Roman"/>
          <w:b/>
          <w:color w:val="0070C0"/>
          <w:sz w:val="26"/>
        </w:rPr>
        <w:t>Kết quả 4 hồ sơ ứng phó (chi tiết)</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tcW w:w="3118" w:type="dxa"/>
            <w:shd w:fill="D9E2F3" w:val="clear"/>
          </w:tcPr>
          <w:p>
            <w:pPr>
              <w:jc w:val="center"/>
            </w:pPr>
            <w:r>
              <w:rPr>
                <w:rFonts w:ascii="Times New Roman" w:hAnsi="Times New Roman"/>
                <w:b/>
                <w:sz w:val="20"/>
              </w:rPr>
              <w:t>Hồ sơ</w:t>
            </w:r>
          </w:p>
        </w:tc>
        <w:tc>
          <w:tcPr>
            <w:tcW w:type="dxa" w:w="1938"/>
            <w:tcW w:w="850" w:type="dxa"/>
            <w:shd w:fill="D9E2F3" w:val="clear"/>
          </w:tcPr>
          <w:p>
            <w:pPr>
              <w:jc w:val="center"/>
            </w:pPr>
            <w:r>
              <w:rPr>
                <w:rFonts w:ascii="Times New Roman" w:hAnsi="Times New Roman"/>
                <w:b/>
                <w:sz w:val="20"/>
              </w:rPr>
              <w:t>N</w:t>
            </w:r>
          </w:p>
        </w:tc>
        <w:tc>
          <w:tcPr>
            <w:tcW w:type="dxa" w:w="1938"/>
            <w:tcW w:w="1134" w:type="dxa"/>
            <w:shd w:fill="D9E2F3" w:val="clear"/>
          </w:tcPr>
          <w:p>
            <w:pPr>
              <w:jc w:val="center"/>
            </w:pPr>
            <w:r>
              <w:rPr>
                <w:rFonts w:ascii="Times New Roman" w:hAnsi="Times New Roman"/>
                <w:b/>
                <w:sz w:val="20"/>
              </w:rPr>
              <w:t>% mẫu</w:t>
            </w:r>
          </w:p>
        </w:tc>
        <w:tc>
          <w:tcPr>
            <w:tcW w:type="dxa" w:w="1938"/>
            <w:tcW w:w="1984" w:type="dxa"/>
            <w:shd w:fill="D9E2F3" w:val="clear"/>
          </w:tcPr>
          <w:p>
            <w:pPr>
              <w:jc w:val="center"/>
            </w:pPr>
            <w:r>
              <w:rPr>
                <w:rFonts w:ascii="Times New Roman" w:hAnsi="Times New Roman"/>
                <w:b/>
                <w:sz w:val="20"/>
              </w:rPr>
              <w:t>Trầm cảm M (SD)</w:t>
            </w:r>
          </w:p>
        </w:tc>
        <w:tc>
          <w:tcPr>
            <w:tcW w:type="dxa" w:w="1938"/>
            <w:tcW w:w="1984" w:type="dxa"/>
            <w:shd w:fill="D9E2F3" w:val="clear"/>
          </w:tcPr>
          <w:p>
            <w:pPr>
              <w:jc w:val="center"/>
            </w:pPr>
            <w:r>
              <w:rPr>
                <w:rFonts w:ascii="Times New Roman" w:hAnsi="Times New Roman"/>
                <w:b/>
                <w:sz w:val="20"/>
              </w:rPr>
              <w:t>Lo âu M (SD)</w:t>
            </w:r>
          </w:p>
        </w:tc>
      </w:tr>
      <w:tr>
        <w:tc>
          <w:tcPr>
            <w:tcW w:type="dxa" w:w="1938"/>
            <w:tcW w:w="3118" w:type="dxa"/>
          </w:tcPr>
          <w:p>
            <w:r>
              <w:rPr>
                <w:rFonts w:ascii="Times New Roman" w:hAnsi="Times New Roman"/>
                <w:sz w:val="18"/>
              </w:rPr>
              <w:t>Đứt kết (Disengaged)</w:t>
            </w:r>
          </w:p>
        </w:tc>
        <w:tc>
          <w:tcPr>
            <w:tcW w:type="dxa" w:w="1938"/>
            <w:tcW w:w="850" w:type="dxa"/>
          </w:tcPr>
          <w:p>
            <w:r>
              <w:rPr>
                <w:rFonts w:ascii="Times New Roman" w:hAnsi="Times New Roman"/>
                <w:sz w:val="18"/>
              </w:rPr>
              <w:t>153</w:t>
            </w:r>
          </w:p>
        </w:tc>
        <w:tc>
          <w:tcPr>
            <w:tcW w:type="dxa" w:w="1938"/>
            <w:tcW w:w="1134" w:type="dxa"/>
          </w:tcPr>
          <w:p>
            <w:r>
              <w:rPr>
                <w:rFonts w:ascii="Times New Roman" w:hAnsi="Times New Roman"/>
                <w:sz w:val="18"/>
              </w:rPr>
              <w:t>15,6%</w:t>
            </w:r>
          </w:p>
        </w:tc>
        <w:tc>
          <w:tcPr>
            <w:tcW w:type="dxa" w:w="1938"/>
            <w:tcW w:w="1984" w:type="dxa"/>
          </w:tcPr>
          <w:p>
            <w:r>
              <w:rPr>
                <w:rFonts w:ascii="Times New Roman" w:hAnsi="Times New Roman"/>
                <w:sz w:val="18"/>
              </w:rPr>
              <w:t>36,98 (12,39)</w:t>
            </w:r>
          </w:p>
        </w:tc>
        <w:tc>
          <w:tcPr>
            <w:tcW w:type="dxa" w:w="1938"/>
            <w:tcW w:w="1984" w:type="dxa"/>
          </w:tcPr>
          <w:p>
            <w:r>
              <w:rPr>
                <w:rFonts w:ascii="Times New Roman" w:hAnsi="Times New Roman"/>
                <w:sz w:val="18"/>
              </w:rPr>
              <w:t>12,69 (12,45)</w:t>
            </w:r>
          </w:p>
        </w:tc>
      </w:tr>
      <w:tr>
        <w:tc>
          <w:tcPr>
            <w:tcW w:type="dxa" w:w="1938"/>
            <w:tcW w:w="3118" w:type="dxa"/>
          </w:tcPr>
          <w:p>
            <w:r>
              <w:rPr>
                <w:rFonts w:ascii="Times New Roman" w:hAnsi="Times New Roman"/>
                <w:sz w:val="18"/>
              </w:rPr>
              <w:t>Độc lập (Independent)</w:t>
            </w:r>
          </w:p>
        </w:tc>
        <w:tc>
          <w:tcPr>
            <w:tcW w:type="dxa" w:w="1938"/>
            <w:tcW w:w="850" w:type="dxa"/>
          </w:tcPr>
          <w:p>
            <w:r>
              <w:rPr>
                <w:rFonts w:ascii="Times New Roman" w:hAnsi="Times New Roman"/>
                <w:sz w:val="18"/>
              </w:rPr>
              <w:t>375</w:t>
            </w:r>
          </w:p>
        </w:tc>
        <w:tc>
          <w:tcPr>
            <w:tcW w:type="dxa" w:w="1938"/>
            <w:tcW w:w="1134" w:type="dxa"/>
          </w:tcPr>
          <w:p>
            <w:r>
              <w:rPr>
                <w:rFonts w:ascii="Times New Roman" w:hAnsi="Times New Roman"/>
                <w:sz w:val="18"/>
              </w:rPr>
              <w:t>38,2%</w:t>
            </w:r>
          </w:p>
        </w:tc>
        <w:tc>
          <w:tcPr>
            <w:tcW w:type="dxa" w:w="1938"/>
            <w:tcW w:w="1984" w:type="dxa"/>
          </w:tcPr>
          <w:p>
            <w:r>
              <w:rPr>
                <w:rFonts w:ascii="Times New Roman" w:hAnsi="Times New Roman"/>
                <w:sz w:val="18"/>
              </w:rPr>
              <w:t>33,69 (9,76)</w:t>
            </w:r>
          </w:p>
        </w:tc>
        <w:tc>
          <w:tcPr>
            <w:tcW w:type="dxa" w:w="1938"/>
            <w:tcW w:w="1984" w:type="dxa"/>
          </w:tcPr>
          <w:p>
            <w:r>
              <w:rPr>
                <w:rFonts w:ascii="Times New Roman" w:hAnsi="Times New Roman"/>
                <w:sz w:val="18"/>
              </w:rPr>
              <w:t>13,29 (9,68)</w:t>
            </w:r>
          </w:p>
        </w:tc>
      </w:tr>
      <w:tr>
        <w:tc>
          <w:tcPr>
            <w:tcW w:type="dxa" w:w="1938"/>
            <w:tcW w:w="3118" w:type="dxa"/>
          </w:tcPr>
          <w:p>
            <w:r>
              <w:rPr>
                <w:rFonts w:ascii="Times New Roman" w:hAnsi="Times New Roman"/>
                <w:sz w:val="18"/>
              </w:rPr>
              <w:t>Tìm hỗ trợ xã hội (Social Support Seeking)</w:t>
            </w:r>
          </w:p>
        </w:tc>
        <w:tc>
          <w:tcPr>
            <w:tcW w:type="dxa" w:w="1938"/>
            <w:tcW w:w="850" w:type="dxa"/>
          </w:tcPr>
          <w:p>
            <w:r>
              <w:rPr>
                <w:rFonts w:ascii="Times New Roman" w:hAnsi="Times New Roman"/>
                <w:sz w:val="18"/>
              </w:rPr>
              <w:t>300</w:t>
            </w:r>
          </w:p>
        </w:tc>
        <w:tc>
          <w:tcPr>
            <w:tcW w:type="dxa" w:w="1938"/>
            <w:tcW w:w="1134" w:type="dxa"/>
          </w:tcPr>
          <w:p>
            <w:r>
              <w:rPr>
                <w:rFonts w:ascii="Times New Roman" w:hAnsi="Times New Roman"/>
                <w:sz w:val="18"/>
              </w:rPr>
              <w:t>30,6%</w:t>
            </w:r>
          </w:p>
        </w:tc>
        <w:tc>
          <w:tcPr>
            <w:tcW w:type="dxa" w:w="1938"/>
            <w:tcW w:w="1984" w:type="dxa"/>
          </w:tcPr>
          <w:p>
            <w:r>
              <w:rPr>
                <w:rFonts w:ascii="Times New Roman" w:hAnsi="Times New Roman"/>
                <w:sz w:val="18"/>
              </w:rPr>
              <w:t>36,36 (10,90)</w:t>
            </w:r>
          </w:p>
        </w:tc>
        <w:tc>
          <w:tcPr>
            <w:tcW w:type="dxa" w:w="1938"/>
            <w:tcW w:w="1984" w:type="dxa"/>
          </w:tcPr>
          <w:p>
            <w:r>
              <w:rPr>
                <w:rFonts w:ascii="Times New Roman" w:hAnsi="Times New Roman"/>
                <w:sz w:val="18"/>
              </w:rPr>
              <w:t>18,72 (12,13)</w:t>
            </w:r>
          </w:p>
        </w:tc>
      </w:tr>
      <w:tr>
        <w:tc>
          <w:tcPr>
            <w:tcW w:type="dxa" w:w="1938"/>
            <w:tcW w:w="3118" w:type="dxa"/>
          </w:tcPr>
          <w:p>
            <w:r>
              <w:rPr>
                <w:rFonts w:ascii="Times New Roman" w:hAnsi="Times New Roman"/>
                <w:sz w:val="18"/>
              </w:rPr>
              <w:t>Chủ động (Active)</w:t>
            </w:r>
          </w:p>
        </w:tc>
        <w:tc>
          <w:tcPr>
            <w:tcW w:type="dxa" w:w="1938"/>
            <w:tcW w:w="850" w:type="dxa"/>
          </w:tcPr>
          <w:p>
            <w:r>
              <w:rPr>
                <w:rFonts w:ascii="Times New Roman" w:hAnsi="Times New Roman"/>
                <w:sz w:val="18"/>
              </w:rPr>
              <w:t>122</w:t>
            </w:r>
          </w:p>
        </w:tc>
        <w:tc>
          <w:tcPr>
            <w:tcW w:type="dxa" w:w="1938"/>
            <w:tcW w:w="1134" w:type="dxa"/>
          </w:tcPr>
          <w:p>
            <w:r>
              <w:rPr>
                <w:rFonts w:ascii="Times New Roman" w:hAnsi="Times New Roman"/>
                <w:sz w:val="18"/>
              </w:rPr>
              <w:t>12,4%</w:t>
            </w:r>
          </w:p>
        </w:tc>
        <w:tc>
          <w:tcPr>
            <w:tcW w:type="dxa" w:w="1938"/>
            <w:tcW w:w="1984" w:type="dxa"/>
          </w:tcPr>
          <w:p>
            <w:r>
              <w:rPr>
                <w:rFonts w:ascii="Times New Roman" w:hAnsi="Times New Roman"/>
                <w:sz w:val="18"/>
              </w:rPr>
              <w:t>37,42 (12,64)</w:t>
            </w:r>
          </w:p>
        </w:tc>
        <w:tc>
          <w:tcPr>
            <w:tcW w:type="dxa" w:w="1938"/>
            <w:tcW w:w="1984" w:type="dxa"/>
          </w:tcPr>
          <w:p>
            <w:r>
              <w:rPr>
                <w:rFonts w:ascii="Times New Roman" w:hAnsi="Times New Roman"/>
                <w:sz w:val="18"/>
              </w:rPr>
              <w:t>22,44 (15,53)</w:t>
            </w:r>
          </w:p>
        </w:tc>
      </w:tr>
    </w:tbl>
    <w:p>
      <w:r>
        <w:rPr>
          <w:rFonts w:ascii="Times New Roman" w:hAnsi="Times New Roman"/>
          <w:b/>
          <w:i w:val="0"/>
          <w:sz w:val="24"/>
        </w:rPr>
        <w:t>Quan sát: nhóm ĐỘC LẬP có cả trầm cảm + lo âu THẤP NHẤT; nhóm CHỦ ĐỘNG có lo âu CAO NHẤT (gần GẤP ĐÔI nhóm Đứt kết và Độc lập).</w:t>
      </w:r>
    </w:p>
    <w:p>
      <w:r>
        <w:rPr>
          <w:rFonts w:ascii="Times New Roman" w:hAnsi="Times New Roman"/>
          <w:b/>
          <w:color w:val="0070C0"/>
          <w:sz w:val="26"/>
        </w:rPr>
        <w:t>Hạn chế tác giả tự thừa nhận</w:t>
      </w:r>
    </w:p>
    <w:p>
      <w:r>
        <w:rPr>
          <w:rFonts w:ascii="Times New Roman" w:hAnsi="Times New Roman"/>
          <w:b w:val="0"/>
          <w:i w:val="0"/>
          <w:sz w:val="24"/>
        </w:rPr>
        <w:t>(1) "Tất cả các thang đo đều là tự báo cáo" — risk thiên lệch nhận thức</w:t>
      </w:r>
    </w:p>
    <w:p>
      <w:r>
        <w:rPr>
          <w:rFonts w:ascii="Times New Roman" w:hAnsi="Times New Roman"/>
          <w:b w:val="0"/>
          <w:i w:val="0"/>
          <w:sz w:val="24"/>
        </w:rPr>
        <w:t>(2) "Phát hiện có thể không khái quát hoá cho các quần thể khác như mẫu lâm sàng, vị thành niên lớn hơn hoặc nhỏ hơn, hoặc vị thành niên sống ngoài vùng Mid-Atlantic Hoa Kỳ."</w:t>
      </w:r>
    </w:p>
    <w:p>
      <w:r>
        <w:rPr>
          <w:rFonts w:ascii="Times New Roman" w:hAnsi="Times New Roman"/>
          <w:b w:val="0"/>
          <w:i w:val="0"/>
          <w:sz w:val="24"/>
        </w:rPr>
        <w:t>(3) Thiết kế cắt ngang: "không thể đưa ra kết luận về quan hệ nhân quả"</w:t>
      </w:r>
    </w:p>
    <w:p>
      <w:r>
        <w:rPr>
          <w:rFonts w:ascii="Times New Roman" w:hAnsi="Times New Roman"/>
          <w:b w:val="0"/>
          <w:i w:val="0"/>
          <w:sz w:val="24"/>
        </w:rPr>
        <w:t>(4) Có thể có biến thứ ba (loại căng thẳng, mức căng thẳng) gây ảnh hưởng đến cả coping và triệu chứng.</w:t>
      </w:r>
    </w:p>
    <w:p>
      <w:r>
        <w:rPr>
          <w:rFonts w:ascii="Times New Roman" w:hAnsi="Times New Roman"/>
          <w:b/>
          <w:color w:val="0070C0"/>
          <w:sz w:val="30"/>
        </w:rPr>
        <w:t>PHẦN 2 — PHẢN BIỆN TỔNG QUAN</w:t>
      </w:r>
    </w:p>
    <w:p>
      <w:r>
        <w:rPr>
          <w:rFonts w:ascii="Times New Roman" w:hAnsi="Times New Roman"/>
          <w:b/>
          <w:color w:val="0070C0"/>
          <w:sz w:val="26"/>
        </w:rPr>
        <w:t>Điểm mạnh</w:t>
      </w:r>
    </w:p>
    <w:p>
      <w:r>
        <w:rPr>
          <w:rFonts w:ascii="Times New Roman" w:hAnsi="Times New Roman"/>
          <w:b w:val="0"/>
          <w:i w:val="0"/>
          <w:sz w:val="24"/>
        </w:rPr>
        <w:t>(1) CỠ MẪU LỚN — n=982 cho phép phân tích hồ sơ tiềm ẩn ổn định.</w:t>
      </w:r>
    </w:p>
    <w:p>
      <w:r>
        <w:rPr>
          <w:rFonts w:ascii="Times New Roman" w:hAnsi="Times New Roman"/>
          <w:b w:val="0"/>
          <w:i w:val="0"/>
          <w:sz w:val="24"/>
        </w:rPr>
        <w:t>(2) PHƯƠNG PHÁP LPA — tiếp cận tập trung vào cá nhân (person-centered) thay vì biến (variable-centered) — nắm bắt được sự đa dạng của các "phong cách" ứng phó khác nhau.</w:t>
      </w:r>
    </w:p>
    <w:p>
      <w:r>
        <w:rPr>
          <w:rFonts w:ascii="Times New Roman" w:hAnsi="Times New Roman"/>
          <w:b w:val="0"/>
          <w:i w:val="0"/>
          <w:sz w:val="24"/>
        </w:rPr>
        <w:t>(3) ĐO 9 thang con coping đa dạng — bao quát cả approach và avoidance.</w:t>
      </w:r>
    </w:p>
    <w:p>
      <w:r>
        <w:rPr>
          <w:rFonts w:ascii="Times New Roman" w:hAnsi="Times New Roman"/>
          <w:b w:val="0"/>
          <w:i w:val="0"/>
          <w:sz w:val="24"/>
        </w:rPr>
        <w:t>(4) THANG ĐO chuẩn hoá quốc tế (CES-DC, SCARED, COPE) — kết quả có thể so sánh với các nghiên cứu khác.</w:t>
      </w:r>
    </w:p>
    <w:p>
      <w:r>
        <w:rPr>
          <w:rFonts w:ascii="Times New Roman" w:hAnsi="Times New Roman"/>
          <w:b w:val="0"/>
          <w:i w:val="0"/>
          <w:sz w:val="24"/>
        </w:rPr>
        <w:t>(5) MẪU đa sắc tộc (66% Caucasian, 19% Phi, 11% Hispanic, 2% Á) — đại diện tốt hơn các nghiên cứu chỉ Caucasian.</w:t>
      </w:r>
    </w:p>
    <w:p>
      <w:r>
        <w:rPr>
          <w:rFonts w:ascii="Times New Roman" w:hAnsi="Times New Roman"/>
          <w:b/>
          <w:color w:val="0070C0"/>
          <w:sz w:val="26"/>
        </w:rPr>
        <w:t>Điểm yếu</w:t>
      </w:r>
    </w:p>
    <w:p>
      <w:pPr>
        <w:ind w:left="283"/>
      </w:pPr>
      <w:r>
        <w:rPr>
          <w:rFonts w:ascii="Times New Roman" w:hAnsi="Times New Roman"/>
          <w:b/>
          <w:color w:val="C00000"/>
          <w:sz w:val="24"/>
        </w:rPr>
        <w:t xml:space="preserve">[Phản biện] </w:t>
      </w:r>
      <w:r>
        <w:rPr>
          <w:rFonts w:ascii="Times New Roman" w:hAnsi="Times New Roman"/>
          <w:color w:val="C00000"/>
          <w:sz w:val="24"/>
        </w:rPr>
        <w:t>(1) THIẾT KẾ CẮT NGANG — không thể kết luận nhân quả. Có thể: (a) coping ảnh hưởng đến lo âu (giả thuyết của tác giả); (b) lo âu thúc đẩy người ta dùng nhiều cách ứng phó (reverse causation); (c) cả hai cùng ảnh hưởng lẫn nhau (bidirectional).</w:t>
      </w:r>
    </w:p>
    <w:p>
      <w:pPr>
        <w:ind w:left="283"/>
      </w:pPr>
      <w:r>
        <w:rPr>
          <w:rFonts w:ascii="Times New Roman" w:hAnsi="Times New Roman"/>
          <w:b/>
          <w:color w:val="C00000"/>
          <w:sz w:val="24"/>
        </w:rPr>
        <w:t xml:space="preserve">[Phản biện] </w:t>
      </w:r>
      <w:r>
        <w:rPr>
          <w:rFonts w:ascii="Times New Roman" w:hAnsi="Times New Roman"/>
          <w:color w:val="C00000"/>
          <w:sz w:val="24"/>
        </w:rPr>
        <w:t>(2) CHỈ TỰ BÁO CÁO — không có đánh giá lâm sàng độc lập về lo âu / trầm cảm.</w:t>
      </w:r>
    </w:p>
    <w:p>
      <w:pPr>
        <w:ind w:left="283"/>
      </w:pPr>
      <w:r>
        <w:rPr>
          <w:rFonts w:ascii="Times New Roman" w:hAnsi="Times New Roman"/>
          <w:b/>
          <w:color w:val="C00000"/>
          <w:sz w:val="24"/>
        </w:rPr>
        <w:t xml:space="preserve">[Phản biện] </w:t>
      </w:r>
      <w:r>
        <w:rPr>
          <w:rFonts w:ascii="Times New Roman" w:hAnsi="Times New Roman"/>
          <w:color w:val="C00000"/>
          <w:sz w:val="24"/>
        </w:rPr>
        <w:t>(3) Mẫu MID-ATLANTIC US (Delaware, Pennsylvania, Maryland) — không có vùng nghèo + nông thôn sâu của Mỹ; không generalisable cho các quốc gia khác.</w:t>
      </w:r>
    </w:p>
    <w:p>
      <w:pPr>
        <w:ind w:left="283"/>
      </w:pPr>
      <w:r>
        <w:rPr>
          <w:rFonts w:ascii="Times New Roman" w:hAnsi="Times New Roman"/>
          <w:b/>
          <w:color w:val="C00000"/>
          <w:sz w:val="24"/>
        </w:rPr>
        <w:t xml:space="preserve">[Phản biện] </w:t>
      </w:r>
      <w:r>
        <w:rPr>
          <w:rFonts w:ascii="Times New Roman" w:hAnsi="Times New Roman"/>
          <w:color w:val="C00000"/>
          <w:sz w:val="24"/>
        </w:rPr>
        <w:t>(4) BỘ COPE 60 MỤC quá DÀI — có thể gây mệt mỏi và giảm chất lượng dữ liệu ở học sinh THPT.</w:t>
      </w:r>
    </w:p>
    <w:p>
      <w:pPr>
        <w:ind w:left="283"/>
      </w:pPr>
      <w:r>
        <w:rPr>
          <w:rFonts w:ascii="Times New Roman" w:hAnsi="Times New Roman"/>
          <w:b/>
          <w:color w:val="C00000"/>
          <w:sz w:val="24"/>
        </w:rPr>
        <w:t xml:space="preserve">[Phản biện] </w:t>
      </w:r>
      <w:r>
        <w:rPr>
          <w:rFonts w:ascii="Times New Roman" w:hAnsi="Times New Roman"/>
          <w:color w:val="C00000"/>
          <w:sz w:val="24"/>
        </w:rPr>
        <w:t>(5) KHÔNG ĐO MỨC ĐỘ CĂNG THẲNG mà học sinh đang đối mặt — biến này có thể là yếu tố gây nhiễu (confounder) chính. Có thể "Active Copers" có lo âu cao chỉ vì họ đang đối mặt nhiều stressor hơn.</w:t>
      </w:r>
    </w:p>
    <w:p>
      <w:r>
        <w:rPr>
          <w:rFonts w:ascii="Times New Roman" w:hAnsi="Times New Roman"/>
          <w:b/>
          <w:color w:val="0070C0"/>
          <w:sz w:val="26"/>
        </w:rPr>
        <w:t>Áp dụng cho Việt Nam</w:t>
      </w:r>
    </w:p>
    <w:p>
      <w:r>
        <w:rPr>
          <w:rFonts w:ascii="Times New Roman" w:hAnsi="Times New Roman"/>
          <w:b w:val="0"/>
          <w:i w:val="0"/>
          <w:sz w:val="24"/>
        </w:rPr>
        <w:t>(1) PHƯƠNG PHÁP LPA có thể áp dụng cho dữ liệu Việt Nam — đặc biệt phù hợp với mẫu lớn của V-NAMHS hoặc khảo sát quốc gia trong tương lai.</w:t>
      </w:r>
    </w:p>
    <w:p>
      <w:r>
        <w:rPr>
          <w:rFonts w:ascii="Times New Roman" w:hAnsi="Times New Roman"/>
          <w:b w:val="0"/>
          <w:i w:val="0"/>
          <w:sz w:val="24"/>
        </w:rPr>
        <w:t>(2) THANG ĐO COPE 60 mục cần dịch + kiểm định cho Việt Nam — chưa có phiên bản chuẩn hoá.</w:t>
      </w:r>
    </w:p>
    <w:p>
      <w:r>
        <w:rPr>
          <w:rFonts w:ascii="Times New Roman" w:hAnsi="Times New Roman"/>
          <w:b w:val="0"/>
          <w:i w:val="0"/>
          <w:sz w:val="24"/>
        </w:rPr>
        <w:t>(3) THANG ĐO SCARED đã có một số bản dịch tiếng Việt nhưng chưa kiểm định chính thức cho Việt Nam.</w:t>
      </w:r>
    </w:p>
    <w:p>
      <w:r>
        <w:rPr>
          <w:rFonts w:ascii="Times New Roman" w:hAnsi="Times New Roman"/>
          <w:b w:val="0"/>
          <w:i w:val="0"/>
          <w:sz w:val="24"/>
        </w:rPr>
        <w:t>(4) PHÁT HIỆN nhóm "Độc lập" có sức khỏe tâm thần tốt nhất phù hợp giá trị TỰ LẬP trong văn hoá Á Đông — có thể là điểm khởi đầu để xây dựng lý thuyết coping bản địa hoá Việt Nam.</w:t>
      </w:r>
    </w:p>
    <w:p>
      <w:r>
        <w:rPr>
          <w:rFonts w:ascii="Times New Roman" w:hAnsi="Times New Roman"/>
          <w:b w:val="0"/>
          <w:i w:val="0"/>
          <w:sz w:val="24"/>
        </w:rPr>
        <w:t>(5) CẢNH BÁO: nhóm "Tìm hỗ trợ xã hội" có lo âu cao — không có nghĩa nên CẢN người ta tìm hỗ trợ. Có thể họ tìm hỗ trợ vì đang căng thẳng nhiều. Trong văn hoá Á Đông coi trọng gia đình, kết quả này có thể KHÁC ở Việt Nam.</w:t>
      </w:r>
    </w:p>
    <w:p>
      <w:r>
        <w:rPr>
          <w:rFonts w:ascii="Times New Roman" w:hAnsi="Times New Roman"/>
          <w:b/>
          <w:color w:val="0070C0"/>
          <w:sz w:val="26"/>
        </w:rPr>
        <w:t>Đối chiếu với corpus dự án</w:t>
      </w:r>
    </w:p>
    <w:tbl>
      <w:tblPr>
        <w:tblStyle w:val="TableGrid"/>
        <w:tblW w:type="auto" w:w="0"/>
        <w:jc w:val="center"/>
        <w:tblLook w:firstColumn="1" w:firstRow="1" w:lastColumn="0" w:lastRow="0" w:noHBand="0" w:noVBand="1" w:val="04A0"/>
      </w:tblPr>
      <w:tblGrid>
        <w:gridCol w:w="4844"/>
        <w:gridCol w:w="4844"/>
      </w:tblGrid>
      <w:tr>
        <w:tc>
          <w:tcPr>
            <w:tcW w:type="dxa" w:w="4844"/>
            <w:tcW w:w="1984" w:type="dxa"/>
            <w:shd w:fill="D9E2F3" w:val="clear"/>
          </w:tcPr>
          <w:p>
            <w:pPr>
              <w:jc w:val="center"/>
            </w:pPr>
            <w:r>
              <w:rPr>
                <w:rFonts w:ascii="Times New Roman" w:hAnsi="Times New Roman"/>
                <w:b/>
                <w:sz w:val="20"/>
              </w:rPr>
              <w:t>Bài/RAG</w:t>
            </w:r>
          </w:p>
        </w:tc>
        <w:tc>
          <w:tcPr>
            <w:tcW w:type="dxa" w:w="4844"/>
            <w:tcW w:w="7087" w:type="dxa"/>
            <w:shd w:fill="D9E2F3" w:val="clear"/>
          </w:tcPr>
          <w:p>
            <w:pPr>
              <w:jc w:val="center"/>
            </w:pPr>
            <w:r>
              <w:rPr>
                <w:rFonts w:ascii="Times New Roman" w:hAnsi="Times New Roman"/>
                <w:b/>
                <w:sz w:val="20"/>
              </w:rPr>
              <w:t>Liên hệ với Herres 2015</w:t>
            </w:r>
          </w:p>
        </w:tc>
      </w:tr>
      <w:tr>
        <w:tc>
          <w:tcPr>
            <w:tcW w:type="dxa" w:w="4844"/>
            <w:tcW w:w="1984" w:type="dxa"/>
          </w:tcPr>
          <w:p>
            <w:r>
              <w:rPr>
                <w:rFonts w:ascii="Times New Roman" w:hAnsi="Times New Roman"/>
                <w:sz w:val="18"/>
              </w:rPr>
              <w:t>Wen 2020 (QT08)</w:t>
            </w:r>
          </w:p>
        </w:tc>
        <w:tc>
          <w:tcPr>
            <w:tcW w:type="dxa" w:w="4844"/>
            <w:tcW w:w="7087" w:type="dxa"/>
          </w:tcPr>
          <w:p>
            <w:r>
              <w:rPr>
                <w:rFonts w:ascii="Times New Roman" w:hAnsi="Times New Roman"/>
                <w:sz w:val="18"/>
              </w:rPr>
              <w:t>Cùng dùng phương pháp LPA — Wen ở Trung Quốc nông thôn 900 HS xác định 3 hồ sơ lo âu (nhẹ/trung bình/nặng); Herres ở Mỹ 982 HS xác định 4 hồ sơ COPING. Hai cách phân loại khác nhau (theo outcome vs theo cách ứng phó) nhưng cùng triết lý person-centered.</w:t>
            </w:r>
          </w:p>
        </w:tc>
      </w:tr>
      <w:tr>
        <w:tc>
          <w:tcPr>
            <w:tcW w:type="dxa" w:w="4844"/>
            <w:tcW w:w="1984" w:type="dxa"/>
          </w:tcPr>
          <w:p>
            <w:r>
              <w:rPr>
                <w:rFonts w:ascii="Times New Roman" w:hAnsi="Times New Roman"/>
                <w:sz w:val="18"/>
              </w:rPr>
              <w:t>BESST trial Brown 2024</w:t>
            </w:r>
          </w:p>
        </w:tc>
        <w:tc>
          <w:tcPr>
            <w:tcW w:type="dxa" w:w="4844"/>
            <w:tcW w:w="7087" w:type="dxa"/>
          </w:tcPr>
          <w:p>
            <w:r>
              <w:rPr>
                <w:rFonts w:ascii="Times New Roman" w:hAnsi="Times New Roman"/>
                <w:sz w:val="18"/>
              </w:rPr>
              <w:t>BESST đo 80% học sinh chưa từng tham vấn GP; nhưng KHÔNG đo họ đang dùng cách ứng phó tự phát nào. Herres lấp khoảng trống này — cho biết HS dùng gì trước khi đến với chương trình can thiệp.</w:t>
            </w:r>
          </w:p>
        </w:tc>
      </w:tr>
      <w:tr>
        <w:tc>
          <w:tcPr>
            <w:tcW w:type="dxa" w:w="4844"/>
            <w:tcW w:w="1984" w:type="dxa"/>
          </w:tcPr>
          <w:p>
            <w:r>
              <w:rPr>
                <w:rFonts w:ascii="Times New Roman" w:hAnsi="Times New Roman"/>
                <w:sz w:val="18"/>
              </w:rPr>
              <w:t>PLACES Brown 2022</w:t>
            </w:r>
          </w:p>
        </w:tc>
        <w:tc>
          <w:tcPr>
            <w:tcW w:type="dxa" w:w="4844"/>
            <w:tcW w:w="7087" w:type="dxa"/>
          </w:tcPr>
          <w:p>
            <w:r>
              <w:rPr>
                <w:rFonts w:ascii="Times New Roman" w:hAnsi="Times New Roman"/>
                <w:sz w:val="18"/>
              </w:rPr>
              <w:t>PLACES đề xuất các yếu tố giúp HS engage với dịch vụ; Herres cho thấy một số HS "Độc lập" có thể KHÔNG cần engage với dịch vụ — họ tự xử lý tốt. Bổ sung góc nhìn cho PLACES.</w:t>
            </w:r>
          </w:p>
        </w:tc>
      </w:tr>
    </w:tbl>
    <w:p>
      <w:r>
        <w:rPr>
          <w:rFonts w:ascii="Times New Roman" w:hAnsi="Times New Roman"/>
          <w:b/>
          <w:color w:val="0070C0"/>
          <w:sz w:val="30"/>
        </w:rPr>
        <w:t>PHẦN 3 — THAM KHẢO ĐẦY ĐỦ</w:t>
      </w:r>
    </w:p>
    <w:p>
      <w:r>
        <w:rPr>
          <w:rFonts w:ascii="Times New Roman" w:hAnsi="Times New Roman"/>
          <w:b w:val="0"/>
          <w:i w:val="0"/>
          <w:sz w:val="22"/>
        </w:rPr>
        <w:t>1. Herres J, Ohannessian CM (2015). Adolescent coping profiles differentiate reports of depression and anxiety symptoms. Journal of Affective Disorders, 186:312–319. DOI: 10.1016/j.jad.2015.07.031 — PMID 26275359 — PMC4565746</w:t>
      </w:r>
    </w:p>
    <w:p>
      <w:r>
        <w:rPr>
          <w:rFonts w:ascii="Times New Roman" w:hAnsi="Times New Roman"/>
          <w:b w:val="0"/>
          <w:i w:val="0"/>
          <w:sz w:val="22"/>
        </w:rPr>
        <w:t>2. Carver CS, Scheier MF, Weintraub JK (1989). Assessing coping strategies: A theoretically based approach. Journal of Personality and Social Psychology, 56(2):267–283. DOI: 10.1037/0022-3514.56.2.267 (bộ COPE 60 mục)</w:t>
      </w:r>
    </w:p>
    <w:p>
      <w:r>
        <w:rPr>
          <w:rFonts w:ascii="Times New Roman" w:hAnsi="Times New Roman"/>
          <w:b w:val="0"/>
          <w:i w:val="0"/>
          <w:sz w:val="22"/>
        </w:rPr>
        <w:t>3. Faulstich ME, Carey MP, Ruggiero L, Enyart P, Gresham F (1986). Assessment of depression in childhood and adolescence: An evaluation of the Center for Epidemiological Studies Depression Scale for Children (CES-DC). American Journal of Psychiatry, 143(8):1024–1027. (CES-DC)</w:t>
      </w:r>
    </w:p>
    <w:p>
      <w:r>
        <w:rPr>
          <w:rFonts w:ascii="Times New Roman" w:hAnsi="Times New Roman"/>
          <w:b w:val="0"/>
          <w:i w:val="0"/>
          <w:sz w:val="22"/>
        </w:rPr>
        <w:t>4. Birmaher B, Khetarpal S, Brent D và cộng sự (1997). The Screen for Child Anxiety Related Emotional Disorders (SCARED): Scale construction and psychometric characteristics. Journal of the American Academy of Child &amp; Adolescent Psychiatry, 36(4):545–553. DOI: 10.1097/00004583-199704000-00018</w:t>
      </w:r>
    </w:p>
    <w:p>
      <w:r>
        <w:rPr>
          <w:rFonts w:ascii="Times New Roman" w:hAnsi="Times New Roman"/>
          <w:b w:val="0"/>
          <w:i w:val="0"/>
          <w:sz w:val="22"/>
        </w:rPr>
        <w:t>5. Wen X, Lin Y, Liu Y và cộng sự (2020). LPA của lo âu HS THCS nông thôn Trung Quốc. IJERPH, 17(11):4079 — corpus dự án QT08</w:t>
      </w:r>
    </w:p>
    <w:p>
      <w:r>
        <w:rPr>
          <w:rFonts w:ascii="Times New Roman" w:hAnsi="Times New Roman"/>
          <w:b w:val="0"/>
          <w:i/>
          <w:color w:val="555555"/>
          <w:sz w:val="20"/>
        </w:rPr>
        <w:t>Truy vết: Em đã tải nguyên văn từ PMC4565746; số liệu 4 hồ sơ + N + tuổi + Cronbach alpha + phương pháp đều khớp với nguyên văn.</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36"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dc:identifier/>
  <cp:version/>
</cp:coreProperties>
</file>