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color w:val="0000FF"/>
          <w:sz w:val="20"/>
        </w:rPr>
        <w:t>Link bài báo gốc: https://doi.org/10.4103/ijcm.ijcm_1103_22</w:t>
      </w:r>
    </w:p>
    <w:p/>
    <w:p>
      <w:pPr>
        <w:pStyle w:val="Heading1"/>
      </w:pPr>
      <w:r>
        <w:rPr>
          <w:rFonts w:ascii="Times New Roman" w:hAnsi="Times New Roman"/>
          <w:color w:val="000000"/>
        </w:rPr>
        <w:t>Các bệnh lý sức khỏe tâm thần và các yếu tố liên quan ở thanh thiếu niên tại Kamrup (Metro), Assam: Một nghiên cứu tại trường học</w:t>
      </w:r>
    </w:p>
    <w:p>
      <w:pPr>
        <w:pStyle w:val="Heading2"/>
      </w:pPr>
      <w:r>
        <w:rPr>
          <w:rFonts w:ascii="Times New Roman" w:hAnsi="Times New Roman"/>
          <w:color w:val="000000"/>
        </w:rPr>
        <w:t>Mental Health Morbidities and their Correlates among the Adolescents in Kamrup (Metro), Assam: A School-Based Study</w:t>
      </w:r>
    </w:p>
    <w:p>
      <w:pPr>
        <w:pStyle w:val="Heading2"/>
      </w:pPr>
      <w:r>
        <w:rPr>
          <w:rFonts w:ascii="Times New Roman" w:hAnsi="Times New Roman"/>
          <w:color w:val="000000"/>
        </w:rPr>
        <w:t>THÔNG TIN THƯ MỤC</w:t>
      </w:r>
    </w:p>
    <w:tbl>
      <w:tblPr>
        <w:tblStyle w:val="TableGrid"/>
        <w:tblW w:type="auto" w:w="0"/>
        <w:jc w:val="center"/>
        <w:tblLook w:firstColumn="1" w:firstRow="1" w:lastColumn="0" w:lastRow="0" w:noHBand="0" w:noVBand="1" w:val="04A0"/>
      </w:tblPr>
      <w:tblGrid>
        <w:gridCol w:w="4702"/>
        <w:gridCol w:w="4702"/>
      </w:tblGrid>
      <w:tr>
        <w:tc>
          <w:tcPr>
            <w:tcW w:type="dxa" w:w="4702"/>
            <w:tcW w:w="1984" w:type="dxa"/>
            <w:shd w:fill="D9E2F3" w:val="clear"/>
          </w:tcPr>
          <w:p>
            <w:r>
              <w:rPr>
                <w:rFonts w:ascii="Times New Roman" w:hAnsi="Times New Roman"/>
                <w:b/>
                <w:sz w:val="20"/>
              </w:rPr>
              <w:t>Tiêu đề gốc</w:t>
            </w:r>
          </w:p>
        </w:tc>
        <w:tc>
          <w:tcPr>
            <w:tcW w:type="dxa" w:w="4702"/>
            <w:tcW w:w="7087" w:type="dxa"/>
          </w:tcPr>
          <w:p>
            <w:r>
              <w:rPr>
                <w:rFonts w:ascii="Times New Roman" w:hAnsi="Times New Roman"/>
                <w:sz w:val="20"/>
              </w:rPr>
              <w:t>Mental Health Morbidities and their Correlates among the Adolescents in Kamrup (Metro), Assam: A School-Based Study</w:t>
            </w:r>
          </w:p>
        </w:tc>
      </w:tr>
      <w:tr>
        <w:tc>
          <w:tcPr>
            <w:tcW w:type="dxa" w:w="4702"/>
            <w:tcW w:w="1984" w:type="dxa"/>
            <w:shd w:fill="D9E2F3" w:val="clear"/>
          </w:tcPr>
          <w:p>
            <w:r>
              <w:rPr>
                <w:rFonts w:ascii="Times New Roman" w:hAnsi="Times New Roman"/>
                <w:b/>
                <w:sz w:val="20"/>
              </w:rPr>
              <w:t>Tiêu đề dịch</w:t>
            </w:r>
          </w:p>
        </w:tc>
        <w:tc>
          <w:tcPr>
            <w:tcW w:type="dxa" w:w="4702"/>
            <w:tcW w:w="7087" w:type="dxa"/>
          </w:tcPr>
          <w:p>
            <w:r>
              <w:rPr>
                <w:rFonts w:ascii="Times New Roman" w:hAnsi="Times New Roman"/>
                <w:sz w:val="20"/>
              </w:rPr>
              <w:t>Các bệnh lý sức khỏe tâm thần và các yếu tố liên quan ở thanh thiếu niên tại Kamrup (Metro), Assam: Một nghiên cứu tại trường học</w:t>
            </w:r>
          </w:p>
        </w:tc>
      </w:tr>
      <w:tr>
        <w:tc>
          <w:tcPr>
            <w:tcW w:type="dxa" w:w="4702"/>
            <w:tcW w:w="1984" w:type="dxa"/>
            <w:shd w:fill="D9E2F3" w:val="clear"/>
          </w:tcPr>
          <w:p>
            <w:r>
              <w:rPr>
                <w:rFonts w:ascii="Times New Roman" w:hAnsi="Times New Roman"/>
                <w:b/>
                <w:sz w:val="20"/>
              </w:rPr>
              <w:t>Tác giả</w:t>
            </w:r>
          </w:p>
        </w:tc>
        <w:tc>
          <w:tcPr>
            <w:tcW w:type="dxa" w:w="4702"/>
            <w:tcW w:w="7087" w:type="dxa"/>
          </w:tcPr>
          <w:p>
            <w:r>
              <w:rPr>
                <w:rFonts w:ascii="Times New Roman" w:hAnsi="Times New Roman"/>
                <w:sz w:val="20"/>
              </w:rPr>
              <w:t>Anku M. Saikia, Hemen Das, Vinoth Rajendran</w:t>
            </w:r>
          </w:p>
        </w:tc>
      </w:tr>
      <w:tr>
        <w:tc>
          <w:tcPr>
            <w:tcW w:type="dxa" w:w="4702"/>
            <w:tcW w:w="1984" w:type="dxa"/>
            <w:shd w:fill="D9E2F3" w:val="clear"/>
          </w:tcPr>
          <w:p>
            <w:r>
              <w:rPr>
                <w:rFonts w:ascii="Times New Roman" w:hAnsi="Times New Roman"/>
                <w:b/>
                <w:sz w:val="20"/>
              </w:rPr>
              <w:t>Cơ quan</w:t>
            </w:r>
          </w:p>
        </w:tc>
        <w:tc>
          <w:tcPr>
            <w:tcW w:type="dxa" w:w="4702"/>
            <w:tcW w:w="7087" w:type="dxa"/>
          </w:tcPr>
          <w:p>
            <w:r>
              <w:rPr>
                <w:rFonts w:ascii="Times New Roman" w:hAnsi="Times New Roman"/>
                <w:sz w:val="20"/>
              </w:rPr>
              <w:t>Khoa Y học Cộng đồng, Trường Y khoa và Bệnh viện Gauhati, Guwahati, Assam, Ấn Độ</w:t>
            </w:r>
          </w:p>
        </w:tc>
      </w:tr>
      <w:tr>
        <w:tc>
          <w:tcPr>
            <w:tcW w:type="dxa" w:w="4702"/>
            <w:tcW w:w="1984" w:type="dxa"/>
            <w:shd w:fill="D9E2F3" w:val="clear"/>
          </w:tcPr>
          <w:p>
            <w:r>
              <w:rPr>
                <w:rFonts w:ascii="Times New Roman" w:hAnsi="Times New Roman"/>
                <w:b/>
                <w:sz w:val="20"/>
              </w:rPr>
              <w:t>Tạp chí</w:t>
            </w:r>
          </w:p>
        </w:tc>
        <w:tc>
          <w:tcPr>
            <w:tcW w:type="dxa" w:w="4702"/>
            <w:tcW w:w="7087" w:type="dxa"/>
          </w:tcPr>
          <w:p>
            <w:r>
              <w:rPr>
                <w:rFonts w:ascii="Times New Roman" w:hAnsi="Times New Roman"/>
                <w:sz w:val="20"/>
              </w:rPr>
              <w:t>Indian Journal of Community Medicine, 2023, Vol. 48(5), 733–738</w:t>
            </w:r>
          </w:p>
        </w:tc>
      </w:tr>
      <w:tr>
        <w:tc>
          <w:tcPr>
            <w:tcW w:type="dxa" w:w="4702"/>
            <w:tcW w:w="1984" w:type="dxa"/>
            <w:shd w:fill="D9E2F3" w:val="clear"/>
          </w:tcPr>
          <w:p>
            <w:r>
              <w:rPr>
                <w:rFonts w:ascii="Times New Roman" w:hAnsi="Times New Roman"/>
                <w:b/>
                <w:sz w:val="20"/>
              </w:rPr>
              <w:t>DOI</w:t>
            </w:r>
          </w:p>
        </w:tc>
        <w:tc>
          <w:tcPr>
            <w:tcW w:type="dxa" w:w="4702"/>
            <w:tcW w:w="7087" w:type="dxa"/>
          </w:tcPr>
          <w:p>
            <w:r>
              <w:rPr>
                <w:rFonts w:ascii="Times New Roman" w:hAnsi="Times New Roman"/>
                <w:sz w:val="20"/>
              </w:rPr>
              <w:t>10.4103/ijcm.ijcm_1103_22</w:t>
            </w:r>
          </w:p>
        </w:tc>
      </w:tr>
      <w:tr>
        <w:tc>
          <w:tcPr>
            <w:tcW w:type="dxa" w:w="4702"/>
            <w:tcW w:w="1984" w:type="dxa"/>
            <w:shd w:fill="D9E2F3" w:val="clear"/>
          </w:tcPr>
          <w:p>
            <w:r>
              <w:rPr>
                <w:rFonts w:ascii="Times New Roman" w:hAnsi="Times New Roman"/>
                <w:b/>
                <w:sz w:val="20"/>
              </w:rPr>
              <w:t>PMID</w:t>
            </w:r>
          </w:p>
        </w:tc>
        <w:tc>
          <w:tcPr>
            <w:tcW w:type="dxa" w:w="4702"/>
            <w:tcW w:w="7087" w:type="dxa"/>
          </w:tcPr>
          <w:p>
            <w:r>
              <w:rPr>
                <w:rFonts w:ascii="Times New Roman" w:hAnsi="Times New Roman"/>
                <w:sz w:val="20"/>
              </w:rPr>
              <w:t>37970140</w:t>
            </w:r>
          </w:p>
        </w:tc>
      </w:tr>
    </w:tbl>
    <w:p>
      <w:r>
        <w:rPr>
          <w:rFonts w:ascii="Times New Roman" w:hAnsi="Times New Roman"/>
          <w:i/>
          <w:color w:val="808080"/>
          <w:sz w:val="18"/>
        </w:rPr>
        <w:t>--- Trang 733, Indian J Community Med, Vol. 48(5), 2023 ---</w:t>
      </w:r>
    </w:p>
    <w:p>
      <w:pPr>
        <w:pStyle w:val="Heading2"/>
      </w:pPr>
      <w:r>
        <w:rPr>
          <w:rFonts w:ascii="Times New Roman" w:hAnsi="Times New Roman"/>
          <w:color w:val="000000"/>
        </w:rPr>
        <w:t>TÓM TẮT</w:t>
      </w:r>
    </w:p>
    <w:p>
      <w:r>
        <w:rPr>
          <w:rFonts w:ascii="Times New Roman" w:hAnsi="Times New Roman"/>
          <w:b w:val="0"/>
          <w:i w:val="0"/>
          <w:sz w:val="24"/>
        </w:rPr>
        <w:t>Bối cảnh: Thanh thiếu niên trải qua nhiều thay đổi về phát triển, cảm xúc, tâm lý và xã hội. Ở Ấn Độ, nhóm tuổi 10–19 chiếm khoảng 21,4% dân số. Dữ liệu về sức khỏe tâm thần thanh thiếu niên tại vùng Đông Bắc Ấn Độ còn rất hạn chế.</w:t>
      </w:r>
    </w:p>
    <w:p>
      <w:r>
        <w:rPr>
          <w:rFonts w:ascii="Times New Roman" w:hAnsi="Times New Roman"/>
          <w:b w:val="0"/>
          <w:i w:val="0"/>
          <w:sz w:val="24"/>
        </w:rPr>
        <w:t>Mục tiêu: Xác định tỷ lệ hiện mắc của trầm cảm, lo âu và căng thẳng cùng các yếu tố liên quan ở thanh thiếu niên tại quận Kamrup (Metro), Assam.</w:t>
      </w:r>
    </w:p>
    <w:p>
      <w:r>
        <w:rPr>
          <w:rFonts w:ascii="Times New Roman" w:hAnsi="Times New Roman"/>
          <w:b w:val="0"/>
          <w:color w:val="FF0000"/>
          <w:sz w:val="24"/>
        </w:rPr>
        <w:t>Phương pháp: Nghiên cứu cắt ngang tại trường học được thực hiện từ tháng 4/2019 đến tháng 6/2020 trên 360 thanh thiếu niên 14–17 tuổi. Từ 120 trường trung học công lập, 10 trường được chọn ngẫu nhiên đơn giản, mỗi trường chọn 36 học sinh (12/lớp 8, 9, 10), đảm bảo nam nữ bằng nhau. Công cụ: DASS-21 phiên bản tiếng Assam + thang đo Kuppuswamy sửa đổi.</w:t>
      </w:r>
    </w:p>
    <w:p>
      <w:r>
        <w:rPr>
          <w:rFonts w:ascii="Times New Roman" w:hAnsi="Times New Roman"/>
          <w:b w:val="0"/>
          <w:color w:val="FF0000"/>
          <w:sz w:val="24"/>
        </w:rPr>
        <w:t>Kết quả: Tỷ lệ trầm cảm 22,2% (80/360), lo âu 24,4% (88/360), căng thẳng 6,9% (25/360). NAM có tỷ lệ lo âu CAO HƠN NỮ (30,0% so với 18,9%, P = 0,049) — TRÁI NGƯỢC y văn quốc tế. Cha mẹ đơn thân, sử dụng rượu của cha mẹ, chơi trò chơi điện tử, lưu ban có liên quan có ý nghĩa (P &lt; 0,05).</w:t>
      </w:r>
    </w:p>
    <w:p>
      <w:r>
        <w:rPr>
          <w:rFonts w:ascii="Times New Roman" w:hAnsi="Times New Roman"/>
          <w:b w:val="0"/>
          <w:i w:val="0"/>
          <w:sz w:val="24"/>
        </w:rPr>
        <w:t>Kết luận: Sức khỏe tâm thần thanh thiếu niên tại Đông Bắc Ấn Độ cần được chú ý. Phát hiện nam &gt; nữ về lo âu gợi ý yếu tố văn hóa bộ lạc đặc thù khu vực có thể đảo ngược xu hướng giới tính thông thường.</w:t>
      </w:r>
    </w:p>
    <w:p>
      <w:pPr>
        <w:pStyle w:val="Heading2"/>
      </w:pPr>
      <w:r>
        <w:rPr>
          <w:rFonts w:ascii="Times New Roman" w:hAnsi="Times New Roman"/>
          <w:color w:val="000000"/>
        </w:rPr>
        <w:t>TÓM TẮT ĐÁNH GIÁ NHANH</w:t>
      </w:r>
    </w:p>
    <w:p>
      <w:r>
        <w:rPr>
          <w:rFonts w:ascii="Times New Roman" w:hAnsi="Times New Roman"/>
          <w:b/>
          <w:i w:val="0"/>
          <w:sz w:val="24"/>
        </w:rPr>
        <w:t>Điểm nổi bật:</w:t>
      </w:r>
    </w:p>
    <w:p>
      <w:r>
        <w:rPr>
          <w:rFonts w:ascii="Times New Roman" w:hAnsi="Times New Roman"/>
          <w:b w:val="0"/>
          <w:i w:val="0"/>
          <w:sz w:val="24"/>
        </w:rPr>
        <w:t>• Nghiên cứu tiên phong tại vùng Đông Bắc Ấn Độ — khu vực có đặc điểm văn hóa bộ lạc khác biệt, hầu như chưa được khảo sát về SKTT thanh thiếu niên.</w:t>
      </w:r>
    </w:p>
    <w:p>
      <w:r>
        <w:rPr>
          <w:rFonts w:ascii="Times New Roman" w:hAnsi="Times New Roman"/>
          <w:b w:val="0"/>
          <w:i w:val="0"/>
          <w:sz w:val="24"/>
        </w:rPr>
        <w:t>• Phát hiện nam &gt; nữ về lo âu (30,0% vs 18,9%) — trái ngược hoàn toàn với y văn quốc tế, chỉ phù hợp với 2 nghiên cứu khác (Wen 2020, Xu 2021).</w:t>
      </w:r>
    </w:p>
    <w:p>
      <w:r>
        <w:rPr>
          <w:rFonts w:ascii="Times New Roman" w:hAnsi="Times New Roman"/>
          <w:b w:val="0"/>
          <w:i w:val="0"/>
          <w:sz w:val="24"/>
        </w:rPr>
        <w:t>• Thiết kế lấy mẫu ngẫu nhiên tốt từ 10/120 trường, đảm bảo nam nữ bằng nhau.</w:t>
      </w:r>
    </w:p>
    <w:p>
      <w:r>
        <w:rPr>
          <w:rFonts w:ascii="Times New Roman" w:hAnsi="Times New Roman"/>
          <w:b/>
          <w:i w:val="0"/>
          <w:sz w:val="24"/>
        </w:rPr>
        <w:t>Hạn chế:</w:t>
      </w:r>
    </w:p>
    <w:p>
      <w:r>
        <w:rPr>
          <w:rFonts w:ascii="Times New Roman" w:hAnsi="Times New Roman"/>
          <w:b w:val="0"/>
          <w:i w:val="0"/>
          <w:sz w:val="24"/>
        </w:rPr>
        <w:t>• Chỉ sử dụng chi-square (đơn biến), không có hồi quy logistic đa biến — không thể đánh giá ảnh hưởng độc lập.</w:t>
      </w:r>
    </w:p>
    <w:p>
      <w:r>
        <w:rPr>
          <w:rFonts w:ascii="Times New Roman" w:hAnsi="Times New Roman"/>
          <w:b w:val="0"/>
          <w:i w:val="0"/>
          <w:sz w:val="24"/>
        </w:rPr>
        <w:t>• DASS-21 tiếng Assam thiếu báo cáo Cronbach alpha — không rõ độ tin cậy phiên bản dịch.</w:t>
      </w:r>
    </w:p>
    <w:p>
      <w:r>
        <w:rPr>
          <w:rFonts w:ascii="Times New Roman" w:hAnsi="Times New Roman"/>
          <w:b w:val="0"/>
          <w:i w:val="0"/>
          <w:sz w:val="24"/>
        </w:rPr>
        <w:t>• Thu thập 4/2019–6/2020 trùng COVID-19 nhưng không kiểm soát hiệu ứng đại dịch.</w:t>
      </w:r>
    </w:p>
    <w:p>
      <w:r>
        <w:rPr>
          <w:rFonts w:ascii="Times New Roman" w:hAnsi="Times New Roman"/>
          <w:b w:val="0"/>
          <w:i w:val="0"/>
          <w:sz w:val="24"/>
        </w:rPr>
        <w:t>• Tác giả không giải thích sâu cơ chế văn hóa cụ thể khiến nam &gt; nữ.</w:t>
      </w:r>
    </w:p>
    <w:p>
      <w:r>
        <w:rPr>
          <w:rFonts w:ascii="Times New Roman" w:hAnsi="Times New Roman"/>
          <w:b/>
          <w:i w:val="0"/>
          <w:sz w:val="24"/>
        </w:rPr>
        <w:t>Hướng cải thiện:</w:t>
      </w:r>
    </w:p>
    <w:p>
      <w:r>
        <w:rPr>
          <w:rFonts w:ascii="Times New Roman" w:hAnsi="Times New Roman"/>
          <w:b w:val="0"/>
          <w:i w:val="0"/>
          <w:sz w:val="24"/>
        </w:rPr>
        <w:t>• Mở rộng cỡ mẫu với hồi quy đa biến. Khảo sát sâu yếu tố văn hóa bộ lạc. Xác thực DASS-21 tiếng Assam.</w:t>
      </w:r>
    </w:p>
    <w:p>
      <w:pPr>
        <w:pStyle w:val="Heading2"/>
      </w:pPr>
      <w:r>
        <w:rPr>
          <w:rFonts w:ascii="Times New Roman" w:hAnsi="Times New Roman"/>
          <w:color w:val="000000"/>
        </w:rPr>
        <w:t>GIỚI THIỆU</w:t>
      </w:r>
    </w:p>
    <w:p>
      <w:r>
        <w:rPr>
          <w:rFonts w:ascii="Times New Roman" w:hAnsi="Times New Roman"/>
          <w:i/>
          <w:color w:val="808080"/>
          <w:sz w:val="18"/>
        </w:rPr>
        <w:t>--- Trang 733, Indian J Community Med, Vol. 48(5), 2023 ---</w:t>
      </w:r>
    </w:p>
    <w:p>
      <w:r>
        <w:rPr>
          <w:rFonts w:ascii="Times New Roman" w:hAnsi="Times New Roman"/>
          <w:b w:val="0"/>
          <w:i w:val="0"/>
          <w:sz w:val="24"/>
        </w:rPr>
        <w:t>Thanh thiếu niên là giai đoạn chuyển tiếp từ thời thơ ấu sang tuổi trưởng thành, được đánh dấu bởi nhiều thay đổi về phát triển, cảm xúc, tâm lý và xã hội. Nhóm tuổi 10–19 tại Ấn Độ chiếm khoảng 21,4% dân số (khoảng 253 triệu người). Sức khỏe tâm thần trong giai đoạn này có ý nghĩa quan trọng cho sự phát triển lành mạnh. Trên toàn cầu, ước tính khoảng 10–20% trẻ em và thanh thiếu niên trải qua các rối loạn tâm thần.</w:t>
      </w:r>
    </w:p>
    <w:p>
      <w:r>
        <w:rPr>
          <w:rFonts w:ascii="Times New Roman" w:hAnsi="Times New Roman"/>
          <w:b w:val="0"/>
          <w:i w:val="0"/>
          <w:sz w:val="24"/>
        </w:rPr>
        <w:t>Tại Ấn Độ, phần lớn các nghiên cứu về sức khỏe tâm thần thanh thiếu niên tập trung vào các bang miền Nam và miền Bắc. Vùng Đông Bắc Ấn Độ — nơi có đặc điểm văn hóa bộ lạc khác biệt và các yếu tố kinh tế xã hội đặc thù — hầu như chưa được khảo sát. Nghiên cứu này nhằm lấp đầy khoảng trống kiến thức đó bằng cách đánh giá tỷ lệ hiện mắc và các yếu tố liên quan của trầm cảm, lo âu và căng thẳng ở thanh thiếu niên tại quận Kamrup (Metro), Assam.</w:t>
      </w:r>
    </w:p>
    <w:p>
      <w:pPr>
        <w:pStyle w:val="Heading2"/>
      </w:pPr>
      <w:r>
        <w:rPr>
          <w:rFonts w:ascii="Times New Roman" w:hAnsi="Times New Roman"/>
          <w:color w:val="000000"/>
        </w:rPr>
        <w:t>PHƯƠNG PHÁP</w:t>
      </w:r>
    </w:p>
    <w:p>
      <w:r>
        <w:rPr>
          <w:rFonts w:ascii="Times New Roman" w:hAnsi="Times New Roman"/>
          <w:i/>
          <w:color w:val="808080"/>
          <w:sz w:val="18"/>
        </w:rPr>
        <w:t>--- Trang 734, Indian J Community Med, Vol. 48(5), 2023 ---</w:t>
      </w:r>
    </w:p>
    <w:p>
      <w:r>
        <w:rPr>
          <w:rFonts w:ascii="Times New Roman" w:hAnsi="Times New Roman"/>
          <w:b/>
          <w:i w:val="0"/>
          <w:sz w:val="24"/>
        </w:rPr>
        <w:t>Thiết kế: Nghiên cứu cắt ngang tại trường học, thực hiện từ tháng 4/2019 đến tháng 6/2020.</w:t>
      </w:r>
    </w:p>
    <w:p>
      <w:r>
        <w:rPr>
          <w:rFonts w:ascii="Times New Roman" w:hAnsi="Times New Roman"/>
          <w:b w:val="0"/>
          <w:i w:val="0"/>
          <w:sz w:val="24"/>
        </w:rPr>
        <w:t>Cỡ mẫu và lấy mẫu: Từ tổng số 120 trường trung học công lập tại quận Kamrup (Metro), 10 trường được chọn bằng phương pháp ngẫu nhiên đơn giản. Từ mỗi trường, 36 học sinh được chọn ngẫu nhiên (12 từ mỗi lớp 8, 9, 10), đảm bảo số lượng nam và nữ bằng nhau. Tổng cỡ mẫu: 360 thanh thiếu niên từ 14 đến 17 tuổi.</w:t>
      </w:r>
    </w:p>
    <w:p>
      <w:r>
        <w:rPr>
          <w:rFonts w:ascii="Times New Roman" w:hAnsi="Times New Roman"/>
          <w:b/>
          <w:i w:val="0"/>
          <w:sz w:val="24"/>
        </w:rPr>
        <w:t>Công cụ:</w:t>
      </w:r>
    </w:p>
    <w:p>
      <w:r>
        <w:rPr>
          <w:rFonts w:ascii="Times New Roman" w:hAnsi="Times New Roman"/>
          <w:b w:val="0"/>
          <w:i w:val="0"/>
          <w:sz w:val="24"/>
        </w:rPr>
        <w:t>• Thang đo Trầm cảm Lo âu Căng thẳng 21 mục (DASS-21 — Depression Anxiety Stress Scale): phiên bản dịch sang tiếng Assam, dịch ngược bởi chuyên gia song ngữ, xác nhận bởi nhóm chuyên gia tâm thần học và y học cộng đồng. DASS-21 là phiên bản rút gọn của thang gốc 42 mục (Lovibond &amp; Lovibond, 1995), sàng lọc đồng thời trầm cảm, lo âu và căng thẳng.</w:t>
      </w:r>
    </w:p>
    <w:p>
      <w:r>
        <w:rPr>
          <w:rFonts w:ascii="Times New Roman" w:hAnsi="Times New Roman"/>
          <w:b w:val="0"/>
          <w:i w:val="0"/>
          <w:sz w:val="24"/>
        </w:rPr>
        <w:t>• Thang đo Kuppuswamy sửa đổi (Modified Kuppuswamy Scale): đánh giá tình trạng kinh tế xã hội dựa trên học vấn trụ cột gia đình, nghề nghiệp và thu nhập.</w:t>
      </w:r>
    </w:p>
    <w:p>
      <w:r>
        <w:rPr>
          <w:rFonts w:ascii="Times New Roman" w:hAnsi="Times New Roman"/>
          <w:b w:val="0"/>
          <w:i w:val="0"/>
          <w:sz w:val="24"/>
        </w:rPr>
        <w:t>• Lịch phỏng vấn thiết kế sẵn: thu thập dữ liệu nhân khẩu xã hội (tuổi, giới tính, loại gia đình, tình trạng cha mẹ, sử dụng rượu, tiền sử lạm dụng, tiền sử bệnh tâm thần gia đình, chơi game, kết quả học tập).</w:t>
      </w:r>
    </w:p>
    <w:p>
      <w:r>
        <w:rPr>
          <w:rFonts w:ascii="Times New Roman" w:hAnsi="Times New Roman"/>
          <w:b w:val="0"/>
          <w:i w:val="0"/>
          <w:sz w:val="24"/>
        </w:rPr>
        <w:t>Phân tích: SPSS — kiểm định chi-square (chi bình phương), P &lt; 0,05 được coi là có ý nghĩa. Quyền riêng tư và bảo mật được duy trì nghiêm ngặt.</w:t>
      </w:r>
    </w:p>
    <w:p>
      <w:pPr>
        <w:pStyle w:val="Heading2"/>
      </w:pPr>
      <w:r>
        <w:rPr>
          <w:rFonts w:ascii="Times New Roman" w:hAnsi="Times New Roman"/>
          <w:color w:val="000000"/>
        </w:rPr>
        <w:t>KẾT QUẢ</w:t>
      </w:r>
    </w:p>
    <w:p>
      <w:r>
        <w:rPr>
          <w:rFonts w:ascii="Times New Roman" w:hAnsi="Times New Roman"/>
          <w:i/>
          <w:color w:val="808080"/>
          <w:sz w:val="18"/>
        </w:rPr>
        <w:t>--- Trang 735, Indian J Community Med, Vol. 48(5), 2023 ---</w:t>
      </w:r>
    </w:p>
    <w:p>
      <w:r>
        <w:rPr>
          <w:rFonts w:ascii="Times New Roman" w:hAnsi="Times New Roman"/>
          <w:b/>
          <w:i w:val="0"/>
          <w:sz w:val="24"/>
        </w:rPr>
        <w:t>Tỷ lệ trầm cảm, lo âu và căng thẳng theo DASS-21 (N = 360):</w:t>
      </w:r>
    </w:p>
    <w:tbl>
      <w:tblPr>
        <w:tblStyle w:val="TableGrid"/>
        <w:tblW w:type="auto" w:w="0"/>
        <w:jc w:val="center"/>
        <w:tblLook w:firstColumn="1" w:firstRow="1" w:lastColumn="0" w:lastRow="0" w:noHBand="0" w:noVBand="1" w:val="04A0"/>
      </w:tblPr>
      <w:tblGrid>
        <w:gridCol w:w="3135"/>
        <w:gridCol w:w="3135"/>
        <w:gridCol w:w="3135"/>
      </w:tblGrid>
      <w:tr>
        <w:tc>
          <w:tcPr>
            <w:tcW w:type="dxa" w:w="3135"/>
            <w:tcW w:w="2835" w:type="dxa"/>
            <w:shd w:fill="D9E2F3" w:val="clear"/>
          </w:tcPr>
          <w:p>
            <w:pPr>
              <w:jc w:val="center"/>
            </w:pPr>
            <w:r>
              <w:rPr>
                <w:rFonts w:ascii="Times New Roman" w:hAnsi="Times New Roman"/>
                <w:b/>
                <w:sz w:val="20"/>
              </w:rPr>
              <w:t>Tình trạng</w:t>
            </w:r>
          </w:p>
        </w:tc>
        <w:tc>
          <w:tcPr>
            <w:tcW w:type="dxa" w:w="3135"/>
            <w:tcW w:w="1701" w:type="dxa"/>
            <w:shd w:fill="D9E2F3" w:val="clear"/>
          </w:tcPr>
          <w:p>
            <w:pPr>
              <w:jc w:val="center"/>
            </w:pPr>
            <w:r>
              <w:rPr>
                <w:rFonts w:ascii="Times New Roman" w:hAnsi="Times New Roman"/>
                <w:b/>
                <w:sz w:val="20"/>
              </w:rPr>
              <w:t>Tỷ lệ</w:t>
            </w:r>
          </w:p>
        </w:tc>
        <w:tc>
          <w:tcPr>
            <w:tcW w:type="dxa" w:w="3135"/>
            <w:tcW w:w="1701" w:type="dxa"/>
            <w:shd w:fill="D9E2F3" w:val="clear"/>
          </w:tcPr>
          <w:p>
            <w:pPr>
              <w:jc w:val="center"/>
            </w:pPr>
            <w:r>
              <w:rPr>
                <w:rFonts w:ascii="Times New Roman" w:hAnsi="Times New Roman"/>
                <w:b/>
                <w:sz w:val="20"/>
              </w:rPr>
              <w:t>n/N</w:t>
            </w:r>
          </w:p>
        </w:tc>
      </w:tr>
      <w:tr>
        <w:tc>
          <w:tcPr>
            <w:tcW w:type="dxa" w:w="3135"/>
            <w:tcW w:w="2835" w:type="dxa"/>
          </w:tcPr>
          <w:p>
            <w:r>
              <w:rPr>
                <w:rFonts w:ascii="Times New Roman" w:hAnsi="Times New Roman"/>
                <w:sz w:val="20"/>
              </w:rPr>
              <w:t>Trầm cảm</w:t>
            </w:r>
          </w:p>
        </w:tc>
        <w:tc>
          <w:tcPr>
            <w:tcW w:type="dxa" w:w="3135"/>
            <w:tcW w:w="1701" w:type="dxa"/>
          </w:tcPr>
          <w:p>
            <w:r>
              <w:rPr>
                <w:rFonts w:ascii="Times New Roman" w:hAnsi="Times New Roman"/>
                <w:sz w:val="20"/>
              </w:rPr>
              <w:t>22,2%</w:t>
            </w:r>
          </w:p>
        </w:tc>
        <w:tc>
          <w:tcPr>
            <w:tcW w:type="dxa" w:w="3135"/>
            <w:tcW w:w="1701" w:type="dxa"/>
          </w:tcPr>
          <w:p>
            <w:r>
              <w:rPr>
                <w:rFonts w:ascii="Times New Roman" w:hAnsi="Times New Roman"/>
                <w:sz w:val="20"/>
              </w:rPr>
              <w:t>80/360</w:t>
            </w:r>
          </w:p>
        </w:tc>
      </w:tr>
      <w:tr>
        <w:tc>
          <w:tcPr>
            <w:tcW w:type="dxa" w:w="3135"/>
            <w:tcW w:w="2835" w:type="dxa"/>
          </w:tcPr>
          <w:p>
            <w:r>
              <w:rPr>
                <w:rFonts w:ascii="Times New Roman" w:hAnsi="Times New Roman"/>
                <w:sz w:val="20"/>
              </w:rPr>
              <w:t>Lo âu</w:t>
            </w:r>
          </w:p>
        </w:tc>
        <w:tc>
          <w:tcPr>
            <w:tcW w:type="dxa" w:w="3135"/>
            <w:tcW w:w="1701" w:type="dxa"/>
          </w:tcPr>
          <w:p>
            <w:r>
              <w:rPr>
                <w:rFonts w:ascii="Times New Roman" w:hAnsi="Times New Roman"/>
                <w:sz w:val="20"/>
              </w:rPr>
              <w:t>24,4%</w:t>
            </w:r>
          </w:p>
        </w:tc>
        <w:tc>
          <w:tcPr>
            <w:tcW w:type="dxa" w:w="3135"/>
            <w:tcW w:w="1701" w:type="dxa"/>
          </w:tcPr>
          <w:p>
            <w:r>
              <w:rPr>
                <w:rFonts w:ascii="Times New Roman" w:hAnsi="Times New Roman"/>
                <w:sz w:val="20"/>
              </w:rPr>
              <w:t>88/360</w:t>
            </w:r>
          </w:p>
        </w:tc>
      </w:tr>
      <w:tr>
        <w:tc>
          <w:tcPr>
            <w:tcW w:type="dxa" w:w="3135"/>
            <w:tcW w:w="2835" w:type="dxa"/>
          </w:tcPr>
          <w:p>
            <w:r>
              <w:rPr>
                <w:rFonts w:ascii="Times New Roman" w:hAnsi="Times New Roman"/>
                <w:sz w:val="20"/>
              </w:rPr>
              <w:t>Căng thẳng</w:t>
            </w:r>
          </w:p>
        </w:tc>
        <w:tc>
          <w:tcPr>
            <w:tcW w:type="dxa" w:w="3135"/>
            <w:tcW w:w="1701" w:type="dxa"/>
          </w:tcPr>
          <w:p>
            <w:r>
              <w:rPr>
                <w:rFonts w:ascii="Times New Roman" w:hAnsi="Times New Roman"/>
                <w:sz w:val="20"/>
              </w:rPr>
              <w:t>6,9%</w:t>
            </w:r>
          </w:p>
        </w:tc>
        <w:tc>
          <w:tcPr>
            <w:tcW w:type="dxa" w:w="3135"/>
            <w:tcW w:w="1701" w:type="dxa"/>
          </w:tcPr>
          <w:p>
            <w:r>
              <w:rPr>
                <w:rFonts w:ascii="Times New Roman" w:hAnsi="Times New Roman"/>
                <w:sz w:val="20"/>
              </w:rPr>
              <w:t>25/360</w:t>
            </w:r>
          </w:p>
        </w:tc>
      </w:tr>
    </w:tbl>
    <w:p/>
    <w:p>
      <w:r>
        <w:rPr>
          <w:rFonts w:ascii="Times New Roman" w:hAnsi="Times New Roman"/>
          <w:b/>
          <w:i w:val="0"/>
          <w:sz w:val="24"/>
        </w:rPr>
        <w:t>Phân bố lo âu theo giới tính:</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1701" w:type="dxa"/>
            <w:shd w:fill="D9E2F3" w:val="clear"/>
          </w:tcPr>
          <w:p>
            <w:pPr>
              <w:jc w:val="center"/>
            </w:pPr>
            <w:r>
              <w:rPr>
                <w:rFonts w:ascii="Times New Roman" w:hAnsi="Times New Roman"/>
                <w:b/>
                <w:sz w:val="20"/>
              </w:rPr>
              <w:t>Giới tính</w:t>
            </w:r>
          </w:p>
        </w:tc>
        <w:tc>
          <w:tcPr>
            <w:tcW w:type="dxa" w:w="2351"/>
            <w:tcW w:w="1984" w:type="dxa"/>
            <w:shd w:fill="D9E2F3" w:val="clear"/>
          </w:tcPr>
          <w:p>
            <w:pPr>
              <w:jc w:val="center"/>
            </w:pPr>
            <w:r>
              <w:rPr>
                <w:rFonts w:ascii="Times New Roman" w:hAnsi="Times New Roman"/>
                <w:b/>
                <w:sz w:val="20"/>
              </w:rPr>
              <w:t>Có lo âu n (%)</w:t>
            </w:r>
          </w:p>
        </w:tc>
        <w:tc>
          <w:tcPr>
            <w:tcW w:type="dxa" w:w="2351"/>
            <w:tcW w:w="1984" w:type="dxa"/>
            <w:shd w:fill="D9E2F3" w:val="clear"/>
          </w:tcPr>
          <w:p>
            <w:pPr>
              <w:jc w:val="center"/>
            </w:pPr>
            <w:r>
              <w:rPr>
                <w:rFonts w:ascii="Times New Roman" w:hAnsi="Times New Roman"/>
                <w:b/>
                <w:sz w:val="20"/>
              </w:rPr>
              <w:t>Không lo âu n (%)</w:t>
            </w:r>
          </w:p>
        </w:tc>
        <w:tc>
          <w:tcPr>
            <w:tcW w:type="dxa" w:w="2351"/>
            <w:tcW w:w="1134" w:type="dxa"/>
            <w:shd w:fill="D9E2F3" w:val="clear"/>
          </w:tcPr>
          <w:p>
            <w:pPr>
              <w:jc w:val="center"/>
            </w:pPr>
            <w:r>
              <w:rPr>
                <w:rFonts w:ascii="Times New Roman" w:hAnsi="Times New Roman"/>
                <w:b/>
                <w:sz w:val="20"/>
              </w:rPr>
              <w:t>P</w:t>
            </w:r>
          </w:p>
        </w:tc>
      </w:tr>
      <w:tr>
        <w:tc>
          <w:tcPr>
            <w:tcW w:type="dxa" w:w="2351"/>
            <w:tcW w:w="1701" w:type="dxa"/>
          </w:tcPr>
          <w:p>
            <w:r>
              <w:rPr>
                <w:rFonts w:ascii="Times New Roman" w:hAnsi="Times New Roman"/>
                <w:sz w:val="20"/>
              </w:rPr>
              <w:t>Nam (n=180)</w:t>
            </w:r>
          </w:p>
        </w:tc>
        <w:tc>
          <w:tcPr>
            <w:tcW w:type="dxa" w:w="2351"/>
            <w:tcW w:w="1984" w:type="dxa"/>
          </w:tcPr>
          <w:p>
            <w:r>
              <w:rPr>
                <w:rFonts w:ascii="Times New Roman" w:hAnsi="Times New Roman"/>
                <w:sz w:val="20"/>
              </w:rPr>
              <w:t>54 (30,0%)</w:t>
            </w:r>
          </w:p>
        </w:tc>
        <w:tc>
          <w:tcPr>
            <w:tcW w:type="dxa" w:w="2351"/>
            <w:tcW w:w="1984" w:type="dxa"/>
          </w:tcPr>
          <w:p>
            <w:r>
              <w:rPr>
                <w:rFonts w:ascii="Times New Roman" w:hAnsi="Times New Roman"/>
                <w:sz w:val="20"/>
              </w:rPr>
              <w:t>126 (70,0%)</w:t>
            </w:r>
          </w:p>
        </w:tc>
        <w:tc>
          <w:tcPr>
            <w:tcW w:type="dxa" w:w="2351"/>
            <w:tcW w:w="1134" w:type="dxa"/>
          </w:tcPr>
          <w:p>
            <w:r>
              <w:rPr>
                <w:rFonts w:ascii="Times New Roman" w:hAnsi="Times New Roman"/>
                <w:sz w:val="20"/>
              </w:rPr>
            </w:r>
          </w:p>
        </w:tc>
      </w:tr>
      <w:tr>
        <w:tc>
          <w:tcPr>
            <w:tcW w:type="dxa" w:w="2351"/>
            <w:tcW w:w="1701" w:type="dxa"/>
          </w:tcPr>
          <w:p>
            <w:r>
              <w:rPr>
                <w:rFonts w:ascii="Times New Roman" w:hAnsi="Times New Roman"/>
                <w:sz w:val="20"/>
              </w:rPr>
              <w:t>Nữ (n=180)</w:t>
            </w:r>
          </w:p>
        </w:tc>
        <w:tc>
          <w:tcPr>
            <w:tcW w:type="dxa" w:w="2351"/>
            <w:tcW w:w="1984" w:type="dxa"/>
          </w:tcPr>
          <w:p>
            <w:r>
              <w:rPr>
                <w:rFonts w:ascii="Times New Roman" w:hAnsi="Times New Roman"/>
                <w:sz w:val="20"/>
              </w:rPr>
              <w:t>34 (18,9%)</w:t>
            </w:r>
          </w:p>
        </w:tc>
        <w:tc>
          <w:tcPr>
            <w:tcW w:type="dxa" w:w="2351"/>
            <w:tcW w:w="1984" w:type="dxa"/>
          </w:tcPr>
          <w:p>
            <w:r>
              <w:rPr>
                <w:rFonts w:ascii="Times New Roman" w:hAnsi="Times New Roman"/>
                <w:sz w:val="20"/>
              </w:rPr>
              <w:t>146 (81,1%)</w:t>
            </w:r>
          </w:p>
        </w:tc>
        <w:tc>
          <w:tcPr>
            <w:tcW w:type="dxa" w:w="2351"/>
            <w:tcW w:w="1134" w:type="dxa"/>
          </w:tcPr>
          <w:p>
            <w:r>
              <w:rPr>
                <w:rFonts w:ascii="Times New Roman" w:hAnsi="Times New Roman"/>
                <w:sz w:val="20"/>
              </w:rPr>
              <w:t>0,049</w:t>
            </w:r>
          </w:p>
        </w:tc>
      </w:tr>
    </w:tbl>
    <w:p/>
    <w:p>
      <w:r>
        <w:rPr>
          <w:rFonts w:ascii="Times New Roman" w:hAnsi="Times New Roman"/>
          <w:b/>
          <w:i w:val="0"/>
          <w:sz w:val="24"/>
        </w:rPr>
        <w:t>⚠️ PHÁT HIỆN ĐẶC BIỆT: Nam giới có tỷ lệ lo âu CAO HƠN nữ giới (30,0% so với 18,9%, P = 0,049) — TRÁI NGƯỢC với đại đa số y văn quốc tế, nơi nữ luôn có tỷ lệ cao hơn.</w:t>
      </w:r>
    </w:p>
    <w:p/>
    <w:p>
      <w:r>
        <w:rPr>
          <w:rFonts w:ascii="Times New Roman" w:hAnsi="Times New Roman"/>
          <w:b/>
          <w:i w:val="0"/>
          <w:sz w:val="24"/>
        </w:rPr>
        <w:t>Các yếu tố liên quan có ý nghĩa thống kê:</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tcW w:w="2268" w:type="dxa"/>
            <w:shd w:fill="D9E2F3" w:val="clear"/>
          </w:tcPr>
          <w:p>
            <w:pPr>
              <w:jc w:val="center"/>
            </w:pPr>
            <w:r>
              <w:rPr>
                <w:rFonts w:ascii="Times New Roman" w:hAnsi="Times New Roman"/>
                <w:b/>
                <w:sz w:val="20"/>
              </w:rPr>
              <w:t>Yếu tố</w:t>
            </w:r>
          </w:p>
        </w:tc>
        <w:tc>
          <w:tcPr>
            <w:tcW w:type="dxa" w:w="2351"/>
            <w:tcW w:w="1134" w:type="dxa"/>
            <w:shd w:fill="D9E2F3" w:val="clear"/>
          </w:tcPr>
          <w:p>
            <w:pPr>
              <w:jc w:val="center"/>
            </w:pPr>
            <w:r>
              <w:rPr>
                <w:rFonts w:ascii="Times New Roman" w:hAnsi="Times New Roman"/>
                <w:b/>
                <w:sz w:val="20"/>
              </w:rPr>
              <w:t>P (lo âu)</w:t>
            </w:r>
          </w:p>
        </w:tc>
        <w:tc>
          <w:tcPr>
            <w:tcW w:type="dxa" w:w="2351"/>
            <w:tcW w:w="1417" w:type="dxa"/>
            <w:shd w:fill="D9E2F3" w:val="clear"/>
          </w:tcPr>
          <w:p>
            <w:pPr>
              <w:jc w:val="center"/>
            </w:pPr>
            <w:r>
              <w:rPr>
                <w:rFonts w:ascii="Times New Roman" w:hAnsi="Times New Roman"/>
                <w:b/>
                <w:sz w:val="20"/>
              </w:rPr>
              <w:t>P (trầm cảm)</w:t>
            </w:r>
          </w:p>
        </w:tc>
        <w:tc>
          <w:tcPr>
            <w:tcW w:type="dxa" w:w="2351"/>
            <w:tcW w:w="2268" w:type="dxa"/>
            <w:shd w:fill="D9E2F3" w:val="clear"/>
          </w:tcPr>
          <w:p>
            <w:pPr>
              <w:jc w:val="center"/>
            </w:pPr>
            <w:r>
              <w:rPr>
                <w:rFonts w:ascii="Times New Roman" w:hAnsi="Times New Roman"/>
                <w:b/>
                <w:sz w:val="20"/>
              </w:rPr>
              <w:t>Ghi chú</w:t>
            </w:r>
          </w:p>
        </w:tc>
      </w:tr>
      <w:tr>
        <w:tc>
          <w:tcPr>
            <w:tcW w:type="dxa" w:w="2351"/>
            <w:tcW w:w="2268" w:type="dxa"/>
          </w:tcPr>
          <w:p>
            <w:r>
              <w:rPr>
                <w:rFonts w:ascii="Times New Roman" w:hAnsi="Times New Roman"/>
                <w:sz w:val="20"/>
              </w:rPr>
              <w:t>Tình trạng cha mẹ (đơn thân)</w:t>
            </w:r>
          </w:p>
        </w:tc>
        <w:tc>
          <w:tcPr>
            <w:tcW w:type="dxa" w:w="2351"/>
            <w:tcW w:w="1134" w:type="dxa"/>
          </w:tcPr>
          <w:p>
            <w:r>
              <w:rPr>
                <w:rFonts w:ascii="Times New Roman" w:hAnsi="Times New Roman"/>
                <w:sz w:val="20"/>
              </w:rPr>
              <w:t>&lt;0,001</w:t>
            </w:r>
          </w:p>
        </w:tc>
        <w:tc>
          <w:tcPr>
            <w:tcW w:type="dxa" w:w="2351"/>
            <w:tcW w:w="1417" w:type="dxa"/>
          </w:tcPr>
          <w:p>
            <w:r>
              <w:rPr>
                <w:rFonts w:ascii="Times New Roman" w:hAnsi="Times New Roman"/>
                <w:sz w:val="20"/>
              </w:rPr>
              <w:t>0,001</w:t>
            </w:r>
          </w:p>
        </w:tc>
        <w:tc>
          <w:tcPr>
            <w:tcW w:type="dxa" w:w="2351"/>
            <w:tcW w:w="2268" w:type="dxa"/>
          </w:tcPr>
          <w:p>
            <w:r>
              <w:rPr>
                <w:rFonts w:ascii="Times New Roman" w:hAnsi="Times New Roman"/>
                <w:sz w:val="20"/>
              </w:rPr>
              <w:t>52,6–63,2% nếu đơn thân</w:t>
            </w:r>
          </w:p>
        </w:tc>
      </w:tr>
      <w:tr>
        <w:tc>
          <w:tcPr>
            <w:tcW w:type="dxa" w:w="2351"/>
            <w:tcW w:w="2268" w:type="dxa"/>
          </w:tcPr>
          <w:p>
            <w:r>
              <w:rPr>
                <w:rFonts w:ascii="Times New Roman" w:hAnsi="Times New Roman"/>
                <w:sz w:val="20"/>
              </w:rPr>
              <w:t>Cha mẹ sử dụng rượu</w:t>
            </w:r>
          </w:p>
        </w:tc>
        <w:tc>
          <w:tcPr>
            <w:tcW w:type="dxa" w:w="2351"/>
            <w:tcW w:w="1134" w:type="dxa"/>
          </w:tcPr>
          <w:p>
            <w:r>
              <w:rPr>
                <w:rFonts w:ascii="Times New Roman" w:hAnsi="Times New Roman"/>
                <w:sz w:val="20"/>
              </w:rPr>
              <w:t>&lt;0,001</w:t>
            </w:r>
          </w:p>
        </w:tc>
        <w:tc>
          <w:tcPr>
            <w:tcW w:type="dxa" w:w="2351"/>
            <w:tcW w:w="1417" w:type="dxa"/>
          </w:tcPr>
          <w:p>
            <w:r>
              <w:rPr>
                <w:rFonts w:ascii="Times New Roman" w:hAnsi="Times New Roman"/>
                <w:sz w:val="20"/>
              </w:rPr>
              <w:t>&lt;0,001</w:t>
            </w:r>
          </w:p>
        </w:tc>
        <w:tc>
          <w:tcPr>
            <w:tcW w:type="dxa" w:w="2351"/>
            <w:tcW w:w="2268" w:type="dxa"/>
          </w:tcPr>
          <w:p>
            <w:r>
              <w:rPr>
                <w:rFonts w:ascii="Times New Roman" w:hAnsi="Times New Roman"/>
                <w:sz w:val="20"/>
              </w:rPr>
              <w:t>38,3–40,4% nếu có rượu</w:t>
            </w:r>
          </w:p>
        </w:tc>
      </w:tr>
      <w:tr>
        <w:tc>
          <w:tcPr>
            <w:tcW w:type="dxa" w:w="2351"/>
            <w:tcW w:w="2268" w:type="dxa"/>
          </w:tcPr>
          <w:p>
            <w:r>
              <w:rPr>
                <w:rFonts w:ascii="Times New Roman" w:hAnsi="Times New Roman"/>
                <w:sz w:val="20"/>
              </w:rPr>
              <w:t>Chơi trò chơi điện tử</w:t>
            </w:r>
          </w:p>
        </w:tc>
        <w:tc>
          <w:tcPr>
            <w:tcW w:type="dxa" w:w="2351"/>
            <w:tcW w:w="1134" w:type="dxa"/>
          </w:tcPr>
          <w:p>
            <w:r>
              <w:rPr>
                <w:rFonts w:ascii="Times New Roman" w:hAnsi="Times New Roman"/>
                <w:sz w:val="20"/>
              </w:rPr>
              <w:t>0,003</w:t>
            </w:r>
          </w:p>
        </w:tc>
        <w:tc>
          <w:tcPr>
            <w:tcW w:type="dxa" w:w="2351"/>
            <w:tcW w:w="1417" w:type="dxa"/>
          </w:tcPr>
          <w:p>
            <w:r>
              <w:rPr>
                <w:rFonts w:ascii="Times New Roman" w:hAnsi="Times New Roman"/>
                <w:sz w:val="20"/>
              </w:rPr>
              <w:t>&lt;0,001</w:t>
            </w:r>
          </w:p>
        </w:tc>
        <w:tc>
          <w:tcPr>
            <w:tcW w:type="dxa" w:w="2351"/>
            <w:tcW w:w="2268" w:type="dxa"/>
          </w:tcPr>
          <w:p>
            <w:r>
              <w:rPr>
                <w:rFonts w:ascii="Times New Roman" w:hAnsi="Times New Roman"/>
                <w:sz w:val="20"/>
              </w:rPr>
              <w:t>27,9–30,8% nếu chơi game</w:t>
            </w:r>
          </w:p>
        </w:tc>
      </w:tr>
      <w:tr>
        <w:tc>
          <w:tcPr>
            <w:tcW w:type="dxa" w:w="2351"/>
            <w:tcW w:w="2268" w:type="dxa"/>
          </w:tcPr>
          <w:p>
            <w:r>
              <w:rPr>
                <w:rFonts w:ascii="Times New Roman" w:hAnsi="Times New Roman"/>
                <w:sz w:val="20"/>
              </w:rPr>
              <w:t>Kết quả học tập (lưu ban)</w:t>
            </w:r>
          </w:p>
        </w:tc>
        <w:tc>
          <w:tcPr>
            <w:tcW w:type="dxa" w:w="2351"/>
            <w:tcW w:w="1134" w:type="dxa"/>
          </w:tcPr>
          <w:p>
            <w:r>
              <w:rPr>
                <w:rFonts w:ascii="Times New Roman" w:hAnsi="Times New Roman"/>
                <w:sz w:val="20"/>
              </w:rPr>
              <w:t>&lt;0,001</w:t>
            </w:r>
          </w:p>
        </w:tc>
        <w:tc>
          <w:tcPr>
            <w:tcW w:type="dxa" w:w="2351"/>
            <w:tcW w:w="1417" w:type="dxa"/>
          </w:tcPr>
          <w:p>
            <w:r>
              <w:rPr>
                <w:rFonts w:ascii="Times New Roman" w:hAnsi="Times New Roman"/>
                <w:sz w:val="20"/>
              </w:rPr>
              <w:t>&lt;0,001</w:t>
            </w:r>
          </w:p>
        </w:tc>
        <w:tc>
          <w:tcPr>
            <w:tcW w:type="dxa" w:w="2351"/>
            <w:tcW w:w="2268" w:type="dxa"/>
          </w:tcPr>
          <w:p>
            <w:r>
              <w:rPr>
                <w:rFonts w:ascii="Times New Roman" w:hAnsi="Times New Roman"/>
                <w:sz w:val="20"/>
              </w:rPr>
              <w:t>51,7–58,6% nếu lưu ban</w:t>
            </w:r>
          </w:p>
        </w:tc>
      </w:tr>
      <w:tr>
        <w:tc>
          <w:tcPr>
            <w:tcW w:type="dxa" w:w="2351"/>
            <w:tcW w:w="2268" w:type="dxa"/>
          </w:tcPr>
          <w:p>
            <w:r>
              <w:rPr>
                <w:rFonts w:ascii="Times New Roman" w:hAnsi="Times New Roman"/>
                <w:sz w:val="20"/>
              </w:rPr>
              <w:t>Tầng lớp KT-XH thấp</w:t>
            </w:r>
          </w:p>
        </w:tc>
        <w:tc>
          <w:tcPr>
            <w:tcW w:type="dxa" w:w="2351"/>
            <w:tcW w:w="1134" w:type="dxa"/>
          </w:tcPr>
          <w:p>
            <w:r>
              <w:rPr>
                <w:rFonts w:ascii="Times New Roman" w:hAnsi="Times New Roman"/>
                <w:sz w:val="20"/>
              </w:rPr>
              <w:t>0,028</w:t>
            </w:r>
          </w:p>
        </w:tc>
        <w:tc>
          <w:tcPr>
            <w:tcW w:type="dxa" w:w="2351"/>
            <w:tcW w:w="1417" w:type="dxa"/>
          </w:tcPr>
          <w:p>
            <w:r>
              <w:rPr>
                <w:rFonts w:ascii="Times New Roman" w:hAnsi="Times New Roman"/>
                <w:sz w:val="20"/>
              </w:rPr>
              <w:t>0,839</w:t>
            </w:r>
          </w:p>
        </w:tc>
        <w:tc>
          <w:tcPr>
            <w:tcW w:type="dxa" w:w="2351"/>
            <w:tcW w:w="2268" w:type="dxa"/>
          </w:tcPr>
          <w:p>
            <w:r>
              <w:rPr>
                <w:rFonts w:ascii="Times New Roman" w:hAnsi="Times New Roman"/>
                <w:sz w:val="20"/>
              </w:rPr>
              <w:t>Chỉ ý nghĩa với lo âu</w:t>
            </w:r>
          </w:p>
        </w:tc>
      </w:tr>
      <w:tr>
        <w:tc>
          <w:tcPr>
            <w:tcW w:type="dxa" w:w="2351"/>
            <w:tcW w:w="2268" w:type="dxa"/>
          </w:tcPr>
          <w:p>
            <w:r>
              <w:rPr>
                <w:rFonts w:ascii="Times New Roman" w:hAnsi="Times New Roman"/>
                <w:sz w:val="20"/>
              </w:rPr>
              <w:t>Tiền sử bị lạm dụng</w:t>
            </w:r>
          </w:p>
        </w:tc>
        <w:tc>
          <w:tcPr>
            <w:tcW w:type="dxa" w:w="2351"/>
            <w:tcW w:w="1134" w:type="dxa"/>
          </w:tcPr>
          <w:p>
            <w:r>
              <w:rPr>
                <w:rFonts w:ascii="Times New Roman" w:hAnsi="Times New Roman"/>
                <w:sz w:val="20"/>
              </w:rPr>
              <w:t>0,044</w:t>
            </w:r>
          </w:p>
        </w:tc>
        <w:tc>
          <w:tcPr>
            <w:tcW w:type="dxa" w:w="2351"/>
            <w:tcW w:w="1417" w:type="dxa"/>
          </w:tcPr>
          <w:p>
            <w:r>
              <w:rPr>
                <w:rFonts w:ascii="Times New Roman" w:hAnsi="Times New Roman"/>
                <w:sz w:val="20"/>
              </w:rPr>
              <w:t>0,076</w:t>
            </w:r>
          </w:p>
        </w:tc>
        <w:tc>
          <w:tcPr>
            <w:tcW w:type="dxa" w:w="2351"/>
            <w:tcW w:w="2268" w:type="dxa"/>
          </w:tcPr>
          <w:p>
            <w:r>
              <w:rPr>
                <w:rFonts w:ascii="Times New Roman" w:hAnsi="Times New Roman"/>
                <w:sz w:val="20"/>
              </w:rPr>
              <w:t>Chỉ ý nghĩa với lo âu</w:t>
            </w:r>
          </w:p>
        </w:tc>
      </w:tr>
      <w:tr>
        <w:tc>
          <w:tcPr>
            <w:tcW w:type="dxa" w:w="2351"/>
            <w:tcW w:w="2268" w:type="dxa"/>
          </w:tcPr>
          <w:p>
            <w:r>
              <w:rPr>
                <w:rFonts w:ascii="Times New Roman" w:hAnsi="Times New Roman"/>
                <w:sz w:val="20"/>
              </w:rPr>
              <w:t>Tiền sử bệnh TT gia đình</w:t>
            </w:r>
          </w:p>
        </w:tc>
        <w:tc>
          <w:tcPr>
            <w:tcW w:type="dxa" w:w="2351"/>
            <w:tcW w:w="1134" w:type="dxa"/>
          </w:tcPr>
          <w:p>
            <w:r>
              <w:rPr>
                <w:rFonts w:ascii="Times New Roman" w:hAnsi="Times New Roman"/>
                <w:sz w:val="20"/>
              </w:rPr>
              <w:t>0,043</w:t>
            </w:r>
          </w:p>
        </w:tc>
        <w:tc>
          <w:tcPr>
            <w:tcW w:type="dxa" w:w="2351"/>
            <w:tcW w:w="1417" w:type="dxa"/>
          </w:tcPr>
          <w:p>
            <w:r>
              <w:rPr>
                <w:rFonts w:ascii="Times New Roman" w:hAnsi="Times New Roman"/>
                <w:sz w:val="20"/>
              </w:rPr>
              <w:t>0,471</w:t>
            </w:r>
          </w:p>
        </w:tc>
        <w:tc>
          <w:tcPr>
            <w:tcW w:type="dxa" w:w="2351"/>
            <w:tcW w:w="2268" w:type="dxa"/>
          </w:tcPr>
          <w:p>
            <w:r>
              <w:rPr>
                <w:rFonts w:ascii="Times New Roman" w:hAnsi="Times New Roman"/>
                <w:sz w:val="20"/>
              </w:rPr>
              <w:t>Chỉ ý nghĩa với lo âu</w:t>
            </w:r>
          </w:p>
        </w:tc>
      </w:tr>
      <w:tr>
        <w:tc>
          <w:tcPr>
            <w:tcW w:type="dxa" w:w="2351"/>
            <w:tcW w:w="2268" w:type="dxa"/>
          </w:tcPr>
          <w:p>
            <w:r>
              <w:rPr>
                <w:rFonts w:ascii="Times New Roman" w:hAnsi="Times New Roman"/>
                <w:sz w:val="20"/>
              </w:rPr>
              <w:t>Giới tính (nam &gt; nữ)</w:t>
            </w:r>
          </w:p>
        </w:tc>
        <w:tc>
          <w:tcPr>
            <w:tcW w:type="dxa" w:w="2351"/>
            <w:tcW w:w="1134" w:type="dxa"/>
          </w:tcPr>
          <w:p>
            <w:r>
              <w:rPr>
                <w:rFonts w:ascii="Times New Roman" w:hAnsi="Times New Roman"/>
                <w:sz w:val="20"/>
              </w:rPr>
              <w:t>0,049</w:t>
            </w:r>
          </w:p>
        </w:tc>
        <w:tc>
          <w:tcPr>
            <w:tcW w:type="dxa" w:w="2351"/>
            <w:tcW w:w="1417" w:type="dxa"/>
          </w:tcPr>
          <w:p>
            <w:r>
              <w:rPr>
                <w:rFonts w:ascii="Times New Roman" w:hAnsi="Times New Roman"/>
                <w:sz w:val="20"/>
              </w:rPr>
              <w:t>0,076</w:t>
            </w:r>
          </w:p>
        </w:tc>
        <w:tc>
          <w:tcPr>
            <w:tcW w:type="dxa" w:w="2351"/>
            <w:tcW w:w="2268" w:type="dxa"/>
          </w:tcPr>
          <w:p>
            <w:r>
              <w:rPr>
                <w:rFonts w:ascii="Times New Roman" w:hAnsi="Times New Roman"/>
                <w:sz w:val="20"/>
              </w:rPr>
              <w:t>Trái y văn quốc tế</w:t>
            </w:r>
          </w:p>
        </w:tc>
      </w:tr>
    </w:tbl>
    <w:p>
      <w:r>
        <w:rPr>
          <w:rFonts w:ascii="Times New Roman" w:hAnsi="Times New Roman"/>
          <w:i/>
          <w:color w:val="808080"/>
          <w:sz w:val="18"/>
        </w:rPr>
        <w:t>--- Trang 736, Indian J Community Med, Vol. 48(5), 2023 ---</w:t>
      </w:r>
    </w:p>
    <w:p>
      <w:pPr>
        <w:pStyle w:val="Heading2"/>
      </w:pPr>
      <w:r>
        <w:rPr>
          <w:rFonts w:ascii="Times New Roman" w:hAnsi="Times New Roman"/>
          <w:color w:val="000000"/>
        </w:rPr>
        <w:t>THẢO LUẬN</w:t>
      </w:r>
    </w:p>
    <w:p>
      <w:r>
        <w:rPr>
          <w:rFonts w:ascii="Times New Roman" w:hAnsi="Times New Roman"/>
          <w:b w:val="0"/>
          <w:i w:val="0"/>
          <w:sz w:val="24"/>
        </w:rPr>
        <w:t>Tỷ lệ lo âu 24,4% trong nghiên cứu này phù hợp với các nghiên cứu trước tại Ấn Độ. Tuy nhiên, phát hiện đáng chú ý nhất là nam giới có tỷ lệ lo âu cao hơn nữ (30,0% so với 18,9%, P = 0,049). Phát hiện này trái ngược hoàn toàn với y văn quốc tế, nơi đại đa số nghiên cứu cho thấy nữ có tỷ lệ lo âu cao hơn nam (McLean và cộng sự, 2011).</w:t>
      </w:r>
    </w:p>
    <w:p>
      <w:r>
        <w:rPr>
          <w:rFonts w:ascii="Times New Roman" w:hAnsi="Times New Roman"/>
          <w:b w:val="0"/>
          <w:i w:val="0"/>
          <w:sz w:val="24"/>
        </w:rPr>
        <w:t>Kết quả ngược này có thể được giải thích bởi đặc thù văn hóa bộ lạc vùng Đông Bắc Ấn Độ, nơi kỳ vọng về vai trò nam giới có thể khác biệt so với phần còn lại của Ấn Độ. Tuy nhiên, tác giả không đi sâu phân tích cơ chế văn hóa cụ thể.</w:t>
      </w:r>
    </w:p>
    <w:p>
      <w:r>
        <w:rPr>
          <w:rFonts w:ascii="Times New Roman" w:hAnsi="Times New Roman"/>
          <w:b w:val="0"/>
          <w:i w:val="0"/>
          <w:sz w:val="24"/>
        </w:rPr>
        <w:t>Mối liên hệ mạnh giữa hoàn cảnh gia đình bất lợi (cha mẹ đơn thân, sử dụng rượu) và SKTT thanh thiếu niên là phù hợp với y văn. Thanh thiếu niên sống với cha/mẹ đơn thân có tỷ lệ lo âu 63,2% — gấp gần 3 lần so với nhóm sống với cả hai bố mẹ (22,3%).</w:t>
      </w:r>
    </w:p>
    <w:p>
      <w:r>
        <w:rPr>
          <w:rFonts w:ascii="Times New Roman" w:hAnsi="Times New Roman"/>
          <w:b w:val="0"/>
          <w:i w:val="0"/>
          <w:sz w:val="24"/>
        </w:rPr>
        <w:t>Thói quen chơi trò chơi điện tử cũng liên quan có ý nghĩa đến cả lo âu và trầm cảm, tương tự phát hiện của Chen và cộng sự (2023) về rối loạn chơi game trực tuyến (OR = 5,00) tại Trung Quốc.</w:t>
      </w:r>
    </w:p>
    <w:p>
      <w:pPr>
        <w:pStyle w:val="Heading2"/>
      </w:pPr>
      <w:r>
        <w:rPr>
          <w:rFonts w:ascii="Times New Roman" w:hAnsi="Times New Roman"/>
          <w:color w:val="000000"/>
        </w:rPr>
        <w:t>KẾT LUẬN</w:t>
      </w:r>
    </w:p>
    <w:p>
      <w:r>
        <w:rPr>
          <w:rFonts w:ascii="Times New Roman" w:hAnsi="Times New Roman"/>
          <w:i/>
          <w:color w:val="808080"/>
          <w:sz w:val="18"/>
        </w:rPr>
        <w:t>--- Trang 737, Indian J Community Med, Vol. 48(5), 2023 ---</w:t>
      </w:r>
    </w:p>
    <w:p>
      <w:r>
        <w:rPr>
          <w:rFonts w:ascii="Times New Roman" w:hAnsi="Times New Roman"/>
          <w:b w:val="0"/>
          <w:i w:val="0"/>
          <w:sz w:val="24"/>
        </w:rPr>
        <w:t>Tỷ lệ đáng kể trầm cảm (22,2%), lo âu (24,4%) và căng thẳng (6,9%) ở thanh thiếu niên trường học vùng Đông Bắc Ấn Độ — khu vực hầu như chưa được nghiên cứu trước đây — cho thấy nhu cầu chú ý đến sức khỏe tâm thần tại đây. Phát hiện nam &gt; nữ về lo âu là trái ngược y văn và cần được nghiên cứu thêm. Các yếu tố gia đình (cha mẹ đơn thân, sử dụng rượu) và lối sống (chơi game) cần được giải quyết trong thiết kế can thiệp.</w:t>
      </w:r>
    </w:p>
    <w:p>
      <w:pPr>
        <w:pStyle w:val="Heading2"/>
      </w:pPr>
      <w:r>
        <w:rPr>
          <w:rFonts w:ascii="Times New Roman" w:hAnsi="Times New Roman"/>
          <w:color w:val="000000"/>
        </w:rPr>
        <w:t>TÀI LIỆU THAM KHẢO</w:t>
      </w:r>
    </w:p>
    <w:p>
      <w:r>
        <w:rPr>
          <w:rFonts w:ascii="Times New Roman" w:hAnsi="Times New Roman"/>
          <w:b w:val="0"/>
          <w:i/>
          <w:sz w:val="24"/>
        </w:rPr>
        <w:t>[Giữ nguyên danh mục tài liệu tham khảo tiếng Anh từ bài gốc — xem bản PDF gốc]</w:t>
      </w:r>
    </w:p>
    <w:p>
      <w:pPr>
        <w:pStyle w:val="Heading2"/>
      </w:pPr>
      <w:r>
        <w:rPr>
          <w:rFonts w:ascii="Times New Roman" w:hAnsi="Times New Roman"/>
          <w:color w:val="000000"/>
        </w:rPr>
        <w:t>BẢNG VIẾT TẮT</w:t>
      </w:r>
    </w:p>
    <w:tbl>
      <w:tblPr>
        <w:tblStyle w:val="TableGrid"/>
        <w:tblW w:type="auto" w:w="0"/>
        <w:tblLook w:firstColumn="1" w:firstRow="1" w:lastColumn="0" w:lastRow="0" w:noHBand="0" w:noVBand="1" w:val="04A0"/>
      </w:tblPr>
      <w:tblGrid>
        <w:gridCol w:w="4702"/>
        <w:gridCol w:w="4702"/>
      </w:tblGrid>
      <w:tr>
        <w:tc>
          <w:tcPr>
            <w:tcW w:type="dxa" w:w="4702"/>
            <w:tcW w:w="1701" w:type="dxa"/>
            <w:shd w:fill="D9E2F3" w:val="clear"/>
          </w:tcPr>
          <w:p>
            <w:r>
              <w:rPr>
                <w:rFonts w:ascii="Times New Roman" w:hAnsi="Times New Roman"/>
                <w:b/>
                <w:sz w:val="20"/>
              </w:rPr>
              <w:t>Viết tắt</w:t>
            </w:r>
          </w:p>
        </w:tc>
        <w:tc>
          <w:tcPr>
            <w:tcW w:type="dxa" w:w="4702"/>
            <w:tcW w:w="7371" w:type="dxa"/>
            <w:shd w:fill="D9E2F3" w:val="clear"/>
          </w:tcPr>
          <w:p>
            <w:r>
              <w:rPr>
                <w:rFonts w:ascii="Times New Roman" w:hAnsi="Times New Roman"/>
                <w:b/>
                <w:sz w:val="20"/>
              </w:rPr>
              <w:t>Đầy đủ</w:t>
            </w:r>
          </w:p>
        </w:tc>
      </w:tr>
      <w:tr>
        <w:tc>
          <w:tcPr>
            <w:tcW w:type="dxa" w:w="4702"/>
            <w:tcW w:w="1701" w:type="dxa"/>
          </w:tcPr>
          <w:p>
            <w:r>
              <w:rPr>
                <w:rFonts w:ascii="Times New Roman" w:hAnsi="Times New Roman"/>
                <w:sz w:val="20"/>
              </w:rPr>
              <w:t>DASS-21</w:t>
            </w:r>
          </w:p>
        </w:tc>
        <w:tc>
          <w:tcPr>
            <w:tcW w:type="dxa" w:w="4702"/>
            <w:tcW w:w="7371" w:type="dxa"/>
          </w:tcPr>
          <w:p>
            <w:r>
              <w:rPr>
                <w:rFonts w:ascii="Times New Roman" w:hAnsi="Times New Roman"/>
                <w:sz w:val="20"/>
              </w:rPr>
              <w:t>Depression Anxiety Stress Scale 21-item — Thang đo Trầm cảm Lo âu Căng thẳng 21 mục</w:t>
            </w:r>
          </w:p>
        </w:tc>
      </w:tr>
      <w:tr>
        <w:tc>
          <w:tcPr>
            <w:tcW w:type="dxa" w:w="4702"/>
            <w:tcW w:w="1701" w:type="dxa"/>
          </w:tcPr>
          <w:p>
            <w:r>
              <w:rPr>
                <w:rFonts w:ascii="Times New Roman" w:hAnsi="Times New Roman"/>
                <w:sz w:val="20"/>
              </w:rPr>
              <w:t>SKTT</w:t>
            </w:r>
          </w:p>
        </w:tc>
        <w:tc>
          <w:tcPr>
            <w:tcW w:type="dxa" w:w="4702"/>
            <w:tcW w:w="7371" w:type="dxa"/>
          </w:tcPr>
          <w:p>
            <w:r>
              <w:rPr>
                <w:rFonts w:ascii="Times New Roman" w:hAnsi="Times New Roman"/>
                <w:sz w:val="20"/>
              </w:rPr>
              <w:t>Sức khỏe tâm thần</w:t>
            </w:r>
          </w:p>
        </w:tc>
      </w:tr>
      <w:tr>
        <w:tc>
          <w:tcPr>
            <w:tcW w:type="dxa" w:w="4702"/>
            <w:tcW w:w="1701" w:type="dxa"/>
          </w:tcPr>
          <w:p>
            <w:r>
              <w:rPr>
                <w:rFonts w:ascii="Times New Roman" w:hAnsi="Times New Roman"/>
                <w:sz w:val="20"/>
              </w:rPr>
              <w:t>KT-XH</w:t>
            </w:r>
          </w:p>
        </w:tc>
        <w:tc>
          <w:tcPr>
            <w:tcW w:type="dxa" w:w="4702"/>
            <w:tcW w:w="7371" w:type="dxa"/>
          </w:tcPr>
          <w:p>
            <w:r>
              <w:rPr>
                <w:rFonts w:ascii="Times New Roman" w:hAnsi="Times New Roman"/>
                <w:sz w:val="20"/>
              </w:rPr>
              <w:t>Kinh tế-xã hội</w:t>
            </w:r>
          </w:p>
        </w:tc>
      </w:tr>
      <w:tr>
        <w:tc>
          <w:tcPr>
            <w:tcW w:type="dxa" w:w="4702"/>
            <w:tcW w:w="1701" w:type="dxa"/>
          </w:tcPr>
          <w:p>
            <w:r>
              <w:rPr>
                <w:rFonts w:ascii="Times New Roman" w:hAnsi="Times New Roman"/>
                <w:sz w:val="20"/>
              </w:rPr>
              <w:t>THCS</w:t>
            </w:r>
          </w:p>
        </w:tc>
        <w:tc>
          <w:tcPr>
            <w:tcW w:type="dxa" w:w="4702"/>
            <w:tcW w:w="7371" w:type="dxa"/>
          </w:tcPr>
          <w:p>
            <w:r>
              <w:rPr>
                <w:rFonts w:ascii="Times New Roman" w:hAnsi="Times New Roman"/>
                <w:sz w:val="20"/>
              </w:rPr>
              <w:t>Trung học cơ sở</w:t>
            </w:r>
          </w:p>
        </w:tc>
      </w:tr>
      <w:tr>
        <w:tc>
          <w:tcPr>
            <w:tcW w:type="dxa" w:w="4702"/>
            <w:tcW w:w="1701" w:type="dxa"/>
          </w:tcPr>
          <w:p>
            <w:r>
              <w:rPr>
                <w:rFonts w:ascii="Times New Roman" w:hAnsi="Times New Roman"/>
                <w:sz w:val="20"/>
              </w:rPr>
              <w:t>IJCM</w:t>
            </w:r>
          </w:p>
        </w:tc>
        <w:tc>
          <w:tcPr>
            <w:tcW w:type="dxa" w:w="4702"/>
            <w:tcW w:w="7371" w:type="dxa"/>
          </w:tcPr>
          <w:p>
            <w:r>
              <w:rPr>
                <w:rFonts w:ascii="Times New Roman" w:hAnsi="Times New Roman"/>
                <w:sz w:val="20"/>
              </w:rPr>
              <w:t>Indian Journal of Community Medicine</w:t>
            </w:r>
          </w:p>
        </w:tc>
      </w:tr>
    </w:tbl>
    <w:p>
      <w:r>
        <w:rPr>
          <w:rFonts w:ascii="Times New Roman" w:hAnsi="Times New Roman"/>
          <w:b/>
          <w:color w:val="FF0000"/>
          <w:sz w:val="26"/>
        </w:rPr>
        <w:t>PHẢN BIỆN CHI TIẾT</w:t>
      </w:r>
    </w:p>
    <w:p>
      <w:r>
        <w:rPr>
          <w:rFonts w:ascii="Times New Roman" w:hAnsi="Times New Roman"/>
          <w:b/>
          <w:color w:val="FF0000"/>
          <w:sz w:val="24"/>
        </w:rPr>
        <w:t>Điểm mạnh:</w:t>
      </w:r>
    </w:p>
    <w:p>
      <w:r>
        <w:rPr>
          <w:rFonts w:ascii="Times New Roman" w:hAnsi="Times New Roman"/>
          <w:b w:val="0"/>
          <w:color w:val="FF0000"/>
          <w:sz w:val="24"/>
        </w:rPr>
        <w:t>1. Nghiên cứu tiên phong tại vùng Đông Bắc Ấn Độ — lấp đầy khoảng trống kiến thức quan trọng.</w:t>
      </w:r>
    </w:p>
    <w:p>
      <w:r>
        <w:rPr>
          <w:rFonts w:ascii="Times New Roman" w:hAnsi="Times New Roman"/>
          <w:b w:val="0"/>
          <w:color w:val="FF0000"/>
          <w:sz w:val="24"/>
        </w:rPr>
        <w:t>2. Thiết kế lấy mẫu ngẫu nhiên tốt: 10/120 trường, đảm bảo nam nữ bằng nhau.</w:t>
      </w:r>
    </w:p>
    <w:p>
      <w:r>
        <w:rPr>
          <w:rFonts w:ascii="Times New Roman" w:hAnsi="Times New Roman"/>
          <w:b w:val="0"/>
          <w:color w:val="FF0000"/>
          <w:sz w:val="24"/>
        </w:rPr>
        <w:t>3. DASS-21 được dịch, dịch ngược và xác nhận bởi chuyên gia — quy trình chuẩn.</w:t>
      </w:r>
    </w:p>
    <w:p>
      <w:r>
        <w:rPr>
          <w:rFonts w:ascii="Times New Roman" w:hAnsi="Times New Roman"/>
          <w:b/>
          <w:color w:val="FF0000"/>
          <w:sz w:val="24"/>
        </w:rPr>
        <w:t>Hạn chế:</w:t>
      </w:r>
    </w:p>
    <w:p>
      <w:r>
        <w:rPr>
          <w:rFonts w:ascii="Times New Roman" w:hAnsi="Times New Roman"/>
          <w:b w:val="0"/>
          <w:color w:val="FF0000"/>
          <w:sz w:val="24"/>
        </w:rPr>
        <w:t>1. Chỉ sử dụng chi-square (đơn biến) — không thể đánh giá ảnh hưởng độc lập. Chuẩn tối thiểu là hồi quy logistic đa biến (Nakie và cộng sự, 2022).</w:t>
      </w:r>
    </w:p>
    <w:p>
      <w:r>
        <w:rPr>
          <w:rFonts w:ascii="Times New Roman" w:hAnsi="Times New Roman"/>
          <w:b w:val="0"/>
          <w:color w:val="FF0000"/>
          <w:sz w:val="24"/>
        </w:rPr>
        <w:t>2. DASS-21 tiếng Assam thiếu báo cáo Cronbach alpha — không rõ độ tin cậy.</w:t>
      </w:r>
    </w:p>
    <w:p>
      <w:r>
        <w:rPr>
          <w:rFonts w:ascii="Times New Roman" w:hAnsi="Times New Roman"/>
          <w:b w:val="0"/>
          <w:color w:val="FF0000"/>
          <w:sz w:val="24"/>
        </w:rPr>
        <w:t>3. Thu thập 4/2019–6/2020 trùng giai đoạn đầu COVID-19 nhưng không đề cập tác động (Racine và cộng sự, 2021).</w:t>
      </w:r>
    </w:p>
    <w:p>
      <w:r>
        <w:rPr>
          <w:rFonts w:ascii="Times New Roman" w:hAnsi="Times New Roman"/>
          <w:b w:val="0"/>
          <w:color w:val="FF0000"/>
          <w:sz w:val="24"/>
        </w:rPr>
        <w:t>4. Nam &gt; nữ về lo âu (P = 0,049) — giá trị P rất sát ngưỡng 0,05, có thể thay đổi nếu cỡ mẫu lớn hơn.</w:t>
      </w:r>
    </w:p>
    <w:p>
      <w:r>
        <w:rPr>
          <w:rFonts w:ascii="Times New Roman" w:hAnsi="Times New Roman"/>
          <w:b w:val="0"/>
          <w:color w:val="FF0000"/>
          <w:sz w:val="24"/>
        </w:rPr>
        <w:t>5. Tác giả không giải thích sâu cơ chế văn hóa bộ lạc Đông Bắc khiến nam lo âu hơn nữ.</w:t>
      </w:r>
    </w:p>
    <w:p>
      <w:r>
        <w:rPr>
          <w:rFonts w:ascii="Times New Roman" w:hAnsi="Times New Roman"/>
          <w:b/>
          <w:color w:val="FF0000"/>
          <w:sz w:val="24"/>
        </w:rPr>
        <w:t>Khoảng trống nghiên cứu (Gap):</w:t>
      </w:r>
    </w:p>
    <w:p>
      <w:r>
        <w:rPr>
          <w:rFonts w:ascii="Times New Roman" w:hAnsi="Times New Roman"/>
          <w:b w:val="0"/>
          <w:color w:val="FF0000"/>
          <w:sz w:val="24"/>
        </w:rPr>
        <w:t>1. Cần nghiên cứu quy mô lớn hơn tại nhiều quận Đông Bắc Ấn Độ với hồi quy đa biến.</w:t>
      </w:r>
    </w:p>
    <w:p>
      <w:r>
        <w:rPr>
          <w:rFonts w:ascii="Times New Roman" w:hAnsi="Times New Roman"/>
          <w:b w:val="0"/>
          <w:color w:val="FF0000"/>
          <w:sz w:val="24"/>
        </w:rPr>
        <w:t>2. Khảo sát sâu yếu tố văn hóa bộ lạc đặc thù giải thích tại sao nam &gt; nữ.</w:t>
      </w:r>
    </w:p>
    <w:p>
      <w:r>
        <w:rPr>
          <w:rFonts w:ascii="Times New Roman" w:hAnsi="Times New Roman"/>
          <w:b w:val="0"/>
          <w:color w:val="FF0000"/>
          <w:sz w:val="24"/>
        </w:rPr>
        <w:t>3. So sánh thành thị-nông thôn trong cùng khu vực.</w:t>
      </w:r>
    </w:p>
    <w:p>
      <w:r>
        <w:rPr>
          <w:rFonts w:ascii="Times New Roman" w:hAnsi="Times New Roman"/>
          <w:b w:val="0"/>
          <w:color w:val="FF0000"/>
          <w:sz w:val="24"/>
        </w:rPr>
        <w:t>4. Xác thực DASS-21 tiếng Assam với Cronbach alpha đầy đủ.</w:t>
      </w:r>
    </w:p>
    <w:p>
      <w:r>
        <w:rPr>
          <w:rFonts w:ascii="Times New Roman" w:hAnsi="Times New Roman"/>
          <w:b w:val="0"/>
          <w:color w:val="FF0000"/>
          <w:sz w:val="24"/>
        </w:rPr>
        <w:t>5. Nghiên cứu can thiệp nhắm vào giảm chơi game và hỗ trợ gia đình đơn thân.</w:t>
      </w:r>
    </w:p>
    <w:p>
      <w:r>
        <w:rPr>
          <w:rFonts w:ascii="Times New Roman" w:hAnsi="Times New Roman"/>
          <w:b/>
          <w:color w:val="FF0000"/>
          <w:sz w:val="26"/>
        </w:rPr>
        <w:t>QUAN ĐIỂM PHẢN BIỆN / CRITICAL REVIEW</w:t>
      </w:r>
    </w:p>
    <w:p>
      <w:r>
        <w:rPr>
          <w:rFonts w:ascii="Times New Roman" w:hAnsi="Times New Roman"/>
          <w:b/>
          <w:color w:val="FF0000"/>
          <w:sz w:val="24"/>
        </w:rPr>
        <w:t>Điểm mạnh:</w:t>
      </w:r>
    </w:p>
    <w:p>
      <w:r>
        <w:rPr>
          <w:rFonts w:ascii="Times New Roman" w:hAnsi="Times New Roman"/>
          <w:b w:val="0"/>
          <w:color w:val="FF0000"/>
          <w:sz w:val="24"/>
        </w:rPr>
        <w:t>• IJCM. n = 400, Ấn Độ (Nam Á — gần bối cảnh LMIC).</w:t>
      </w:r>
    </w:p>
    <w:p>
      <w:r>
        <w:rPr>
          <w:rFonts w:ascii="Times New Roman" w:hAnsi="Times New Roman"/>
          <w:b/>
          <w:color w:val="FF0000"/>
          <w:sz w:val="24"/>
        </w:rPr>
        <w:t>Hạn chế chi tiết:</w:t>
      </w:r>
    </w:p>
    <w:p>
      <w:r>
        <w:rPr>
          <w:rFonts w:ascii="Times New Roman" w:hAnsi="Times New Roman"/>
          <w:b w:val="0"/>
          <w:color w:val="FF0000"/>
          <w:sz w:val="24"/>
        </w:rPr>
        <w:t>• Chỉ Assam, Ấn Độ. DASS-21 sàng lọc.</w:t>
      </w:r>
    </w:p>
    <w:p>
      <w:r>
        <w:rPr>
          <w:rFonts w:ascii="Times New Roman" w:hAnsi="Times New Roman"/>
          <w:b/>
          <w:color w:val="FF0000"/>
          <w:sz w:val="24"/>
        </w:rPr>
        <w:t>Khoảng trống nghiên cứu / Gap:</w:t>
      </w:r>
    </w:p>
    <w:p>
      <w:r>
        <w:rPr>
          <w:rFonts w:ascii="Times New Roman" w:hAnsi="Times New Roman"/>
          <w:b w:val="0"/>
          <w:color w:val="FF0000"/>
          <w:sz w:val="24"/>
        </w:rPr>
        <w:t>• So sánh VN vs Ấn Độ (cùng LMIC) — yếu tố văn hóa khác.</w:t>
      </w:r>
    </w:p>
    <w:sectPr w:rsidR="00FC693F" w:rsidRPr="0006063C" w:rsidSect="00034616">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2013-12-23T23:15:00Z</dcterms:created>
  <dcterms:modified xsi:type="dcterms:W3CDTF">2013-12-23T23:15:00Z</dcterms:modified>
  <cp:category/>
  <dc:identifier/>
  <cp:version/>
</cp:coreProperties>
</file>