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https://doi.org/10.3390/ijerph17114079</w:t>
      </w:r>
    </w:p>
    <w:p/>
    <w:p>
      <w:pPr>
        <w:pStyle w:val="Heading1"/>
      </w:pPr>
      <w:r>
        <w:rPr>
          <w:rFonts w:ascii="Times New Roman" w:hAnsi="Times New Roman"/>
          <w:color w:val="000000"/>
        </w:rPr>
        <w:t>Phân tích hồ sơ tiềm ẩn về lo âu ở học sinh trung học cơ sở tại các vùng nông thôn kém phát triển của Trung Quốc</w:t>
      </w:r>
    </w:p>
    <w:p>
      <w:pPr>
        <w:pStyle w:val="Heading2"/>
      </w:pPr>
      <w:r>
        <w:rPr>
          <w:rFonts w:ascii="Times New Roman" w:hAnsi="Times New Roman"/>
          <w:color w:val="000000"/>
        </w:rPr>
        <w:t>A Latent Profile Analysis of Anxiety among Junior High School Students in Less Developed Rural Regions of China</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A Latent Profile Analysis of Anxiety among Junior High School Students in Less Developed Rural Regions of China</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Phân tích hồ sơ tiềm ẩn về lo âu ở học sinh trung học cơ sở tại các vùng nông thôn kém phát triển của Trung Quốc</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Xiaotong Wen, Yixiang Lin, Yuchen Liu, Katie Starcevich, Fang Yuan, Xiuzhu Wang, Xiaoxu Xie, Zhaokang Yuan</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Trường Y tế Công cộng, Đại học Nam Xương, Giang Tây; ĐH Carnegie Mellon; ĐH Nevada, Reno; ĐH Hawaii tại Mānoa; ĐH Y khoa Phúc Kiến</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International Journal of Environmental Research and Public Health, 2020, 17(11):4079</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10.3390/ijerph17114079</w:t>
            </w:r>
          </w:p>
        </w:tc>
      </w:tr>
      <w:tr>
        <w:tc>
          <w:tcPr>
            <w:tcW w:type="dxa" w:w="4702"/>
            <w:tcW w:w="1984" w:type="dxa"/>
            <w:shd w:fill="D9E2F3" w:val="clear"/>
          </w:tcPr>
          <w:p>
            <w:r>
              <w:rPr>
                <w:rFonts w:ascii="Times New Roman" w:hAnsi="Times New Roman"/>
                <w:b/>
                <w:sz w:val="20"/>
              </w:rPr>
              <w:t>PMID</w:t>
            </w:r>
          </w:p>
        </w:tc>
        <w:tc>
          <w:tcPr>
            <w:tcW w:type="dxa" w:w="4702"/>
            <w:tcW w:w="7087" w:type="dxa"/>
          </w:tcPr>
          <w:p>
            <w:r>
              <w:rPr>
                <w:rFonts w:ascii="Times New Roman" w:hAnsi="Times New Roman"/>
                <w:sz w:val="20"/>
              </w:rPr>
              <w:t>32521646 | PMCID: PMC7312008</w:t>
            </w:r>
          </w:p>
        </w:tc>
      </w:tr>
    </w:tbl>
    <w:p>
      <w:r>
        <w:rPr>
          <w:rFonts w:ascii="Times New Roman" w:hAnsi="Times New Roman"/>
          <w:i/>
          <w:color w:val="808080"/>
          <w:sz w:val="18"/>
        </w:rPr>
        <w:t>--- Trang 1/14, Int J Environ Res Public Health, 17(11):4079, 2020 ---</w:t>
      </w:r>
    </w:p>
    <w:p>
      <w:pPr>
        <w:pStyle w:val="Heading2"/>
      </w:pPr>
      <w:r>
        <w:rPr>
          <w:rFonts w:ascii="Times New Roman" w:hAnsi="Times New Roman"/>
          <w:color w:val="000000"/>
        </w:rPr>
        <w:t>TÓM TẮT</w:t>
      </w:r>
    </w:p>
    <w:p>
      <w:r>
        <w:rPr>
          <w:rFonts w:ascii="Times New Roman" w:hAnsi="Times New Roman"/>
          <w:b w:val="0"/>
          <w:i w:val="0"/>
          <w:sz w:val="24"/>
        </w:rPr>
        <w:t>Mục đích: Tìm hiểu các loại lo âu tiềm ẩn ở học sinh trung học cơ sở (THCS) bằng cách phân tích tình trạng lo âu hiện tại và các yếu tố ảnh hưởng tại vùng nông thôn kém phát triển tỉnh Giang Tây, Trung Quốc.</w:t>
      </w:r>
    </w:p>
    <w:p>
      <w:r>
        <w:rPr>
          <w:rFonts w:ascii="Times New Roman" w:hAnsi="Times New Roman"/>
          <w:b w:val="0"/>
          <w:color w:val="FF0000"/>
          <w:sz w:val="24"/>
        </w:rPr>
        <w:t>Phương pháp: Lấy mẫu cụm ngẫu nhiên phân tầng nhiều giai đoạn. 900 học sinh THCS từ lớp 9 đến lớp 12 tại 6 huyện nông thôn. Công cụ: Trắc nghiệm Sức khỏe Tâm thần (MHT — 100 mục, 8 thang nội dung). Phân tích hồ sơ tiềm ẩn (LPA) bằng Mplus 7.4.</w:t>
      </w:r>
    </w:p>
    <w:p>
      <w:r>
        <w:rPr>
          <w:rFonts w:ascii="Times New Roman" w:hAnsi="Times New Roman"/>
          <w:b w:val="0"/>
          <w:color w:val="FF0000"/>
          <w:sz w:val="24"/>
        </w:rPr>
        <w:t>Kết quả: LPA xác định 3 hồ sơ: lo âu nhẹ 19,22%, lo âu trung bình 56,00%, lo âu nặng 24,78%. NAM có nhiều khả năng phát triển lo âu trung bình và nặng HƠN NỮ (OR lo âu trung bình = 0,649 cho nam, tức nữ cao hơn; OR lo âu nặng = 0,262 cho nam, tức NỮ cao gấp gần 4 lần — ĐÂY LÀ TRÁI NGƯỢC: thực tế nữ &gt; nam trong nghiên cứu này). Áp lực học tập rất cao: OR = 11,579 cho lo âu nặng. Hỗ trợ SKTT tại trường đầy đủ: OR = 0,562 (bảo vệ).</w:t>
      </w:r>
    </w:p>
    <w:p>
      <w:r>
        <w:rPr>
          <w:rFonts w:ascii="Times New Roman" w:hAnsi="Times New Roman"/>
          <w:b w:val="0"/>
          <w:i w:val="0"/>
          <w:sz w:val="24"/>
        </w:rPr>
        <w:t>Kết luận: Cần thiết lập dịch vụ tư vấn SKTT tại trường học và giảm áp lực học tập để phòng ngừa lo âu nghiêm trọng.</w:t>
      </w:r>
    </w:p>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Phương pháp LPA (Latent Profile Analysis) độc đáo — tiếp cận tập trung vào cá nhân (person-centered) thay vì biến.</w:t>
      </w:r>
    </w:p>
    <w:p>
      <w:r>
        <w:rPr>
          <w:rFonts w:ascii="Times New Roman" w:hAnsi="Times New Roman"/>
          <w:b w:val="0"/>
          <w:i w:val="0"/>
          <w:sz w:val="24"/>
        </w:rPr>
        <w:t>• Áp lực học tập rất cao là yếu tố nguy cơ mạnh nhất (OR = 11,579 cho lo âu nặng) — phản ánh đặc thù hệ thống giáo dục Trung Quốc.</w:t>
      </w:r>
    </w:p>
    <w:p>
      <w:r>
        <w:rPr>
          <w:rFonts w:ascii="Times New Roman" w:hAnsi="Times New Roman"/>
          <w:b w:val="0"/>
          <w:i w:val="0"/>
          <w:sz w:val="24"/>
        </w:rPr>
        <w:t>• Hỗ trợ SKTT tại trường là yếu tố bảo vệ (OR = 0,562) — bằng chứng cho can thiệp dựa trên trường học.</w:t>
      </w:r>
    </w:p>
    <w:p>
      <w:r>
        <w:rPr>
          <w:rFonts w:ascii="Times New Roman" w:hAnsi="Times New Roman"/>
          <w:b/>
          <w:i w:val="0"/>
          <w:sz w:val="24"/>
        </w:rPr>
        <w:t>Hạn chế:</w:t>
      </w:r>
    </w:p>
    <w:p>
      <w:r>
        <w:rPr>
          <w:rFonts w:ascii="Times New Roman" w:hAnsi="Times New Roman"/>
          <w:b w:val="0"/>
          <w:i w:val="0"/>
          <w:sz w:val="24"/>
        </w:rPr>
        <w:t>• Cỡ mẫu 900 — khiêm tốn, chỉ nông thôn 1 tỉnh.</w:t>
      </w:r>
    </w:p>
    <w:p>
      <w:r>
        <w:rPr>
          <w:rFonts w:ascii="Times New Roman" w:hAnsi="Times New Roman"/>
          <w:b w:val="0"/>
          <w:i w:val="0"/>
          <w:sz w:val="24"/>
        </w:rPr>
        <w:t>• MHT là thang đo đặc thù Trung Quốc, khó so sánh quốc tế (không dùng GAD-7/DASS-21).</w:t>
      </w:r>
    </w:p>
    <w:p>
      <w:r>
        <w:rPr>
          <w:rFonts w:ascii="Times New Roman" w:hAnsi="Times New Roman"/>
          <w:b w:val="0"/>
          <w:i w:val="0"/>
          <w:sz w:val="24"/>
        </w:rPr>
        <w:t>• Thiết kế cắt ngang — không thể suy luận nhân quả.</w:t>
      </w:r>
    </w:p>
    <w:p>
      <w:r>
        <w:rPr>
          <w:rFonts w:ascii="Times New Roman" w:hAnsi="Times New Roman"/>
          <w:b/>
          <w:i w:val="0"/>
          <w:sz w:val="24"/>
        </w:rPr>
        <w:t>Lưu ý về giới tính:</w:t>
      </w:r>
    </w:p>
    <w:p>
      <w:r>
        <w:rPr>
          <w:rFonts w:ascii="Times New Roman" w:hAnsi="Times New Roman"/>
          <w:b w:val="0"/>
          <w:i w:val="0"/>
          <w:sz w:val="24"/>
        </w:rPr>
        <w:t>• Trong nghiên cứu này, NỮ thực tế lo âu hơn nam (nữ lo âu nặng 63,23% so với nam 36,77%). OR = 0,262 cho nam nghĩa là nam có nguy cơ lo âu nặng chỉ bằng 26,2% so với nữ — tức NỮ cao gấp gần 4 lần. Đây KHÔNG phải nghiên cứu "nam &gt; nữ" như ban đầu tưởng. Cần phân biệt: trong nhóm lo âu nặng, nữ chiếm 63,23% nhưng trong tổng mẫu, tỷ lệ phần trăm nam có lo âu cũng cao.</w:t>
      </w:r>
    </w:p>
    <w:p>
      <w:pPr>
        <w:pStyle w:val="Heading2"/>
      </w:pPr>
      <w:r>
        <w:rPr>
          <w:rFonts w:ascii="Times New Roman" w:hAnsi="Times New Roman"/>
          <w:color w:val="000000"/>
        </w:rPr>
        <w:t>1. GIỚI THIỆU</w:t>
      </w:r>
    </w:p>
    <w:p>
      <w:r>
        <w:rPr>
          <w:rFonts w:ascii="Times New Roman" w:hAnsi="Times New Roman"/>
          <w:i/>
          <w:color w:val="808080"/>
          <w:sz w:val="18"/>
        </w:rPr>
        <w:t>--- Trang 1–2/14, Int J Environ Res Public Health, 17(11):4079, 2020 ---</w:t>
      </w:r>
    </w:p>
    <w:p>
      <w:r>
        <w:rPr>
          <w:rFonts w:ascii="Times New Roman" w:hAnsi="Times New Roman"/>
          <w:b w:val="0"/>
          <w:i w:val="0"/>
          <w:sz w:val="24"/>
        </w:rPr>
        <w:t>Trung học cơ sở là giai đoạn quan trọng cho sự trưởng thành và phát triển cá nhân, đồng thời cũng là giai đoạn hình thành nhân cách và giá trị. Tuy nhiên, gia đình và nhà trường chủ yếu tập trung vào phát triển thể chất, thành tích học tập và hành vi, trong khi sức khỏe tâm thần và cảm xúc của học sinh bị bỏ qua nghiêm trọng.</w:t>
      </w:r>
    </w:p>
    <w:p>
      <w:r>
        <w:rPr>
          <w:rFonts w:ascii="Times New Roman" w:hAnsi="Times New Roman"/>
          <w:b w:val="0"/>
          <w:i w:val="0"/>
          <w:sz w:val="24"/>
        </w:rPr>
        <w:t>Hệ thống giáo dục Trung Quốc bị chỉ trích rộng rãi vì tập trung quá mức vào học thuật, tạo ra mức căng thẳng độc hại, bỏ qua sức khỏe cảm xúc. Hệ quả: tỷ lệ lo âu cao ở học sinh. Một tổng quan hệ thống tại 44 quốc gia ước tính tỷ lệ lo âu nặng toàn cầu là 7,3%. Tại Mỹ: 31%, châu Âu: 14%.</w:t>
      </w:r>
    </w:p>
    <w:p>
      <w:r>
        <w:rPr>
          <w:rFonts w:ascii="Times New Roman" w:hAnsi="Times New Roman"/>
          <w:b w:val="0"/>
          <w:i w:val="0"/>
          <w:sz w:val="24"/>
        </w:rPr>
        <w:t>Hầu hết nghiên cứu trong nước tập trung vào khu vực thành thị. Thanh thiếu niên nông thôn cần được quan tâm nhiều hơn. Nghiên cứu này khảo sát học sinh THCS nông thôn tỉnh Giang Tây.</w:t>
      </w:r>
    </w:p>
    <w:p>
      <w:r>
        <w:rPr>
          <w:rFonts w:ascii="Times New Roman" w:hAnsi="Times New Roman"/>
          <w:b w:val="0"/>
          <w:i w:val="0"/>
          <w:sz w:val="24"/>
        </w:rPr>
        <w:t>Bốn giả thuyết: (1) 3 phân loại tiềm ẩn; (2) SKTT trường đầy đủ → lo âu thấp; (3) Thành tích cao → lo âu cao hơn; (4) Áp lực học tập cao → lo âu cao hơn.</w:t>
      </w:r>
    </w:p>
    <w:p>
      <w:pPr>
        <w:pStyle w:val="Heading2"/>
      </w:pPr>
      <w:r>
        <w:rPr>
          <w:rFonts w:ascii="Times New Roman" w:hAnsi="Times New Roman"/>
          <w:color w:val="000000"/>
        </w:rPr>
        <w:t>2. PHƯƠNG PHÁP</w:t>
      </w:r>
    </w:p>
    <w:p>
      <w:r>
        <w:rPr>
          <w:rFonts w:ascii="Times New Roman" w:hAnsi="Times New Roman"/>
          <w:i/>
          <w:color w:val="808080"/>
          <w:sz w:val="18"/>
        </w:rPr>
        <w:t>--- Trang 3–6/14, Int J Environ Res Public Health, 17(11):4079, 2020 ---</w:t>
      </w:r>
    </w:p>
    <w:p>
      <w:r>
        <w:rPr>
          <w:rFonts w:ascii="Times New Roman" w:hAnsi="Times New Roman"/>
          <w:b/>
          <w:i w:val="0"/>
          <w:sz w:val="24"/>
        </w:rPr>
        <w:t>2.1. Đối tượng và lấy mẫu:</w:t>
      </w:r>
    </w:p>
    <w:p>
      <w:r>
        <w:rPr>
          <w:rFonts w:ascii="Times New Roman" w:hAnsi="Times New Roman"/>
          <w:b w:val="0"/>
          <w:i w:val="0"/>
          <w:sz w:val="24"/>
        </w:rPr>
        <w:t>900 học sinh THCS tại 6 huyện nông thôn tỉnh Giang Tây: Vu Đô, Thượng Nhiêu, Đô Xương, Phong Thành, Đông Hương, Toại Xuyên. Tuổi trung bình: 14,14 ± 1,32. Lấy mẫu cụm ngẫu nhiên phân tầng nhiều giai đoạn: Ủy ban Y tế tỉnh chọn huyện → chọn xã → chọn trường → chọn ngẫu nhiên lớp từ mỗi khối.</w:t>
      </w:r>
    </w:p>
    <w:p>
      <w:r>
        <w:rPr>
          <w:rFonts w:ascii="Times New Roman" w:hAnsi="Times New Roman"/>
          <w:b/>
          <w:i w:val="0"/>
          <w:sz w:val="24"/>
        </w:rPr>
        <w:t>2.2. Công cụ:</w:t>
      </w:r>
    </w:p>
    <w:p>
      <w:r>
        <w:rPr>
          <w:rFonts w:ascii="Times New Roman" w:hAnsi="Times New Roman"/>
          <w:b w:val="0"/>
          <w:i w:val="0"/>
          <w:sz w:val="24"/>
        </w:rPr>
        <w:t>Trắc nghiệm Sức khỏe Tâm thần (MHT — Mental Health Test): 100 câu hỏi, 8 thang nội dung + 1 thang hiệu lực. Thang đo lo âu tiêu chuẩn hóa cho THCS tại Trung Quốc, chuyển thể từ bản Nhật Bản (Kiyoshi Suzuki) bởi Giáo sư Bucheng Zhou (ĐH Sư phạm Hoa Đông, 1991). Cronbach alpha: 0,878. Độ tin cậy: 0,84–0,88. Kiểm tra lại: 0,78–0,86.</w:t>
      </w:r>
    </w:p>
    <w:p>
      <w:r>
        <w:rPr>
          <w:rFonts w:ascii="Times New Roman" w:hAnsi="Times New Roman"/>
          <w:b w:val="0"/>
          <w:i w:val="0"/>
          <w:sz w:val="24"/>
        </w:rPr>
        <w:t>8 thang nội dung: (1) Lo âu học tập, (2) Lo âu quan hệ, (3) Xu hướng cô đơn, (4) Xu hướng tự trách, (5) Xu hướng dị ứng, (6) Triệu chứng thể chất, (7) Xu hướng sợ hãi, (8) Xu hướng bốc đồng.</w:t>
      </w:r>
    </w:p>
    <w:p>
      <w:r>
        <w:rPr>
          <w:rFonts w:ascii="Times New Roman" w:hAnsi="Times New Roman"/>
          <w:b/>
          <w:i w:val="0"/>
          <w:sz w:val="24"/>
        </w:rPr>
        <w:t>2.3. Phân tích:</w:t>
      </w:r>
    </w:p>
    <w:p>
      <w:r>
        <w:rPr>
          <w:rFonts w:ascii="Times New Roman" w:hAnsi="Times New Roman"/>
          <w:b w:val="0"/>
          <w:i w:val="0"/>
          <w:sz w:val="24"/>
        </w:rPr>
        <w:t>Phân tích hồ sơ tiềm ẩn (LPA) bằng Mplus 7.4. Đánh giá: AIC, BIC, ABIC, entropy, LMRT, VLMR, BLRT. Hồi quy logistic đa biến bằng SPSS 24.0.</w:t>
      </w:r>
    </w:p>
    <w:p>
      <w:pPr>
        <w:pStyle w:val="Heading2"/>
      </w:pPr>
      <w:r>
        <w:rPr>
          <w:rFonts w:ascii="Times New Roman" w:hAnsi="Times New Roman"/>
          <w:color w:val="000000"/>
        </w:rPr>
        <w:t>3. KẾT QUẢ</w:t>
      </w:r>
    </w:p>
    <w:p>
      <w:r>
        <w:rPr>
          <w:rFonts w:ascii="Times New Roman" w:hAnsi="Times New Roman"/>
          <w:i/>
          <w:color w:val="808080"/>
          <w:sz w:val="18"/>
        </w:rPr>
        <w:t>--- Trang 7–10/14, Int J Environ Res Public Health, 17(11):4079, 2020 ---</w:t>
      </w:r>
    </w:p>
    <w:p>
      <w:r>
        <w:rPr>
          <w:rFonts w:ascii="Times New Roman" w:hAnsi="Times New Roman"/>
          <w:b/>
          <w:i w:val="0"/>
          <w:sz w:val="24"/>
        </w:rPr>
        <w:t>3.1. Phân tích hồ sơ tiềm ẩn (LPA):</w:t>
      </w:r>
    </w:p>
    <w:p>
      <w:r>
        <w:rPr>
          <w:rFonts w:ascii="Times New Roman" w:hAnsi="Times New Roman"/>
          <w:b w:val="0"/>
          <w:i w:val="0"/>
          <w:sz w:val="24"/>
        </w:rPr>
        <w:t>Giải pháp 3 lớp phù hợp nhất (entropy = 0,816, LMRT/VLMR/BLRT P &lt; 0,001):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Hồ sơ</w:t>
            </w:r>
          </w:p>
        </w:tc>
        <w:tc>
          <w:tcPr>
            <w:tcW w:type="dxa" w:w="2351"/>
            <w:tcW w:w="850" w:type="dxa"/>
            <w:shd w:fill="D9E2F3" w:val="clear"/>
          </w:tcPr>
          <w:p>
            <w:pPr>
              <w:jc w:val="center"/>
            </w:pPr>
            <w:r>
              <w:rPr>
                <w:rFonts w:ascii="Times New Roman" w:hAnsi="Times New Roman"/>
                <w:b/>
                <w:sz w:val="20"/>
              </w:rPr>
              <w:t>n</w:t>
            </w:r>
          </w:p>
        </w:tc>
        <w:tc>
          <w:tcPr>
            <w:tcW w:type="dxa" w:w="2351"/>
            <w:tcW w:w="1134" w:type="dxa"/>
            <w:shd w:fill="D9E2F3" w:val="clear"/>
          </w:tcPr>
          <w:p>
            <w:pPr>
              <w:jc w:val="center"/>
            </w:pPr>
            <w:r>
              <w:rPr>
                <w:rFonts w:ascii="Times New Roman" w:hAnsi="Times New Roman"/>
                <w:b/>
                <w:sz w:val="20"/>
              </w:rPr>
              <w:t>Tỷ lệ</w:t>
            </w:r>
          </w:p>
        </w:tc>
        <w:tc>
          <w:tcPr>
            <w:tcW w:type="dxa" w:w="2351"/>
            <w:tcW w:w="2835" w:type="dxa"/>
            <w:shd w:fill="D9E2F3" w:val="clear"/>
          </w:tcPr>
          <w:p>
            <w:pPr>
              <w:jc w:val="center"/>
            </w:pPr>
            <w:r>
              <w:rPr>
                <w:rFonts w:ascii="Times New Roman" w:hAnsi="Times New Roman"/>
                <w:b/>
                <w:sz w:val="20"/>
              </w:rPr>
              <w:t>Đặc điểm</w:t>
            </w:r>
          </w:p>
        </w:tc>
      </w:tr>
      <w:tr>
        <w:tc>
          <w:tcPr>
            <w:tcW w:type="dxa" w:w="2351"/>
            <w:tcW w:w="1984" w:type="dxa"/>
          </w:tcPr>
          <w:p>
            <w:r>
              <w:rPr>
                <w:rFonts w:ascii="Times New Roman" w:hAnsi="Times New Roman"/>
                <w:sz w:val="20"/>
              </w:rPr>
              <w:t>Lớp 1: Lo âu nhẹ</w:t>
            </w:r>
          </w:p>
        </w:tc>
        <w:tc>
          <w:tcPr>
            <w:tcW w:type="dxa" w:w="2351"/>
            <w:tcW w:w="850" w:type="dxa"/>
          </w:tcPr>
          <w:p>
            <w:r>
              <w:rPr>
                <w:rFonts w:ascii="Times New Roman" w:hAnsi="Times New Roman"/>
                <w:sz w:val="20"/>
              </w:rPr>
              <w:t>173</w:t>
            </w:r>
          </w:p>
        </w:tc>
        <w:tc>
          <w:tcPr>
            <w:tcW w:type="dxa" w:w="2351"/>
            <w:tcW w:w="1134" w:type="dxa"/>
          </w:tcPr>
          <w:p>
            <w:r>
              <w:rPr>
                <w:rFonts w:ascii="Times New Roman" w:hAnsi="Times New Roman"/>
                <w:sz w:val="20"/>
              </w:rPr>
              <w:t>19,22%</w:t>
            </w:r>
          </w:p>
        </w:tc>
        <w:tc>
          <w:tcPr>
            <w:tcW w:type="dxa" w:w="2351"/>
            <w:tcW w:w="2835" w:type="dxa"/>
          </w:tcPr>
          <w:p>
            <w:r>
              <w:rPr>
                <w:rFonts w:ascii="Times New Roman" w:hAnsi="Times New Roman"/>
                <w:sz w:val="20"/>
              </w:rPr>
              <w:t>Điểm thấp nhất trên 8 yếu tố</w:t>
            </w:r>
          </w:p>
        </w:tc>
      </w:tr>
      <w:tr>
        <w:tc>
          <w:tcPr>
            <w:tcW w:type="dxa" w:w="2351"/>
            <w:tcW w:w="1984" w:type="dxa"/>
          </w:tcPr>
          <w:p>
            <w:r>
              <w:rPr>
                <w:rFonts w:ascii="Times New Roman" w:hAnsi="Times New Roman"/>
                <w:sz w:val="20"/>
              </w:rPr>
              <w:t>Lớp 2: Lo âu trung bình</w:t>
            </w:r>
          </w:p>
        </w:tc>
        <w:tc>
          <w:tcPr>
            <w:tcW w:type="dxa" w:w="2351"/>
            <w:tcW w:w="850" w:type="dxa"/>
          </w:tcPr>
          <w:p>
            <w:r>
              <w:rPr>
                <w:rFonts w:ascii="Times New Roman" w:hAnsi="Times New Roman"/>
                <w:sz w:val="20"/>
              </w:rPr>
              <w:t>504</w:t>
            </w:r>
          </w:p>
        </w:tc>
        <w:tc>
          <w:tcPr>
            <w:tcW w:type="dxa" w:w="2351"/>
            <w:tcW w:w="1134" w:type="dxa"/>
          </w:tcPr>
          <w:p>
            <w:r>
              <w:rPr>
                <w:rFonts w:ascii="Times New Roman" w:hAnsi="Times New Roman"/>
                <w:sz w:val="20"/>
              </w:rPr>
              <w:t>56,00%</w:t>
            </w:r>
          </w:p>
        </w:tc>
        <w:tc>
          <w:tcPr>
            <w:tcW w:type="dxa" w:w="2351"/>
            <w:tcW w:w="2835" w:type="dxa"/>
          </w:tcPr>
          <w:p>
            <w:r>
              <w:rPr>
                <w:rFonts w:ascii="Times New Roman" w:hAnsi="Times New Roman"/>
                <w:sz w:val="20"/>
              </w:rPr>
              <w:t>Điểm trung bình</w:t>
            </w:r>
          </w:p>
        </w:tc>
      </w:tr>
      <w:tr>
        <w:tc>
          <w:tcPr>
            <w:tcW w:type="dxa" w:w="2351"/>
            <w:tcW w:w="1984" w:type="dxa"/>
          </w:tcPr>
          <w:p>
            <w:r>
              <w:rPr>
                <w:rFonts w:ascii="Times New Roman" w:hAnsi="Times New Roman"/>
                <w:sz w:val="20"/>
              </w:rPr>
              <w:t>Lớp 3: Lo âu nặng</w:t>
            </w:r>
          </w:p>
        </w:tc>
        <w:tc>
          <w:tcPr>
            <w:tcW w:type="dxa" w:w="2351"/>
            <w:tcW w:w="850" w:type="dxa"/>
          </w:tcPr>
          <w:p>
            <w:r>
              <w:rPr>
                <w:rFonts w:ascii="Times New Roman" w:hAnsi="Times New Roman"/>
                <w:sz w:val="20"/>
              </w:rPr>
              <w:t>223</w:t>
            </w:r>
          </w:p>
        </w:tc>
        <w:tc>
          <w:tcPr>
            <w:tcW w:type="dxa" w:w="2351"/>
            <w:tcW w:w="1134" w:type="dxa"/>
          </w:tcPr>
          <w:p>
            <w:r>
              <w:rPr>
                <w:rFonts w:ascii="Times New Roman" w:hAnsi="Times New Roman"/>
                <w:sz w:val="20"/>
              </w:rPr>
              <w:t>24,78%</w:t>
            </w:r>
          </w:p>
        </w:tc>
        <w:tc>
          <w:tcPr>
            <w:tcW w:type="dxa" w:w="2351"/>
            <w:tcW w:w="2835" w:type="dxa"/>
          </w:tcPr>
          <w:p>
            <w:r>
              <w:rPr>
                <w:rFonts w:ascii="Times New Roman" w:hAnsi="Times New Roman"/>
                <w:sz w:val="20"/>
              </w:rPr>
              <w:t>Điểm cao nhất trên 8 yếu tố</w:t>
            </w:r>
          </w:p>
        </w:tc>
      </w:tr>
    </w:tbl>
    <w:p/>
    <w:p>
      <w:r>
        <w:rPr>
          <w:rFonts w:ascii="Times New Roman" w:hAnsi="Times New Roman"/>
          <w:b/>
          <w:i w:val="0"/>
          <w:sz w:val="24"/>
        </w:rPr>
        <w:t>3.2. Phân bố giới tính trong nhóm lo âu: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Giới tính</w:t>
            </w:r>
          </w:p>
        </w:tc>
        <w:tc>
          <w:tcPr>
            <w:tcW w:type="dxa" w:w="2351"/>
            <w:tcW w:w="1701" w:type="dxa"/>
            <w:shd w:fill="D9E2F3" w:val="clear"/>
          </w:tcPr>
          <w:p>
            <w:pPr>
              <w:jc w:val="center"/>
            </w:pPr>
            <w:r>
              <w:rPr>
                <w:rFonts w:ascii="Times New Roman" w:hAnsi="Times New Roman"/>
                <w:b/>
                <w:sz w:val="20"/>
              </w:rPr>
              <w:t>Lo âu nhẹ</w:t>
            </w:r>
          </w:p>
        </w:tc>
        <w:tc>
          <w:tcPr>
            <w:tcW w:type="dxa" w:w="2351"/>
            <w:tcW w:w="1701" w:type="dxa"/>
            <w:shd w:fill="D9E2F3" w:val="clear"/>
          </w:tcPr>
          <w:p>
            <w:pPr>
              <w:jc w:val="center"/>
            </w:pPr>
            <w:r>
              <w:rPr>
                <w:rFonts w:ascii="Times New Roman" w:hAnsi="Times New Roman"/>
                <w:b/>
                <w:sz w:val="20"/>
              </w:rPr>
              <w:t>Lo âu trung bình</w:t>
            </w:r>
          </w:p>
        </w:tc>
        <w:tc>
          <w:tcPr>
            <w:tcW w:type="dxa" w:w="2351"/>
            <w:tcW w:w="1701" w:type="dxa"/>
            <w:shd w:fill="D9E2F3" w:val="clear"/>
          </w:tcPr>
          <w:p>
            <w:pPr>
              <w:jc w:val="center"/>
            </w:pPr>
            <w:r>
              <w:rPr>
                <w:rFonts w:ascii="Times New Roman" w:hAnsi="Times New Roman"/>
                <w:b/>
                <w:sz w:val="20"/>
              </w:rPr>
              <w:t>Lo âu nặng</w:t>
            </w:r>
          </w:p>
        </w:tc>
      </w:tr>
      <w:tr>
        <w:tc>
          <w:tcPr>
            <w:tcW w:type="dxa" w:w="2351"/>
            <w:tcW w:w="2268" w:type="dxa"/>
          </w:tcPr>
          <w:p>
            <w:r>
              <w:rPr>
                <w:rFonts w:ascii="Times New Roman" w:hAnsi="Times New Roman"/>
                <w:sz w:val="20"/>
              </w:rPr>
              <w:t>Nam (n=467, 51,89%)</w:t>
            </w:r>
          </w:p>
        </w:tc>
        <w:tc>
          <w:tcPr>
            <w:tcW w:type="dxa" w:w="2351"/>
            <w:tcW w:w="1701" w:type="dxa"/>
          </w:tcPr>
          <w:p>
            <w:r>
              <w:rPr>
                <w:rFonts w:ascii="Times New Roman" w:hAnsi="Times New Roman"/>
                <w:sz w:val="20"/>
              </w:rPr>
              <w:t>110 (63,58%)</w:t>
            </w:r>
          </w:p>
        </w:tc>
        <w:tc>
          <w:tcPr>
            <w:tcW w:type="dxa" w:w="2351"/>
            <w:tcW w:w="1701" w:type="dxa"/>
          </w:tcPr>
          <w:p>
            <w:r>
              <w:rPr>
                <w:rFonts w:ascii="Times New Roman" w:hAnsi="Times New Roman"/>
                <w:sz w:val="20"/>
              </w:rPr>
              <w:t>275 (54,56%)</w:t>
            </w:r>
          </w:p>
        </w:tc>
        <w:tc>
          <w:tcPr>
            <w:tcW w:type="dxa" w:w="2351"/>
            <w:tcW w:w="1701" w:type="dxa"/>
          </w:tcPr>
          <w:p>
            <w:r>
              <w:rPr>
                <w:rFonts w:ascii="Times New Roman" w:hAnsi="Times New Roman"/>
                <w:sz w:val="20"/>
              </w:rPr>
              <w:t>82 (36,77%)</w:t>
            </w:r>
          </w:p>
        </w:tc>
      </w:tr>
      <w:tr>
        <w:tc>
          <w:tcPr>
            <w:tcW w:type="dxa" w:w="2351"/>
            <w:tcW w:w="2268" w:type="dxa"/>
          </w:tcPr>
          <w:p>
            <w:r>
              <w:rPr>
                <w:rFonts w:ascii="Times New Roman" w:hAnsi="Times New Roman"/>
                <w:sz w:val="20"/>
              </w:rPr>
              <w:t>Nữ (n=433, 48,11%)</w:t>
            </w:r>
          </w:p>
        </w:tc>
        <w:tc>
          <w:tcPr>
            <w:tcW w:type="dxa" w:w="2351"/>
            <w:tcW w:w="1701" w:type="dxa"/>
          </w:tcPr>
          <w:p>
            <w:r>
              <w:rPr>
                <w:rFonts w:ascii="Times New Roman" w:hAnsi="Times New Roman"/>
                <w:sz w:val="20"/>
              </w:rPr>
              <w:t>63 (36,42%)</w:t>
            </w:r>
          </w:p>
        </w:tc>
        <w:tc>
          <w:tcPr>
            <w:tcW w:type="dxa" w:w="2351"/>
            <w:tcW w:w="1701" w:type="dxa"/>
          </w:tcPr>
          <w:p>
            <w:r>
              <w:rPr>
                <w:rFonts w:ascii="Times New Roman" w:hAnsi="Times New Roman"/>
                <w:sz w:val="20"/>
              </w:rPr>
              <w:t>229 (45,44%)</w:t>
            </w:r>
          </w:p>
        </w:tc>
        <w:tc>
          <w:tcPr>
            <w:tcW w:type="dxa" w:w="2351"/>
            <w:tcW w:w="1701" w:type="dxa"/>
          </w:tcPr>
          <w:p>
            <w:r>
              <w:rPr>
                <w:rFonts w:ascii="Times New Roman" w:hAnsi="Times New Roman"/>
                <w:sz w:val="20"/>
              </w:rPr>
              <w:t>141 (63,23%)</w:t>
            </w:r>
          </w:p>
        </w:tc>
      </w:tr>
    </w:tbl>
    <w:p/>
    <w:p>
      <w:r>
        <w:rPr>
          <w:rFonts w:ascii="Times New Roman" w:hAnsi="Times New Roman"/>
          <w:b/>
          <w:i w:val="0"/>
          <w:sz w:val="24"/>
        </w:rPr>
        <w:t>⚠️ Nữ chiếm 63,23% nhóm lo âu nặng (so với nam 36,77%). Giới tính có ý nghĩa thống kê (χ² = 31,337, P &lt; 0,001).</w:t>
      </w:r>
    </w:p>
    <w:p/>
    <w:p>
      <w:r>
        <w:rPr>
          <w:rFonts w:ascii="Times New Roman" w:hAnsi="Times New Roman"/>
          <w:b/>
          <w:i w:val="0"/>
          <w:sz w:val="24"/>
        </w:rPr>
        <w:t>3.3. Hồi quy logistic đa biến (nhóm tham chiếu: lo âu nhẹ):</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3118" w:type="dxa"/>
            <w:shd w:fill="D9E2F3" w:val="clear"/>
          </w:tcPr>
          <w:p>
            <w:pPr>
              <w:jc w:val="center"/>
            </w:pPr>
            <w:r>
              <w:rPr>
                <w:rFonts w:ascii="Times New Roman" w:hAnsi="Times New Roman"/>
                <w:b/>
                <w:sz w:val="20"/>
              </w:rPr>
              <w:t>Biến</w:t>
            </w:r>
          </w:p>
        </w:tc>
        <w:tc>
          <w:tcPr>
            <w:tcW w:type="dxa" w:w="3135"/>
            <w:tcW w:w="1701" w:type="dxa"/>
            <w:shd w:fill="D9E2F3" w:val="clear"/>
          </w:tcPr>
          <w:p>
            <w:pPr>
              <w:jc w:val="center"/>
            </w:pPr>
            <w:r>
              <w:rPr>
                <w:rFonts w:ascii="Times New Roman" w:hAnsi="Times New Roman"/>
                <w:b/>
                <w:sz w:val="20"/>
              </w:rPr>
              <w:t>Lo âu TB (OR)</w:t>
            </w:r>
          </w:p>
        </w:tc>
        <w:tc>
          <w:tcPr>
            <w:tcW w:type="dxa" w:w="3135"/>
            <w:tcW w:w="1984" w:type="dxa"/>
            <w:shd w:fill="D9E2F3" w:val="clear"/>
          </w:tcPr>
          <w:p>
            <w:pPr>
              <w:jc w:val="center"/>
            </w:pPr>
            <w:r>
              <w:rPr>
                <w:rFonts w:ascii="Times New Roman" w:hAnsi="Times New Roman"/>
                <w:b/>
                <w:sz w:val="20"/>
              </w:rPr>
              <w:t>Lo âu nặng (OR)</w:t>
            </w:r>
          </w:p>
        </w:tc>
      </w:tr>
      <w:tr>
        <w:tc>
          <w:tcPr>
            <w:tcW w:type="dxa" w:w="3135"/>
            <w:tcW w:w="3118" w:type="dxa"/>
          </w:tcPr>
          <w:p>
            <w:r>
              <w:rPr>
                <w:rFonts w:ascii="Times New Roman" w:hAnsi="Times New Roman"/>
                <w:sz w:val="20"/>
              </w:rPr>
              <w:t>Giới tính nam (vs nữ)</w:t>
            </w:r>
          </w:p>
        </w:tc>
        <w:tc>
          <w:tcPr>
            <w:tcW w:type="dxa" w:w="3135"/>
            <w:tcW w:w="1701" w:type="dxa"/>
          </w:tcPr>
          <w:p>
            <w:r>
              <w:rPr>
                <w:rFonts w:ascii="Times New Roman" w:hAnsi="Times New Roman"/>
                <w:sz w:val="20"/>
              </w:rPr>
              <w:t>0,649*</w:t>
            </w:r>
          </w:p>
        </w:tc>
        <w:tc>
          <w:tcPr>
            <w:tcW w:type="dxa" w:w="3135"/>
            <w:tcW w:w="1984" w:type="dxa"/>
          </w:tcPr>
          <w:p>
            <w:r>
              <w:rPr>
                <w:rFonts w:ascii="Times New Roman" w:hAnsi="Times New Roman"/>
                <w:sz w:val="20"/>
              </w:rPr>
              <w:t>0,262* (nam = bảo vệ)</w:t>
            </w:r>
          </w:p>
        </w:tc>
      </w:tr>
      <w:tr>
        <w:tc>
          <w:tcPr>
            <w:tcW w:type="dxa" w:w="3135"/>
            <w:tcW w:w="3118" w:type="dxa"/>
          </w:tcPr>
          <w:p>
            <w:r>
              <w:rPr>
                <w:rFonts w:ascii="Times New Roman" w:hAnsi="Times New Roman"/>
                <w:sz w:val="20"/>
              </w:rPr>
              <w:t>Áp lực học tập rất cao (vs rất thấp)</w:t>
            </w:r>
          </w:p>
        </w:tc>
        <w:tc>
          <w:tcPr>
            <w:tcW w:type="dxa" w:w="3135"/>
            <w:tcW w:w="1701" w:type="dxa"/>
          </w:tcPr>
          <w:p>
            <w:r>
              <w:rPr>
                <w:rFonts w:ascii="Times New Roman" w:hAnsi="Times New Roman"/>
                <w:sz w:val="20"/>
              </w:rPr>
              <w:t>6,523*</w:t>
            </w:r>
          </w:p>
        </w:tc>
        <w:tc>
          <w:tcPr>
            <w:tcW w:type="dxa" w:w="3135"/>
            <w:tcW w:w="1984" w:type="dxa"/>
          </w:tcPr>
          <w:p>
            <w:r>
              <w:rPr>
                <w:rFonts w:ascii="Times New Roman" w:hAnsi="Times New Roman"/>
                <w:sz w:val="20"/>
              </w:rPr>
              <w:t>11,579*</w:t>
            </w:r>
          </w:p>
        </w:tc>
      </w:tr>
      <w:tr>
        <w:tc>
          <w:tcPr>
            <w:tcW w:type="dxa" w:w="3135"/>
            <w:tcW w:w="3118" w:type="dxa"/>
          </w:tcPr>
          <w:p>
            <w:r>
              <w:rPr>
                <w:rFonts w:ascii="Times New Roman" w:hAnsi="Times New Roman"/>
                <w:sz w:val="20"/>
              </w:rPr>
              <w:t>Áp lực học tập cao (vs rất thấp)</w:t>
            </w:r>
          </w:p>
        </w:tc>
        <w:tc>
          <w:tcPr>
            <w:tcW w:type="dxa" w:w="3135"/>
            <w:tcW w:w="1701" w:type="dxa"/>
          </w:tcPr>
          <w:p>
            <w:r>
              <w:rPr>
                <w:rFonts w:ascii="Times New Roman" w:hAnsi="Times New Roman"/>
                <w:sz w:val="20"/>
              </w:rPr>
              <w:t>6,122*</w:t>
            </w:r>
          </w:p>
        </w:tc>
        <w:tc>
          <w:tcPr>
            <w:tcW w:type="dxa" w:w="3135"/>
            <w:tcW w:w="1984" w:type="dxa"/>
          </w:tcPr>
          <w:p>
            <w:r>
              <w:rPr>
                <w:rFonts w:ascii="Times New Roman" w:hAnsi="Times New Roman"/>
                <w:sz w:val="20"/>
              </w:rPr>
              <w:t>5,894*</w:t>
            </w:r>
          </w:p>
        </w:tc>
      </w:tr>
      <w:tr>
        <w:tc>
          <w:tcPr>
            <w:tcW w:type="dxa" w:w="3135"/>
            <w:tcW w:w="3118" w:type="dxa"/>
          </w:tcPr>
          <w:p>
            <w:r>
              <w:rPr>
                <w:rFonts w:ascii="Times New Roman" w:hAnsi="Times New Roman"/>
                <w:sz w:val="20"/>
              </w:rPr>
              <w:t>SKTT trường đầy đủ (vs không chắc)</w:t>
            </w:r>
          </w:p>
        </w:tc>
        <w:tc>
          <w:tcPr>
            <w:tcW w:type="dxa" w:w="3135"/>
            <w:tcW w:w="1701" w:type="dxa"/>
          </w:tcPr>
          <w:p>
            <w:r>
              <w:rPr>
                <w:rFonts w:ascii="Times New Roman" w:hAnsi="Times New Roman"/>
                <w:sz w:val="20"/>
              </w:rPr>
              <w:t>—</w:t>
            </w:r>
          </w:p>
        </w:tc>
        <w:tc>
          <w:tcPr>
            <w:tcW w:type="dxa" w:w="3135"/>
            <w:tcW w:w="1984" w:type="dxa"/>
          </w:tcPr>
          <w:p>
            <w:r>
              <w:rPr>
                <w:rFonts w:ascii="Times New Roman" w:hAnsi="Times New Roman"/>
                <w:sz w:val="20"/>
              </w:rPr>
              <w:t>0,562* (bảo vệ)</w:t>
            </w:r>
          </w:p>
        </w:tc>
      </w:tr>
      <w:tr>
        <w:tc>
          <w:tcPr>
            <w:tcW w:type="dxa" w:w="3135"/>
            <w:tcW w:w="3118" w:type="dxa"/>
          </w:tcPr>
          <w:p>
            <w:r>
              <w:rPr>
                <w:rFonts w:ascii="Times New Roman" w:hAnsi="Times New Roman"/>
                <w:sz w:val="20"/>
              </w:rPr>
              <w:t>Thành tích xuất sắc (vs không đạt)</w:t>
            </w:r>
          </w:p>
        </w:tc>
        <w:tc>
          <w:tcPr>
            <w:tcW w:type="dxa" w:w="3135"/>
            <w:tcW w:w="1701" w:type="dxa"/>
          </w:tcPr>
          <w:p>
            <w:r>
              <w:rPr>
                <w:rFonts w:ascii="Times New Roman" w:hAnsi="Times New Roman"/>
                <w:sz w:val="20"/>
              </w:rPr>
              <w:t>0,377*</w:t>
            </w:r>
          </w:p>
        </w:tc>
        <w:tc>
          <w:tcPr>
            <w:tcW w:type="dxa" w:w="3135"/>
            <w:tcW w:w="1984" w:type="dxa"/>
          </w:tcPr>
          <w:p>
            <w:r>
              <w:rPr>
                <w:rFonts w:ascii="Times New Roman" w:hAnsi="Times New Roman"/>
                <w:sz w:val="20"/>
              </w:rPr>
              <w:t>—</w:t>
            </w:r>
          </w:p>
        </w:tc>
      </w:tr>
      <w:tr>
        <w:tc>
          <w:tcPr>
            <w:tcW w:type="dxa" w:w="3135"/>
            <w:tcW w:w="3118" w:type="dxa"/>
          </w:tcPr>
          <w:p>
            <w:r>
              <w:rPr>
                <w:rFonts w:ascii="Times New Roman" w:hAnsi="Times New Roman"/>
                <w:sz w:val="20"/>
              </w:rPr>
              <w:t>Thành tích tốt (vs không đạt)</w:t>
            </w:r>
          </w:p>
        </w:tc>
        <w:tc>
          <w:tcPr>
            <w:tcW w:type="dxa" w:w="3135"/>
            <w:tcW w:w="1701" w:type="dxa"/>
          </w:tcPr>
          <w:p>
            <w:r>
              <w:rPr>
                <w:rFonts w:ascii="Times New Roman" w:hAnsi="Times New Roman"/>
                <w:sz w:val="20"/>
              </w:rPr>
              <w:t>—</w:t>
            </w:r>
          </w:p>
        </w:tc>
        <w:tc>
          <w:tcPr>
            <w:tcW w:type="dxa" w:w="3135"/>
            <w:tcW w:w="1984" w:type="dxa"/>
          </w:tcPr>
          <w:p>
            <w:r>
              <w:rPr>
                <w:rFonts w:ascii="Times New Roman" w:hAnsi="Times New Roman"/>
                <w:sz w:val="20"/>
              </w:rPr>
              <w:t>0,362*</w:t>
            </w:r>
          </w:p>
        </w:tc>
      </w:tr>
      <w:tr>
        <w:tc>
          <w:tcPr>
            <w:tcW w:type="dxa" w:w="3135"/>
            <w:tcW w:w="3118" w:type="dxa"/>
          </w:tcPr>
          <w:p>
            <w:r>
              <w:rPr>
                <w:rFonts w:ascii="Times New Roman" w:hAnsi="Times New Roman"/>
                <w:sz w:val="20"/>
              </w:rPr>
              <w:t>Tuổi 15 (vs 12)</w:t>
            </w:r>
          </w:p>
        </w:tc>
        <w:tc>
          <w:tcPr>
            <w:tcW w:type="dxa" w:w="3135"/>
            <w:tcW w:w="1701" w:type="dxa"/>
          </w:tcPr>
          <w:p>
            <w:r>
              <w:rPr>
                <w:rFonts w:ascii="Times New Roman" w:hAnsi="Times New Roman"/>
                <w:sz w:val="20"/>
              </w:rPr>
              <w:t>—</w:t>
            </w:r>
          </w:p>
        </w:tc>
        <w:tc>
          <w:tcPr>
            <w:tcW w:type="dxa" w:w="3135"/>
            <w:tcW w:w="1984" w:type="dxa"/>
          </w:tcPr>
          <w:p>
            <w:r>
              <w:rPr>
                <w:rFonts w:ascii="Times New Roman" w:hAnsi="Times New Roman"/>
                <w:sz w:val="20"/>
              </w:rPr>
              <w:t>0,461*</w:t>
            </w:r>
          </w:p>
        </w:tc>
      </w:tr>
    </w:tbl>
    <w:p>
      <w:r>
        <w:rPr>
          <w:rFonts w:ascii="Times New Roman" w:hAnsi="Times New Roman"/>
          <w:b w:val="0"/>
          <w:i/>
          <w:sz w:val="20"/>
        </w:rPr>
        <w:t>* P &lt; 0,05</w:t>
      </w:r>
    </w:p>
    <w:p>
      <w:pPr>
        <w:pStyle w:val="Heading2"/>
      </w:pPr>
      <w:r>
        <w:rPr>
          <w:rFonts w:ascii="Times New Roman" w:hAnsi="Times New Roman"/>
          <w:color w:val="000000"/>
        </w:rPr>
        <w:t>4. THẢO LUẬN</w:t>
      </w:r>
    </w:p>
    <w:p>
      <w:r>
        <w:rPr>
          <w:rFonts w:ascii="Times New Roman" w:hAnsi="Times New Roman"/>
          <w:i/>
          <w:color w:val="808080"/>
          <w:sz w:val="18"/>
        </w:rPr>
        <w:t>--- Trang 11–12/14, Int J Environ Res Public Health, 17(11):4079, 2020 ---</w:t>
      </w:r>
    </w:p>
    <w:p>
      <w:r>
        <w:rPr>
          <w:rFonts w:ascii="Times New Roman" w:hAnsi="Times New Roman"/>
          <w:b w:val="0"/>
          <w:i w:val="0"/>
          <w:sz w:val="24"/>
        </w:rPr>
        <w:t>Lo âu nặng chiếm 24,78% — thấp hơn một báo cáo khác (35%) nhưng vẫn đáng lo ngại. Phân tích hồi quy cho thấy nam có nguy cơ thấp hơn nữ (OR lo âu nặng = 0,262), có thể do nữ nhạy cảm hơn với môi trường và biến động cảm xúc, vai trò hormone sinh dục trong điều hòa cảm xúc.</w:t>
      </w:r>
    </w:p>
    <w:p>
      <w:r>
        <w:rPr>
          <w:rFonts w:ascii="Times New Roman" w:hAnsi="Times New Roman"/>
          <w:b w:val="0"/>
          <w:i w:val="0"/>
          <w:sz w:val="24"/>
        </w:rPr>
        <w:t>Áp lực học tập rất cao là yếu tố nguy cơ mạnh nhất (OR = 11,579 cho lo âu nặng so với áp lực rất thấp). Đây là hệ quả của hệ thống giáo dục Trung Quốc tập trung vào thi cử.</w:t>
      </w:r>
    </w:p>
    <w:p>
      <w:r>
        <w:rPr>
          <w:rFonts w:ascii="Times New Roman" w:hAnsi="Times New Roman"/>
          <w:b w:val="0"/>
          <w:i w:val="0"/>
          <w:sz w:val="24"/>
        </w:rPr>
        <w:t>Hỗ trợ SKTT tại trường đầy đủ giảm nguy cơ lo âu nặng (OR = 0,562). Khuyến nghị: thiết lập phòng tư vấn tâm lý chuyên nghiệp tại trường.</w:t>
      </w:r>
    </w:p>
    <w:p>
      <w:r>
        <w:rPr>
          <w:rFonts w:ascii="Times New Roman" w:hAnsi="Times New Roman"/>
          <w:b w:val="0"/>
          <w:i w:val="0"/>
          <w:sz w:val="24"/>
        </w:rPr>
        <w:t>Hạn chế: Thiết kế cắt ngang, tự báo cáo, chỉ thanh thiếu niên đang đi học.</w:t>
      </w:r>
    </w:p>
    <w:p>
      <w:pPr>
        <w:pStyle w:val="Heading2"/>
      </w:pPr>
      <w:r>
        <w:rPr>
          <w:rFonts w:ascii="Times New Roman" w:hAnsi="Times New Roman"/>
          <w:color w:val="000000"/>
        </w:rPr>
        <w:t>TÀI LIỆU THAM KHẢO</w:t>
      </w:r>
    </w:p>
    <w:p>
      <w:r>
        <w:rPr>
          <w:rFonts w:ascii="Times New Roman" w:hAnsi="Times New Roman"/>
          <w:b w:val="0"/>
          <w:i/>
          <w:sz w:val="24"/>
        </w:rPr>
        <w:t>[Giữ nguyên 53 tài liệu tham khảo tiếng Anh từ bài gốc — xem bản PDF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MHT</w:t>
            </w:r>
          </w:p>
        </w:tc>
        <w:tc>
          <w:tcPr>
            <w:tcW w:type="dxa" w:w="4702"/>
            <w:tcW w:w="7371" w:type="dxa"/>
          </w:tcPr>
          <w:p>
            <w:r>
              <w:rPr>
                <w:rFonts w:ascii="Times New Roman" w:hAnsi="Times New Roman"/>
                <w:sz w:val="20"/>
              </w:rPr>
              <w:t>Mental Health Test — Trắc nghiệm Sức khỏe Tâm thần</w:t>
            </w:r>
          </w:p>
        </w:tc>
      </w:tr>
      <w:tr>
        <w:tc>
          <w:tcPr>
            <w:tcW w:type="dxa" w:w="4702"/>
            <w:tcW w:w="1701" w:type="dxa"/>
          </w:tcPr>
          <w:p>
            <w:r>
              <w:rPr>
                <w:rFonts w:ascii="Times New Roman" w:hAnsi="Times New Roman"/>
                <w:sz w:val="20"/>
              </w:rPr>
              <w:t>LPA</w:t>
            </w:r>
          </w:p>
        </w:tc>
        <w:tc>
          <w:tcPr>
            <w:tcW w:type="dxa" w:w="4702"/>
            <w:tcW w:w="7371" w:type="dxa"/>
          </w:tcPr>
          <w:p>
            <w:r>
              <w:rPr>
                <w:rFonts w:ascii="Times New Roman" w:hAnsi="Times New Roman"/>
                <w:sz w:val="20"/>
              </w:rPr>
              <w:t>Latent Profile Analysis — Phân tích Hồ sơ Tiềm ẩn</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w:t>
            </w:r>
          </w:p>
        </w:tc>
      </w:tr>
      <w:tr>
        <w:tc>
          <w:tcPr>
            <w:tcW w:type="dxa" w:w="4702"/>
            <w:tcW w:w="1701" w:type="dxa"/>
          </w:tcPr>
          <w:p>
            <w:r>
              <w:rPr>
                <w:rFonts w:ascii="Times New Roman" w:hAnsi="Times New Roman"/>
                <w:sz w:val="20"/>
              </w:rPr>
              <w:t>OR</w:t>
            </w:r>
          </w:p>
        </w:tc>
        <w:tc>
          <w:tcPr>
            <w:tcW w:type="dxa" w:w="4702"/>
            <w:tcW w:w="7371" w:type="dxa"/>
          </w:tcPr>
          <w:p>
            <w:r>
              <w:rPr>
                <w:rFonts w:ascii="Times New Roman" w:hAnsi="Times New Roman"/>
                <w:sz w:val="20"/>
              </w:rPr>
              <w:t>Odds Ratio — Tỷ số chênh</w:t>
            </w:r>
          </w:p>
        </w:tc>
      </w:tr>
      <w:tr>
        <w:tc>
          <w:tcPr>
            <w:tcW w:type="dxa" w:w="4702"/>
            <w:tcW w:w="1701" w:type="dxa"/>
          </w:tcPr>
          <w:p>
            <w:r>
              <w:rPr>
                <w:rFonts w:ascii="Times New Roman" w:hAnsi="Times New Roman"/>
                <w:sz w:val="20"/>
              </w:rPr>
              <w:t>AIC</w:t>
            </w:r>
          </w:p>
        </w:tc>
        <w:tc>
          <w:tcPr>
            <w:tcW w:type="dxa" w:w="4702"/>
            <w:tcW w:w="7371" w:type="dxa"/>
          </w:tcPr>
          <w:p>
            <w:r>
              <w:rPr>
                <w:rFonts w:ascii="Times New Roman" w:hAnsi="Times New Roman"/>
                <w:sz w:val="20"/>
              </w:rPr>
              <w:t>Akaike Information Criterion — Tiêu chí thông tin Akaike</w:t>
            </w:r>
          </w:p>
        </w:tc>
      </w:tr>
      <w:tr>
        <w:tc>
          <w:tcPr>
            <w:tcW w:type="dxa" w:w="4702"/>
            <w:tcW w:w="1701" w:type="dxa"/>
          </w:tcPr>
          <w:p>
            <w:r>
              <w:rPr>
                <w:rFonts w:ascii="Times New Roman" w:hAnsi="Times New Roman"/>
                <w:sz w:val="20"/>
              </w:rPr>
              <w:t>BIC</w:t>
            </w:r>
          </w:p>
        </w:tc>
        <w:tc>
          <w:tcPr>
            <w:tcW w:type="dxa" w:w="4702"/>
            <w:tcW w:w="7371" w:type="dxa"/>
          </w:tcPr>
          <w:p>
            <w:r>
              <w:rPr>
                <w:rFonts w:ascii="Times New Roman" w:hAnsi="Times New Roman"/>
                <w:sz w:val="20"/>
              </w:rPr>
              <w:t>Bayesian Information Criterion — Tiêu chí thông tin Bayes</w:t>
            </w:r>
          </w:p>
        </w:tc>
      </w:tr>
      <w:tr>
        <w:tc>
          <w:tcPr>
            <w:tcW w:type="dxa" w:w="4702"/>
            <w:tcW w:w="1701" w:type="dxa"/>
          </w:tcPr>
          <w:p>
            <w:r>
              <w:rPr>
                <w:rFonts w:ascii="Times New Roman" w:hAnsi="Times New Roman"/>
                <w:sz w:val="20"/>
              </w:rPr>
              <w:t>LBC</w:t>
            </w:r>
          </w:p>
        </w:tc>
        <w:tc>
          <w:tcPr>
            <w:tcW w:type="dxa" w:w="4702"/>
            <w:tcW w:w="7371" w:type="dxa"/>
          </w:tcPr>
          <w:p>
            <w:r>
              <w:rPr>
                <w:rFonts w:ascii="Times New Roman" w:hAnsi="Times New Roman"/>
                <w:sz w:val="20"/>
              </w:rPr>
              <w:t>Left-Behind Children — Trẻ em bị bỏ lại</w:t>
            </w:r>
          </w:p>
        </w:tc>
      </w:tr>
      <w:tr>
        <w:tc>
          <w:tcPr>
            <w:tcW w:type="dxa" w:w="4702"/>
            <w:tcW w:w="1701" w:type="dxa"/>
          </w:tcPr>
          <w:p>
            <w:r>
              <w:rPr>
                <w:rFonts w:ascii="Times New Roman" w:hAnsi="Times New Roman"/>
                <w:sz w:val="20"/>
              </w:rPr>
              <w:t>IJERPH</w:t>
            </w:r>
          </w:p>
        </w:tc>
        <w:tc>
          <w:tcPr>
            <w:tcW w:type="dxa" w:w="4702"/>
            <w:tcW w:w="7371" w:type="dxa"/>
          </w:tcPr>
          <w:p>
            <w:r>
              <w:rPr>
                <w:rFonts w:ascii="Times New Roman" w:hAnsi="Times New Roman"/>
                <w:sz w:val="20"/>
              </w:rPr>
              <w:t>International Journal of Environmental Research and Public Health</w:t>
            </w:r>
          </w:p>
        </w:tc>
      </w:tr>
    </w:tbl>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1. Phương pháp LPA độc đáo, tập trung vào cá nhân — ít nghiên cứu lo âu thanh thiếu niên sử dụng.</w:t>
      </w:r>
    </w:p>
    <w:p>
      <w:r>
        <w:rPr>
          <w:rFonts w:ascii="Times New Roman" w:hAnsi="Times New Roman"/>
          <w:b w:val="0"/>
          <w:color w:val="FF0000"/>
          <w:sz w:val="24"/>
        </w:rPr>
        <w:t>2. Xác định 3 hồ sơ lo âu khách quan bằng tiêu chuẩn thống kê (BIC, entropy, BLRT).</w:t>
      </w:r>
    </w:p>
    <w:p>
      <w:r>
        <w:rPr>
          <w:rFonts w:ascii="Times New Roman" w:hAnsi="Times New Roman"/>
          <w:b w:val="0"/>
          <w:color w:val="FF0000"/>
          <w:sz w:val="24"/>
        </w:rPr>
        <w:t>3. Phát hiện áp lực học tập (OR = 11,579) — dữ liệu mạnh cho chính sách giáo dục.</w:t>
      </w:r>
    </w:p>
    <w:p>
      <w:r>
        <w:rPr>
          <w:rFonts w:ascii="Times New Roman" w:hAnsi="Times New Roman"/>
          <w:b/>
          <w:color w:val="FF0000"/>
          <w:sz w:val="24"/>
        </w:rPr>
        <w:t>Hạn chế:</w:t>
      </w:r>
    </w:p>
    <w:p>
      <w:r>
        <w:rPr>
          <w:rFonts w:ascii="Times New Roman" w:hAnsi="Times New Roman"/>
          <w:b w:val="0"/>
          <w:color w:val="FF0000"/>
          <w:sz w:val="24"/>
        </w:rPr>
        <w:t>1. Cỡ mẫu 900 khiêm tốn, chỉ nông thôn 1 tỉnh — hạn chế tính khái quát.</w:t>
      </w:r>
    </w:p>
    <w:p>
      <w:r>
        <w:rPr>
          <w:rFonts w:ascii="Times New Roman" w:hAnsi="Times New Roman"/>
          <w:b w:val="0"/>
          <w:color w:val="FF0000"/>
          <w:sz w:val="24"/>
        </w:rPr>
        <w:t>2. MHT là thang đo đặc thù Trung Quốc (1991), khó so sánh quốc tế. Không sử dụng GAD-7 hay DASS-21.</w:t>
      </w:r>
    </w:p>
    <w:p>
      <w:r>
        <w:rPr>
          <w:rFonts w:ascii="Times New Roman" w:hAnsi="Times New Roman"/>
          <w:b w:val="0"/>
          <w:color w:val="FF0000"/>
          <w:sz w:val="24"/>
        </w:rPr>
        <w:t>3. Không có phân tích đa biến kiểm soát đồng thời tất cả biến (chỉ hồi quy logistic với biến giả).</w:t>
      </w:r>
    </w:p>
    <w:p>
      <w:r>
        <w:rPr>
          <w:rFonts w:ascii="Times New Roman" w:hAnsi="Times New Roman"/>
          <w:b w:val="0"/>
          <w:color w:val="FF0000"/>
          <w:sz w:val="24"/>
        </w:rPr>
        <w:t>4. Tiêu đề "lớp 9 đến lớp 12" nhưng THCS Trung Quốc chỉ đến lớp 9 — không nhất quán.</w:t>
      </w:r>
    </w:p>
    <w:p>
      <w:r>
        <w:rPr>
          <w:rFonts w:ascii="Times New Roman" w:hAnsi="Times New Roman"/>
          <w:b w:val="0"/>
          <w:color w:val="FF0000"/>
          <w:sz w:val="24"/>
        </w:rPr>
        <w:t>5. Tạp chí IJERPH đã bị loại khỏi SCIE vào năm 2023 do lo ngại chất lượng.</w:t>
      </w:r>
    </w:p>
    <w:p>
      <w:r>
        <w:rPr>
          <w:rFonts w:ascii="Times New Roman" w:hAnsi="Times New Roman"/>
          <w:b/>
          <w:color w:val="FF0000"/>
          <w:sz w:val="24"/>
        </w:rPr>
        <w:t>Khoảng trống nghiên cứu (Gap):</w:t>
      </w:r>
    </w:p>
    <w:p>
      <w:r>
        <w:rPr>
          <w:rFonts w:ascii="Times New Roman" w:hAnsi="Times New Roman"/>
          <w:b w:val="0"/>
          <w:color w:val="FF0000"/>
          <w:sz w:val="24"/>
        </w:rPr>
        <w:t>1. Nghiên cứu dọc theo dõi lo âu từ THCS đến THPT.</w:t>
      </w:r>
    </w:p>
    <w:p>
      <w:r>
        <w:rPr>
          <w:rFonts w:ascii="Times New Roman" w:hAnsi="Times New Roman"/>
          <w:b w:val="0"/>
          <w:color w:val="FF0000"/>
          <w:sz w:val="24"/>
        </w:rPr>
        <w:t>2. So sánh nông thôn-thành thị cùng tỉnh bằng cùng công cụ.</w:t>
      </w:r>
    </w:p>
    <w:p>
      <w:r>
        <w:rPr>
          <w:rFonts w:ascii="Times New Roman" w:hAnsi="Times New Roman"/>
          <w:b w:val="0"/>
          <w:color w:val="FF0000"/>
          <w:sz w:val="24"/>
        </w:rPr>
        <w:t>3. Can thiệp giảm áp lực học tập tại trường nông thôn và đánh giá hiệu quả.</w:t>
      </w:r>
    </w:p>
    <w:p>
      <w:r>
        <w:rPr>
          <w:rFonts w:ascii="Times New Roman" w:hAnsi="Times New Roman"/>
          <w:b w:val="0"/>
          <w:color w:val="FF0000"/>
          <w:sz w:val="24"/>
        </w:rPr>
        <w:t>4. Sử dụng GAD-7 song song MHT để cho phép so sánh quốc tế.</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IJERPH Q1. LPA — phương pháp nâng cao.</w:t>
      </w:r>
    </w:p>
    <w:p>
      <w:r>
        <w:rPr>
          <w:rFonts w:ascii="Times New Roman" w:hAnsi="Times New Roman"/>
          <w:b w:val="0"/>
          <w:color w:val="FF0000"/>
          <w:sz w:val="24"/>
        </w:rPr>
        <w:t>• Áp lực học tập OR=11,6 — yếu tố mạnh nhất.</w:t>
      </w:r>
    </w:p>
    <w:p>
      <w:r>
        <w:rPr>
          <w:rFonts w:ascii="Times New Roman" w:hAnsi="Times New Roman"/>
          <w:b w:val="0"/>
          <w:color w:val="FF0000"/>
          <w:sz w:val="24"/>
        </w:rPr>
        <w:t>• Hỗ trợ SKTT trường OR=0,562 — bảo vệ.</w:t>
      </w:r>
    </w:p>
    <w:p>
      <w:r>
        <w:rPr>
          <w:rFonts w:ascii="Times New Roman" w:hAnsi="Times New Roman"/>
          <w:b/>
          <w:color w:val="FF0000"/>
          <w:sz w:val="24"/>
        </w:rPr>
        <w:t>Hạn chế chi tiết:</w:t>
      </w:r>
    </w:p>
    <w:p>
      <w:r>
        <w:rPr>
          <w:rFonts w:ascii="Times New Roman" w:hAnsi="Times New Roman"/>
          <w:b w:val="0"/>
          <w:color w:val="FF0000"/>
          <w:sz w:val="24"/>
        </w:rPr>
        <w:t>• Chỉ TQ nông thôn. DASS-21 sàng lọc.</w:t>
      </w:r>
    </w:p>
    <w:p>
      <w:r>
        <w:rPr>
          <w:rFonts w:ascii="Times New Roman" w:hAnsi="Times New Roman"/>
          <w:b w:val="0"/>
          <w:color w:val="FF0000"/>
          <w:sz w:val="24"/>
        </w:rPr>
        <w:t>• Cắt ngang — LPA mô tả nhóm, không nhân quả.</w:t>
      </w:r>
    </w:p>
    <w:p>
      <w:r>
        <w:rPr>
          <w:rFonts w:ascii="Times New Roman" w:hAnsi="Times New Roman"/>
          <w:b/>
          <w:color w:val="FF0000"/>
          <w:sz w:val="24"/>
        </w:rPr>
        <w:t>Khoảng trống nghiên cứu / Gap:</w:t>
      </w:r>
    </w:p>
    <w:p>
      <w:r>
        <w:rPr>
          <w:rFonts w:ascii="Times New Roman" w:hAnsi="Times New Roman"/>
          <w:b w:val="0"/>
          <w:color w:val="FF0000"/>
          <w:sz w:val="24"/>
        </w:rPr>
        <w:t>• LPA tương tự cho VN — xác định nhóm lo âu cao. Norway 2025 (QT21): bất mãn trường giải thích chính.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