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https://doi.org/10.1186/s12889-024-21252-8</w:t>
      </w:r>
    </w:p>
    <w:p>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_Hoa2024.png"/>
                    <pic:cNvPicPr/>
                  </pic:nvPicPr>
                  <pic:blipFill>
                    <a:blip r:embed="rId9"/>
                    <a:stretch>
                      <a:fillRect/>
                    </a:stretch>
                  </pic:blipFill>
                  <pic:spPr>
                    <a:xfrm>
                      <a:off x="0" y="0"/>
                      <a:ext cx="1080000" cy="1080000"/>
                    </a:xfrm>
                    <a:prstGeom prst="rect"/>
                  </pic:spPr>
                </pic:pic>
              </a:graphicData>
            </a:graphic>
          </wp:inline>
        </w:drawing>
      </w:r>
    </w:p>
    <w:p>
      <w:r>
        <w:rPr>
          <w:rFonts w:ascii="Times New Roman" w:hAnsi="Times New Roman"/>
          <w:i/>
          <w:sz w:val="18"/>
        </w:rPr>
        <w:t>Quét QR để truy cập bài báo gốc</w:t>
      </w:r>
    </w:p>
    <w:p/>
    <w:p>
      <w:pPr>
        <w:pStyle w:val="Heading1"/>
      </w:pPr>
      <w:r>
        <w:rPr>
          <w:rFonts w:ascii="Times New Roman" w:hAnsi="Times New Roman"/>
          <w:color w:val="000000"/>
        </w:rPr>
        <w:t>Các yếu tố ảnh hưởng và xu hướng thay đổi triệu chứng trầm cảm ở học sinh THCS và THPT tại miền Đông Trung Quốc từ 2019 đến 2023</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Influencing factors and changing trends of depressive symptoms among middle and junior high school students in Eastern China from 2019 to 2023</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Zhu và cộng sự</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BMC Public Health, 2025, 25:17</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10.1186/s12889-024-21252-8</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n = 9.831 học sinh THCS và THPT tại miền Đông Trung Quốc (Suzhou)</w:t>
            </w:r>
          </w:p>
        </w:tc>
      </w:tr>
      <w:tr>
        <w:tc>
          <w:tcPr>
            <w:tcW w:type="dxa" w:w="4702"/>
            <w:tcW w:w="1984" w:type="dxa"/>
            <w:shd w:fill="D9E2F3" w:val="clear"/>
          </w:tcPr>
          <w:p>
            <w:r>
              <w:rPr>
                <w:rFonts w:ascii="Times New Roman" w:hAnsi="Times New Roman"/>
                <w:b/>
                <w:sz w:val="20"/>
              </w:rPr>
              <w:t>Công cụ</w:t>
            </w:r>
          </w:p>
        </w:tc>
        <w:tc>
          <w:tcPr>
            <w:tcW w:type="dxa" w:w="4702"/>
            <w:tcW w:w="7087" w:type="dxa"/>
          </w:tcPr>
          <w:p>
            <w:r>
              <w:rPr>
                <w:rFonts w:ascii="Times New Roman" w:hAnsi="Times New Roman"/>
                <w:sz w:val="20"/>
              </w:rPr>
              <w:t>PHQ-9 (Patient Health Questionnaire-9 — Bảng hỏi Sức khỏe Bệnh nhân 9 mục)</w:t>
            </w:r>
          </w:p>
        </w:tc>
      </w:tr>
      <w:tr>
        <w:tc>
          <w:tcPr>
            <w:tcW w:type="dxa" w:w="4702"/>
            <w:tcW w:w="1984" w:type="dxa"/>
            <w:shd w:fill="D9E2F3" w:val="clear"/>
          </w:tcPr>
          <w:p>
            <w:r>
              <w:rPr>
                <w:rFonts w:ascii="Times New Roman" w:hAnsi="Times New Roman"/>
                <w:b/>
                <w:sz w:val="20"/>
              </w:rPr>
              <w:t>Thiết kế</w:t>
            </w:r>
          </w:p>
        </w:tc>
        <w:tc>
          <w:tcPr>
            <w:tcW w:type="dxa" w:w="4702"/>
            <w:tcW w:w="7087" w:type="dxa"/>
          </w:tcPr>
          <w:p>
            <w:r>
              <w:rPr>
                <w:rFonts w:ascii="Times New Roman" w:hAnsi="Times New Roman"/>
                <w:sz w:val="20"/>
              </w:rPr>
              <w:t>Nghiên cứu cắt ngang, khảo sát trực tuyến 2019-2023</w:t>
            </w:r>
          </w:p>
        </w:tc>
      </w:tr>
    </w:tbl>
    <w:p/>
    <w:p>
      <w:r>
        <w:rPr>
          <w:rFonts w:ascii="Times New Roman" w:hAnsi="Times New Roman"/>
          <w:i/>
          <w:color w:val="808080"/>
          <w:sz w:val="18"/>
        </w:rPr>
        <w:t>--- Trang 1/11, BMC Public Health, 25:17, 2025 ---</w:t>
      </w:r>
    </w:p>
    <w:p>
      <w:pPr>
        <w:pStyle w:val="Heading2"/>
      </w:pPr>
      <w:r>
        <w:rPr>
          <w:rFonts w:ascii="Times New Roman" w:hAnsi="Times New Roman"/>
          <w:color w:val="000000"/>
        </w:rPr>
        <w:t>TÓM TẮT</w:t>
      </w:r>
    </w:p>
    <w:p>
      <w:r>
        <w:rPr>
          <w:rFonts w:ascii="Times New Roman" w:hAnsi="Times New Roman"/>
          <w:b w:val="0"/>
          <w:i w:val="0"/>
          <w:sz w:val="24"/>
        </w:rPr>
        <w:t>Bối cảnh: Đại dịch COVID-19 (Coronavirus Disease 2019) dẫn đến gia tăng mức độ trầm cảm ở vị thành niên (VTN). Tuy nhiên, tình hình trầm cảm VTN trong giai đoạn sau đại dịch chưa được nghiên cứu đầy đủ. Nghiên cứu này phân tích các yếu tố ảnh hưởng và xu hướng thay đổi triệu chứng trầm cảm ở học sinh trung học cơ sở (THCS) và trung học phổ thông (THPT) tại miền Đông Trung Quốc từ 2019 đến 2023.</w:t>
      </w:r>
    </w:p>
    <w:p>
      <w:r>
        <w:rPr>
          <w:rFonts w:ascii="Times New Roman" w:hAnsi="Times New Roman"/>
          <w:b w:val="0"/>
          <w:i w:val="0"/>
          <w:sz w:val="24"/>
        </w:rPr>
        <w:t>Phương pháp: Khảo sát cắt ngang trên 9.831 học sinh THCS và THPT tại Suzhou, Trung Quốc. Sử dụng PHQ-9 (Patient Health Questionnaire-9 — Bảng hỏi Sức khỏe Bệnh nhân 9 mục) để đánh giá triệu chứng trầm cảm. Phân tích hồi quy logistic đa biến xác định yếu tố nguy cơ và bảo vệ.</w:t>
      </w:r>
    </w:p>
    <w:p>
      <w:r>
        <w:rPr>
          <w:rFonts w:ascii="Times New Roman" w:hAnsi="Times New Roman"/>
          <w:b w:val="0"/>
          <w:i w:val="0"/>
          <w:sz w:val="24"/>
        </w:rPr>
        <w:t>Kết quả: 14,5% học sinh có triệu chứng trầm cảm "có thể" (possible) và 5,8% "chắc chắn" (definite). Yếu tố nguy cơ: HS THPT (AOR = 1,409), gia đình đơn thân (AOR = 1,434), gia đình tái hôn (AOR = 1,837), ngủ &lt; 5 giờ (AOR = 13,710 cho trầm cảm chắc chắn). Yếu tố bảo vệ: nam giới (AOR = 0,803), hoạt động ngoài trời &gt; 1 giờ/ngày (AOR = 0,666–0,785).</w:t>
      </w:r>
    </w:p>
    <w:p>
      <w:pPr>
        <w:pStyle w:val="Heading2"/>
      </w:pPr>
      <w:r>
        <w:rPr>
          <w:rFonts w:ascii="Times New Roman" w:hAnsi="Times New Roman"/>
          <w:color w:val="000000"/>
        </w:rPr>
        <w:t>TÓM TẮT ĐÁNH GIÁ NHANH</w:t>
      </w:r>
    </w:p>
    <w:p>
      <w:r>
        <w:rPr>
          <w:rFonts w:ascii="Times New Roman" w:hAnsi="Times New Roman"/>
          <w:b/>
          <w:i w:val="0"/>
          <w:sz w:val="24"/>
        </w:rPr>
        <w:t>Điểm nổi bật:</w:t>
      </w:r>
    </w:p>
    <w:p>
      <w:r>
        <w:rPr>
          <w:rFonts w:ascii="Times New Roman" w:hAnsi="Times New Roman"/>
          <w:b w:val="0"/>
          <w:i w:val="0"/>
          <w:sz w:val="22"/>
        </w:rPr>
        <w:t>• Cỡ mẫu lớn (n = 9.831), so sánh xu hướng 2019–2023 — bao gồm giai đoạn trước, trong và sau COVID (Racine và cộng sự, 2021).</w:t>
      </w:r>
    </w:p>
    <w:p>
      <w:r>
        <w:rPr>
          <w:rFonts w:ascii="Times New Roman" w:hAnsi="Times New Roman"/>
          <w:b w:val="0"/>
          <w:i w:val="0"/>
          <w:sz w:val="22"/>
        </w:rPr>
        <w:t>• Phát hiện đáng chú ý: ngủ &lt; 5 giờ tăng nguy cơ trầm cảm 13,7 lần (AOR = 13,710) — yếu tố nguy cơ mạnh nhất (Hale và cộng sự, 2015).</w:t>
      </w:r>
    </w:p>
    <w:p>
      <w:r>
        <w:rPr>
          <w:rFonts w:ascii="Times New Roman" w:hAnsi="Times New Roman"/>
          <w:b w:val="0"/>
          <w:i w:val="0"/>
          <w:sz w:val="22"/>
        </w:rPr>
        <w:t>• Hoạt động ngoài trời &gt; 1 giờ/ngày là yếu tố bảo vệ rõ ràng — có thể ứng dụng can thiệp (WHO, 2022).</w:t>
      </w:r>
    </w:p>
    <w:p>
      <w:r>
        <w:rPr>
          <w:rFonts w:ascii="Times New Roman" w:hAnsi="Times New Roman"/>
          <w:b/>
          <w:i w:val="0"/>
          <w:sz w:val="24"/>
        </w:rPr>
        <w:t>Hạn chế:</w:t>
      </w:r>
    </w:p>
    <w:p>
      <w:r>
        <w:rPr>
          <w:rFonts w:ascii="Times New Roman" w:hAnsi="Times New Roman"/>
          <w:b w:val="0"/>
          <w:i w:val="0"/>
          <w:sz w:val="22"/>
        </w:rPr>
        <w:t>• Chỉ tại Suzhou (miền Đông, đô thị phát triển) — không đại diện nông thôn hay miền Tây (Samuels và cộng sự, 2018).</w:t>
      </w:r>
    </w:p>
    <w:p>
      <w:r>
        <w:rPr>
          <w:rFonts w:ascii="Times New Roman" w:hAnsi="Times New Roman"/>
          <w:b w:val="0"/>
          <w:i w:val="0"/>
          <w:sz w:val="22"/>
        </w:rPr>
        <w:t>• PHQ-9 là sàng lọc, không phải chẩn đoán (COVID-19 Mental Disorders Collaborators, 2021).</w:t>
      </w:r>
    </w:p>
    <w:p>
      <w:r>
        <w:rPr>
          <w:rFonts w:ascii="Times New Roman" w:hAnsi="Times New Roman"/>
          <w:b w:val="0"/>
          <w:i w:val="0"/>
          <w:sz w:val="22"/>
        </w:rPr>
        <w:t>• Chỉ đo trầm cảm, thiếu lo âu (Spitzer và cộng sự, 2006).</w:t>
      </w:r>
    </w:p>
    <w:p>
      <w:r>
        <w:rPr>
          <w:rFonts w:ascii="Times New Roman" w:hAnsi="Times New Roman"/>
          <w:b/>
          <w:i w:val="0"/>
          <w:sz w:val="24"/>
        </w:rPr>
        <w:t>Hướng cải thiện:</w:t>
      </w:r>
    </w:p>
    <w:p>
      <w:r>
        <w:rPr>
          <w:rFonts w:ascii="Times New Roman" w:hAnsi="Times New Roman"/>
          <w:b w:val="0"/>
          <w:i w:val="0"/>
          <w:sz w:val="22"/>
        </w:rPr>
        <w:t>• Bổ sung GAD-7 đo lo âu song song (Spitzer và cộng sự, 2006).</w:t>
      </w:r>
    </w:p>
    <w:p>
      <w:r>
        <w:rPr>
          <w:rFonts w:ascii="Times New Roman" w:hAnsi="Times New Roman"/>
          <w:b w:val="0"/>
          <w:i w:val="0"/>
          <w:sz w:val="22"/>
        </w:rPr>
        <w:t>• Mở rộng ra nông thôn miền Tây Trung Quốc để so sánh (Wen và cộng sự, 2020).</w:t>
      </w:r>
    </w:p>
    <w:p>
      <w:r>
        <w:rPr>
          <w:rFonts w:ascii="Times New Roman" w:hAnsi="Times New Roman"/>
          <w:b w:val="0"/>
          <w:i w:val="0"/>
          <w:sz w:val="22"/>
        </w:rPr>
        <w:t>• RCT can thiệp tăng giấc ngủ + hoạt động ngoài trời tại trường học (Werner-Seidler và cộng sự, 2021).</w:t>
      </w:r>
    </w:p>
    <w:p/>
    <w:p>
      <w:r>
        <w:rPr>
          <w:rFonts w:ascii="Times New Roman" w:hAnsi="Times New Roman"/>
          <w:i/>
          <w:color w:val="808080"/>
          <w:sz w:val="18"/>
        </w:rPr>
        <w:t>--- Trang 2–3, BMC Public Health, 25:17 ---</w:t>
      </w:r>
    </w:p>
    <w:p>
      <w:pPr>
        <w:pStyle w:val="Heading2"/>
      </w:pPr>
      <w:r>
        <w:rPr>
          <w:rFonts w:ascii="Times New Roman" w:hAnsi="Times New Roman"/>
          <w:color w:val="000000"/>
        </w:rPr>
        <w:t>GIỚI THIỆU</w:t>
      </w:r>
    </w:p>
    <w:p>
      <w:r>
        <w:rPr>
          <w:rFonts w:ascii="Times New Roman" w:hAnsi="Times New Roman"/>
          <w:b w:val="0"/>
          <w:i w:val="0"/>
          <w:sz w:val="24"/>
        </w:rPr>
        <w:t>Khoảng 1/7 VTN 10–19 tuổi trên toàn thế giới mắc rối loạn tâm thần, chiếm 13% tổng gánh nặng bệnh tật ở nhóm tuổi này (WHO, 2022). Tại Trung Quốc, một khảo sát cho thấy khoảng 14,8% VTN có nguy cơ trầm cảm (Li và cộng sự, 2022). Với sự phát triển kinh tế xã hội nhanh chóng, tỷ lệ vấn đề SKTT ở trẻ em và VTN Trung Quốc đang gia tăng.</w:t>
      </w:r>
    </w:p>
    <w:p>
      <w:r>
        <w:rPr>
          <w:rFonts w:ascii="Times New Roman" w:hAnsi="Times New Roman"/>
          <w:i/>
          <w:color w:val="808080"/>
          <w:sz w:val="18"/>
        </w:rPr>
        <w:t>--- Trang 3–4, BMC Public Health, 25:17 ---</w:t>
      </w:r>
    </w:p>
    <w:p>
      <w:pPr>
        <w:pStyle w:val="Heading2"/>
      </w:pPr>
      <w:r>
        <w:rPr>
          <w:rFonts w:ascii="Times New Roman" w:hAnsi="Times New Roman"/>
          <w:color w:val="000000"/>
        </w:rPr>
        <w:t>PHƯƠNG PHÁP</w:t>
      </w:r>
    </w:p>
    <w:p>
      <w:r>
        <w:rPr>
          <w:rFonts w:ascii="Times New Roman" w:hAnsi="Times New Roman"/>
          <w:b w:val="0"/>
          <w:i w:val="0"/>
          <w:sz w:val="24"/>
        </w:rPr>
        <w:t>Khảo sát cắt ngang tại Suzhou, tỉnh Giang Tô, miền Đông Trung Quốc. Mẫu: 9.921 học sinh (sau loại trừ: 9.831, tỷ lệ phản hồi 99,1%). Công cụ: PHQ-9 — 9 mục, điểm 0–27. Ngưỡng: 0–4 (không), 5–9 (nhẹ/possible), 10–27 (trung bình–nặng/definite). Phân tích: hồi quy logistic đa biến, AOR (Adjusted Odds Ratio) với 95% CI.</w:t>
      </w:r>
    </w:p>
    <w:p>
      <w:r>
        <w:rPr>
          <w:rFonts w:ascii="Times New Roman" w:hAnsi="Times New Roman"/>
          <w:i/>
          <w:color w:val="808080"/>
          <w:sz w:val="18"/>
        </w:rPr>
        <w:t>--- Trang 5–7, BMC Public Health, 25:17 ---</w:t>
      </w:r>
    </w:p>
    <w:p>
      <w:pPr>
        <w:pStyle w:val="Heading2"/>
      </w:pPr>
      <w:r>
        <w:rPr>
          <w:rFonts w:ascii="Times New Roman" w:hAnsi="Times New Roman"/>
          <w:color w:val="000000"/>
        </w:rPr>
        <w:t>KẾT QUẢ</w:t>
      </w:r>
    </w:p>
    <w:p>
      <w:r>
        <w:rPr>
          <w:rFonts w:ascii="Times New Roman" w:hAnsi="Times New Roman"/>
          <w:b/>
          <w:i w:val="0"/>
          <w:sz w:val="24"/>
        </w:rPr>
        <w:t>Tỷ lệ trầm cảm:</w:t>
      </w:r>
    </w:p>
    <w:tbl>
      <w:tblPr>
        <w:tblStyle w:val="TableGrid"/>
        <w:tblW w:type="auto" w:w="0"/>
        <w:jc w:val="center"/>
        <w:tblLook w:firstColumn="1" w:firstRow="1" w:lastColumn="0" w:lastRow="0" w:noHBand="0" w:noVBand="1" w:val="04A0"/>
      </w:tblPr>
      <w:tblGrid>
        <w:gridCol w:w="4702"/>
        <w:gridCol w:w="4702"/>
      </w:tblGrid>
      <w:tr>
        <w:tc>
          <w:tcPr>
            <w:tcW w:type="dxa" w:w="4702"/>
            <w:tcW w:w="3402" w:type="dxa"/>
            <w:shd w:fill="D9E2F3" w:val="clear"/>
          </w:tcPr>
          <w:p>
            <w:pPr>
              <w:jc w:val="center"/>
            </w:pPr>
            <w:r>
              <w:rPr>
                <w:rFonts w:ascii="Times New Roman" w:hAnsi="Times New Roman"/>
                <w:b/>
                <w:sz w:val="20"/>
              </w:rPr>
              <w:t>Mức độ</w:t>
            </w:r>
          </w:p>
        </w:tc>
        <w:tc>
          <w:tcPr>
            <w:tcW w:type="dxa" w:w="4702"/>
            <w:tcW w:w="2268" w:type="dxa"/>
            <w:shd w:fill="D9E2F3" w:val="clear"/>
          </w:tcPr>
          <w:p>
            <w:pPr>
              <w:jc w:val="center"/>
            </w:pPr>
            <w:r>
              <w:rPr>
                <w:rFonts w:ascii="Times New Roman" w:hAnsi="Times New Roman"/>
                <w:b/>
                <w:sz w:val="20"/>
              </w:rPr>
              <w:t>Tỷ lệ</w:t>
            </w:r>
          </w:p>
        </w:tc>
      </w:tr>
      <w:tr>
        <w:tc>
          <w:tcPr>
            <w:tcW w:type="dxa" w:w="4702"/>
            <w:tcW w:w="3402" w:type="dxa"/>
          </w:tcPr>
          <w:p>
            <w:r>
              <w:rPr>
                <w:rFonts w:ascii="Times New Roman" w:hAnsi="Times New Roman"/>
                <w:sz w:val="20"/>
              </w:rPr>
              <w:t>Không có triệu chứng (PHQ-9: 0–4)</w:t>
            </w:r>
          </w:p>
        </w:tc>
        <w:tc>
          <w:tcPr>
            <w:tcW w:type="dxa" w:w="4702"/>
            <w:tcW w:w="2268" w:type="dxa"/>
          </w:tcPr>
          <w:p>
            <w:r>
              <w:rPr>
                <w:rFonts w:ascii="Times New Roman" w:hAnsi="Times New Roman"/>
                <w:sz w:val="20"/>
              </w:rPr>
              <w:t>79,7%</w:t>
            </w:r>
          </w:p>
        </w:tc>
      </w:tr>
      <w:tr>
        <w:tc>
          <w:tcPr>
            <w:tcW w:type="dxa" w:w="4702"/>
            <w:tcW w:w="3402" w:type="dxa"/>
          </w:tcPr>
          <w:p>
            <w:r>
              <w:rPr>
                <w:rFonts w:ascii="Times New Roman" w:hAnsi="Times New Roman"/>
                <w:sz w:val="20"/>
              </w:rPr>
              <w:t>Có thể trầm cảm (PHQ-9: 5–9)</w:t>
            </w:r>
          </w:p>
        </w:tc>
        <w:tc>
          <w:tcPr>
            <w:tcW w:type="dxa" w:w="4702"/>
            <w:tcW w:w="2268" w:type="dxa"/>
          </w:tcPr>
          <w:p>
            <w:r>
              <w:rPr>
                <w:rFonts w:ascii="Times New Roman" w:hAnsi="Times New Roman"/>
                <w:sz w:val="20"/>
              </w:rPr>
              <w:t>14,5%</w:t>
            </w:r>
          </w:p>
        </w:tc>
      </w:tr>
      <w:tr>
        <w:tc>
          <w:tcPr>
            <w:tcW w:type="dxa" w:w="4702"/>
            <w:tcW w:w="3402" w:type="dxa"/>
          </w:tcPr>
          <w:p>
            <w:r>
              <w:rPr>
                <w:rFonts w:ascii="Times New Roman" w:hAnsi="Times New Roman"/>
                <w:sz w:val="20"/>
              </w:rPr>
              <w:t>Chắc chắn trầm cảm (PHQ-9: 10–27)</w:t>
            </w:r>
          </w:p>
        </w:tc>
        <w:tc>
          <w:tcPr>
            <w:tcW w:type="dxa" w:w="4702"/>
            <w:tcW w:w="2268" w:type="dxa"/>
          </w:tcPr>
          <w:p>
            <w:r>
              <w:rPr>
                <w:rFonts w:ascii="Times New Roman" w:hAnsi="Times New Roman"/>
                <w:sz w:val="20"/>
              </w:rPr>
              <w:t>5,8%</w:t>
            </w:r>
          </w:p>
        </w:tc>
      </w:tr>
    </w:tbl>
    <w:p/>
    <w:p>
      <w:r>
        <w:rPr>
          <w:rFonts w:ascii="Times New Roman" w:hAnsi="Times New Roman"/>
          <w:b/>
          <w:i w:val="0"/>
          <w:sz w:val="24"/>
        </w:rPr>
        <w:t>Yếu tố nguy cơ và bảo vệ (hồi quy logistic):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1134" w:type="dxa"/>
            <w:shd w:fill="D9E2F3" w:val="clear"/>
          </w:tcPr>
          <w:p>
            <w:pPr>
              <w:jc w:val="center"/>
            </w:pPr>
            <w:r>
              <w:rPr>
                <w:rFonts w:ascii="Times New Roman" w:hAnsi="Times New Roman"/>
                <w:b/>
                <w:sz w:val="20"/>
              </w:rPr>
              <w:t>AOR</w:t>
            </w:r>
          </w:p>
        </w:tc>
        <w:tc>
          <w:tcPr>
            <w:tcW w:type="dxa" w:w="2351"/>
            <w:tcW w:w="1701" w:type="dxa"/>
            <w:shd w:fill="D9E2F3" w:val="clear"/>
          </w:tcPr>
          <w:p>
            <w:pPr>
              <w:jc w:val="center"/>
            </w:pPr>
            <w:r>
              <w:rPr>
                <w:rFonts w:ascii="Times New Roman" w:hAnsi="Times New Roman"/>
                <w:b/>
                <w:sz w:val="20"/>
              </w:rPr>
              <w:t>95% CI</w:t>
            </w:r>
          </w:p>
        </w:tc>
        <w:tc>
          <w:tcPr>
            <w:tcW w:type="dxa" w:w="2351"/>
            <w:tcW w:w="1701" w:type="dxa"/>
            <w:shd w:fill="D9E2F3" w:val="clear"/>
          </w:tcPr>
          <w:p>
            <w:pPr>
              <w:jc w:val="center"/>
            </w:pPr>
            <w:r>
              <w:rPr>
                <w:rFonts w:ascii="Times New Roman" w:hAnsi="Times New Roman"/>
                <w:b/>
                <w:sz w:val="20"/>
              </w:rPr>
              <w:t>Loại</w:t>
            </w:r>
          </w:p>
        </w:tc>
      </w:tr>
      <w:tr>
        <w:tc>
          <w:tcPr>
            <w:tcW w:type="dxa" w:w="2351"/>
            <w:tcW w:w="2268" w:type="dxa"/>
          </w:tcPr>
          <w:p>
            <w:r>
              <w:rPr>
                <w:rFonts w:ascii="Times New Roman" w:hAnsi="Times New Roman"/>
                <w:sz w:val="20"/>
              </w:rPr>
              <w:t>HS THPT (vs THCS)</w:t>
            </w:r>
          </w:p>
        </w:tc>
        <w:tc>
          <w:tcPr>
            <w:tcW w:type="dxa" w:w="2351"/>
            <w:tcW w:w="1134" w:type="dxa"/>
          </w:tcPr>
          <w:p>
            <w:r>
              <w:rPr>
                <w:rFonts w:ascii="Times New Roman" w:hAnsi="Times New Roman"/>
                <w:sz w:val="20"/>
              </w:rPr>
              <w:t>1,409</w:t>
            </w:r>
          </w:p>
        </w:tc>
        <w:tc>
          <w:tcPr>
            <w:tcW w:type="dxa" w:w="2351"/>
            <w:tcW w:w="1701" w:type="dxa"/>
          </w:tcPr>
          <w:p>
            <w:r>
              <w:rPr>
                <w:rFonts w:ascii="Times New Roman" w:hAnsi="Times New Roman"/>
                <w:sz w:val="20"/>
              </w:rPr>
              <w:t>1,164–1,706</w:t>
            </w:r>
          </w:p>
        </w:tc>
        <w:tc>
          <w:tcPr>
            <w:tcW w:type="dxa" w:w="2351"/>
            <w:tcW w:w="1701" w:type="dxa"/>
          </w:tcPr>
          <w:p>
            <w:r>
              <w:rPr>
                <w:rFonts w:ascii="Times New Roman" w:hAnsi="Times New Roman"/>
                <w:sz w:val="20"/>
              </w:rPr>
              <w:t>Nguy cơ</w:t>
            </w:r>
          </w:p>
        </w:tc>
      </w:tr>
      <w:tr>
        <w:tc>
          <w:tcPr>
            <w:tcW w:type="dxa" w:w="2351"/>
            <w:tcW w:w="2268" w:type="dxa"/>
          </w:tcPr>
          <w:p>
            <w:r>
              <w:rPr>
                <w:rFonts w:ascii="Times New Roman" w:hAnsi="Times New Roman"/>
                <w:sz w:val="20"/>
              </w:rPr>
              <w:t>Gia đình đơn thân</w:t>
            </w:r>
          </w:p>
        </w:tc>
        <w:tc>
          <w:tcPr>
            <w:tcW w:type="dxa" w:w="2351"/>
            <w:tcW w:w="1134" w:type="dxa"/>
          </w:tcPr>
          <w:p>
            <w:r>
              <w:rPr>
                <w:rFonts w:ascii="Times New Roman" w:hAnsi="Times New Roman"/>
                <w:sz w:val="20"/>
              </w:rPr>
              <w:t>1,434</w:t>
            </w:r>
          </w:p>
        </w:tc>
        <w:tc>
          <w:tcPr>
            <w:tcW w:type="dxa" w:w="2351"/>
            <w:tcW w:w="1701" w:type="dxa"/>
          </w:tcPr>
          <w:p>
            <w:r>
              <w:rPr>
                <w:rFonts w:ascii="Times New Roman" w:hAnsi="Times New Roman"/>
                <w:sz w:val="20"/>
              </w:rPr>
              <w:t>1,134–1,814</w:t>
            </w:r>
          </w:p>
        </w:tc>
        <w:tc>
          <w:tcPr>
            <w:tcW w:type="dxa" w:w="2351"/>
            <w:tcW w:w="1701" w:type="dxa"/>
          </w:tcPr>
          <w:p>
            <w:r>
              <w:rPr>
                <w:rFonts w:ascii="Times New Roman" w:hAnsi="Times New Roman"/>
                <w:sz w:val="20"/>
              </w:rPr>
              <w:t>Nguy cơ</w:t>
            </w:r>
          </w:p>
        </w:tc>
      </w:tr>
      <w:tr>
        <w:tc>
          <w:tcPr>
            <w:tcW w:type="dxa" w:w="2351"/>
            <w:tcW w:w="2268" w:type="dxa"/>
          </w:tcPr>
          <w:p>
            <w:r>
              <w:rPr>
                <w:rFonts w:ascii="Times New Roman" w:hAnsi="Times New Roman"/>
                <w:sz w:val="20"/>
              </w:rPr>
              <w:t>Gia đình tái hôn</w:t>
            </w:r>
          </w:p>
        </w:tc>
        <w:tc>
          <w:tcPr>
            <w:tcW w:type="dxa" w:w="2351"/>
            <w:tcW w:w="1134" w:type="dxa"/>
          </w:tcPr>
          <w:p>
            <w:r>
              <w:rPr>
                <w:rFonts w:ascii="Times New Roman" w:hAnsi="Times New Roman"/>
                <w:sz w:val="20"/>
              </w:rPr>
              <w:t>1,837</w:t>
            </w:r>
          </w:p>
        </w:tc>
        <w:tc>
          <w:tcPr>
            <w:tcW w:type="dxa" w:w="2351"/>
            <w:tcW w:w="1701" w:type="dxa"/>
          </w:tcPr>
          <w:p>
            <w:r>
              <w:rPr>
                <w:rFonts w:ascii="Times New Roman" w:hAnsi="Times New Roman"/>
                <w:sz w:val="20"/>
              </w:rPr>
              <w:t>1,324–2,548</w:t>
            </w:r>
          </w:p>
        </w:tc>
        <w:tc>
          <w:tcPr>
            <w:tcW w:type="dxa" w:w="2351"/>
            <w:tcW w:w="1701" w:type="dxa"/>
          </w:tcPr>
          <w:p>
            <w:r>
              <w:rPr>
                <w:rFonts w:ascii="Times New Roman" w:hAnsi="Times New Roman"/>
                <w:sz w:val="20"/>
              </w:rPr>
              <w:t>Nguy cơ</w:t>
            </w:r>
          </w:p>
        </w:tc>
      </w:tr>
      <w:tr>
        <w:tc>
          <w:tcPr>
            <w:tcW w:type="dxa" w:w="2351"/>
            <w:tcW w:w="2268" w:type="dxa"/>
          </w:tcPr>
          <w:p>
            <w:r>
              <w:rPr>
                <w:rFonts w:ascii="Times New Roman" w:hAnsi="Times New Roman"/>
                <w:sz w:val="20"/>
              </w:rPr>
              <w:t>Cả 2 cha mẹ vắng mặt</w:t>
            </w:r>
          </w:p>
        </w:tc>
        <w:tc>
          <w:tcPr>
            <w:tcW w:type="dxa" w:w="2351"/>
            <w:tcW w:w="1134" w:type="dxa"/>
          </w:tcPr>
          <w:p>
            <w:r>
              <w:rPr>
                <w:rFonts w:ascii="Times New Roman" w:hAnsi="Times New Roman"/>
                <w:sz w:val="20"/>
              </w:rPr>
              <w:t>1,710</w:t>
            </w:r>
          </w:p>
        </w:tc>
        <w:tc>
          <w:tcPr>
            <w:tcW w:type="dxa" w:w="2351"/>
            <w:tcW w:w="1701" w:type="dxa"/>
          </w:tcPr>
          <w:p>
            <w:r>
              <w:rPr>
                <w:rFonts w:ascii="Times New Roman" w:hAnsi="Times New Roman"/>
                <w:sz w:val="20"/>
              </w:rPr>
              <w:t>1,289–2,268</w:t>
            </w:r>
          </w:p>
        </w:tc>
        <w:tc>
          <w:tcPr>
            <w:tcW w:type="dxa" w:w="2351"/>
            <w:tcW w:w="1701" w:type="dxa"/>
          </w:tcPr>
          <w:p>
            <w:r>
              <w:rPr>
                <w:rFonts w:ascii="Times New Roman" w:hAnsi="Times New Roman"/>
                <w:sz w:val="20"/>
              </w:rPr>
              <w:t>Nguy cơ</w:t>
            </w:r>
          </w:p>
        </w:tc>
      </w:tr>
      <w:tr>
        <w:tc>
          <w:tcPr>
            <w:tcW w:type="dxa" w:w="2351"/>
            <w:tcW w:w="2268" w:type="dxa"/>
          </w:tcPr>
          <w:p>
            <w:r>
              <w:rPr>
                <w:rFonts w:ascii="Times New Roman" w:hAnsi="Times New Roman"/>
                <w:sz w:val="20"/>
              </w:rPr>
              <w:t>Ngủ &lt; 5 giờ</w:t>
            </w:r>
          </w:p>
        </w:tc>
        <w:tc>
          <w:tcPr>
            <w:tcW w:type="dxa" w:w="2351"/>
            <w:tcW w:w="1134" w:type="dxa"/>
          </w:tcPr>
          <w:p>
            <w:r>
              <w:rPr>
                <w:rFonts w:ascii="Times New Roman" w:hAnsi="Times New Roman"/>
                <w:sz w:val="20"/>
              </w:rPr>
              <w:t>13,710</w:t>
            </w:r>
          </w:p>
        </w:tc>
        <w:tc>
          <w:tcPr>
            <w:tcW w:type="dxa" w:w="2351"/>
            <w:tcW w:w="1701" w:type="dxa"/>
          </w:tcPr>
          <w:p>
            <w:r>
              <w:rPr>
                <w:rFonts w:ascii="Times New Roman" w:hAnsi="Times New Roman"/>
                <w:sz w:val="20"/>
              </w:rPr>
              <w:t>8,659–21,710</w:t>
            </w:r>
          </w:p>
        </w:tc>
        <w:tc>
          <w:tcPr>
            <w:tcW w:type="dxa" w:w="2351"/>
            <w:tcW w:w="1701" w:type="dxa"/>
          </w:tcPr>
          <w:p>
            <w:r>
              <w:rPr>
                <w:rFonts w:ascii="Times New Roman" w:hAnsi="Times New Roman"/>
                <w:sz w:val="20"/>
              </w:rPr>
              <w:t>Nguy cơ (rất mạnh)</w:t>
            </w:r>
          </w:p>
        </w:tc>
      </w:tr>
      <w:tr>
        <w:tc>
          <w:tcPr>
            <w:tcW w:type="dxa" w:w="2351"/>
            <w:tcW w:w="2268" w:type="dxa"/>
          </w:tcPr>
          <w:p>
            <w:r>
              <w:rPr>
                <w:rFonts w:ascii="Times New Roman" w:hAnsi="Times New Roman"/>
                <w:sz w:val="20"/>
              </w:rPr>
              <w:t>Ngủ 5–6 giờ</w:t>
            </w:r>
          </w:p>
        </w:tc>
        <w:tc>
          <w:tcPr>
            <w:tcW w:type="dxa" w:w="2351"/>
            <w:tcW w:w="1134" w:type="dxa"/>
          </w:tcPr>
          <w:p>
            <w:r>
              <w:rPr>
                <w:rFonts w:ascii="Times New Roman" w:hAnsi="Times New Roman"/>
                <w:sz w:val="20"/>
              </w:rPr>
              <w:t>7,289</w:t>
            </w:r>
          </w:p>
        </w:tc>
        <w:tc>
          <w:tcPr>
            <w:tcW w:type="dxa" w:w="2351"/>
            <w:tcW w:w="1701" w:type="dxa"/>
          </w:tcPr>
          <w:p>
            <w:r>
              <w:rPr>
                <w:rFonts w:ascii="Times New Roman" w:hAnsi="Times New Roman"/>
                <w:sz w:val="20"/>
              </w:rPr>
              <w:t>5,315–9,996</w:t>
            </w:r>
          </w:p>
        </w:tc>
        <w:tc>
          <w:tcPr>
            <w:tcW w:type="dxa" w:w="2351"/>
            <w:tcW w:w="1701" w:type="dxa"/>
          </w:tcPr>
          <w:p>
            <w:r>
              <w:rPr>
                <w:rFonts w:ascii="Times New Roman" w:hAnsi="Times New Roman"/>
                <w:sz w:val="20"/>
              </w:rPr>
              <w:t>Nguy cơ</w:t>
            </w:r>
          </w:p>
        </w:tc>
      </w:tr>
      <w:tr>
        <w:tc>
          <w:tcPr>
            <w:tcW w:type="dxa" w:w="2351"/>
            <w:tcW w:w="2268" w:type="dxa"/>
          </w:tcPr>
          <w:p>
            <w:r>
              <w:rPr>
                <w:rFonts w:ascii="Times New Roman" w:hAnsi="Times New Roman"/>
                <w:sz w:val="20"/>
              </w:rPr>
              <w:t>Ngủ 6–7 giờ</w:t>
            </w:r>
          </w:p>
        </w:tc>
        <w:tc>
          <w:tcPr>
            <w:tcW w:type="dxa" w:w="2351"/>
            <w:tcW w:w="1134" w:type="dxa"/>
          </w:tcPr>
          <w:p>
            <w:r>
              <w:rPr>
                <w:rFonts w:ascii="Times New Roman" w:hAnsi="Times New Roman"/>
                <w:sz w:val="20"/>
              </w:rPr>
              <w:t>2,678</w:t>
            </w:r>
          </w:p>
        </w:tc>
        <w:tc>
          <w:tcPr>
            <w:tcW w:type="dxa" w:w="2351"/>
            <w:tcW w:w="1701" w:type="dxa"/>
          </w:tcPr>
          <w:p>
            <w:r>
              <w:rPr>
                <w:rFonts w:ascii="Times New Roman" w:hAnsi="Times New Roman"/>
                <w:sz w:val="20"/>
              </w:rPr>
              <w:t>2,020–3,551</w:t>
            </w:r>
          </w:p>
        </w:tc>
        <w:tc>
          <w:tcPr>
            <w:tcW w:type="dxa" w:w="2351"/>
            <w:tcW w:w="1701" w:type="dxa"/>
          </w:tcPr>
          <w:p>
            <w:r>
              <w:rPr>
                <w:rFonts w:ascii="Times New Roman" w:hAnsi="Times New Roman"/>
                <w:sz w:val="20"/>
              </w:rPr>
              <w:t>Nguy cơ</w:t>
            </w:r>
          </w:p>
        </w:tc>
      </w:tr>
      <w:tr>
        <w:tc>
          <w:tcPr>
            <w:tcW w:type="dxa" w:w="2351"/>
            <w:tcW w:w="2268" w:type="dxa"/>
          </w:tcPr>
          <w:p>
            <w:r>
              <w:rPr>
                <w:rFonts w:ascii="Times New Roman" w:hAnsi="Times New Roman"/>
                <w:sz w:val="20"/>
              </w:rPr>
              <w:t>Nam giới (vs nữ)</w:t>
            </w:r>
          </w:p>
        </w:tc>
        <w:tc>
          <w:tcPr>
            <w:tcW w:type="dxa" w:w="2351"/>
            <w:tcW w:w="1134" w:type="dxa"/>
          </w:tcPr>
          <w:p>
            <w:r>
              <w:rPr>
                <w:rFonts w:ascii="Times New Roman" w:hAnsi="Times New Roman"/>
                <w:sz w:val="20"/>
              </w:rPr>
              <w:t>0,803</w:t>
            </w:r>
          </w:p>
        </w:tc>
        <w:tc>
          <w:tcPr>
            <w:tcW w:type="dxa" w:w="2351"/>
            <w:tcW w:w="1701" w:type="dxa"/>
          </w:tcPr>
          <w:p>
            <w:r>
              <w:rPr>
                <w:rFonts w:ascii="Times New Roman" w:hAnsi="Times New Roman"/>
                <w:sz w:val="20"/>
              </w:rPr>
              <w:t>0,716–0,902</w:t>
            </w:r>
          </w:p>
        </w:tc>
        <w:tc>
          <w:tcPr>
            <w:tcW w:type="dxa" w:w="2351"/>
            <w:tcW w:w="1701" w:type="dxa"/>
          </w:tcPr>
          <w:p>
            <w:r>
              <w:rPr>
                <w:rFonts w:ascii="Times New Roman" w:hAnsi="Times New Roman"/>
                <w:sz w:val="20"/>
              </w:rPr>
              <w:t>Bảo vệ</w:t>
            </w:r>
          </w:p>
        </w:tc>
      </w:tr>
      <w:tr>
        <w:tc>
          <w:tcPr>
            <w:tcW w:type="dxa" w:w="2351"/>
            <w:tcW w:w="2268" w:type="dxa"/>
          </w:tcPr>
          <w:p>
            <w:r>
              <w:rPr>
                <w:rFonts w:ascii="Times New Roman" w:hAnsi="Times New Roman"/>
                <w:sz w:val="20"/>
              </w:rPr>
              <w:t>Hoạt động ngoài trời 1–2 giờ</w:t>
            </w:r>
          </w:p>
        </w:tc>
        <w:tc>
          <w:tcPr>
            <w:tcW w:type="dxa" w:w="2351"/>
            <w:tcW w:w="1134" w:type="dxa"/>
          </w:tcPr>
          <w:p>
            <w:r>
              <w:rPr>
                <w:rFonts w:ascii="Times New Roman" w:hAnsi="Times New Roman"/>
                <w:sz w:val="20"/>
              </w:rPr>
              <w:t>0,656</w:t>
            </w:r>
          </w:p>
        </w:tc>
        <w:tc>
          <w:tcPr>
            <w:tcW w:type="dxa" w:w="2351"/>
            <w:tcW w:w="1701" w:type="dxa"/>
          </w:tcPr>
          <w:p>
            <w:r>
              <w:rPr>
                <w:rFonts w:ascii="Times New Roman" w:hAnsi="Times New Roman"/>
                <w:sz w:val="20"/>
              </w:rPr>
              <w:t>0,534–0,807</w:t>
            </w:r>
          </w:p>
        </w:tc>
        <w:tc>
          <w:tcPr>
            <w:tcW w:type="dxa" w:w="2351"/>
            <w:tcW w:w="1701" w:type="dxa"/>
          </w:tcPr>
          <w:p>
            <w:r>
              <w:rPr>
                <w:rFonts w:ascii="Times New Roman" w:hAnsi="Times New Roman"/>
                <w:sz w:val="20"/>
              </w:rPr>
              <w:t>Bảo vệ</w:t>
            </w:r>
          </w:p>
        </w:tc>
      </w:tr>
      <w:tr>
        <w:tc>
          <w:tcPr>
            <w:tcW w:type="dxa" w:w="2351"/>
            <w:tcW w:w="2268" w:type="dxa"/>
          </w:tcPr>
          <w:p>
            <w:r>
              <w:rPr>
                <w:rFonts w:ascii="Times New Roman" w:hAnsi="Times New Roman"/>
                <w:sz w:val="20"/>
              </w:rPr>
              <w:t>Hoạt động ngoài trời 2–3 giờ</w:t>
            </w:r>
          </w:p>
        </w:tc>
        <w:tc>
          <w:tcPr>
            <w:tcW w:type="dxa" w:w="2351"/>
            <w:tcW w:w="1134" w:type="dxa"/>
          </w:tcPr>
          <w:p>
            <w:r>
              <w:rPr>
                <w:rFonts w:ascii="Times New Roman" w:hAnsi="Times New Roman"/>
                <w:sz w:val="20"/>
              </w:rPr>
              <w:t>0,557</w:t>
            </w:r>
          </w:p>
        </w:tc>
        <w:tc>
          <w:tcPr>
            <w:tcW w:type="dxa" w:w="2351"/>
            <w:tcW w:w="1701" w:type="dxa"/>
          </w:tcPr>
          <w:p>
            <w:r>
              <w:rPr>
                <w:rFonts w:ascii="Times New Roman" w:hAnsi="Times New Roman"/>
                <w:sz w:val="20"/>
              </w:rPr>
              <w:t>0,409–0,759</w:t>
            </w:r>
          </w:p>
        </w:tc>
        <w:tc>
          <w:tcPr>
            <w:tcW w:type="dxa" w:w="2351"/>
            <w:tcW w:w="1701" w:type="dxa"/>
          </w:tcPr>
          <w:p>
            <w:r>
              <w:rPr>
                <w:rFonts w:ascii="Times New Roman" w:hAnsi="Times New Roman"/>
                <w:sz w:val="20"/>
              </w:rPr>
              <w:t>Bảo vệ</w:t>
            </w:r>
          </w:p>
        </w:tc>
      </w:tr>
    </w:tbl>
    <w:p/>
    <w:p>
      <w:r>
        <w:rPr>
          <w:rFonts w:ascii="Times New Roman" w:hAnsi="Times New Roman"/>
          <w:b w:val="0"/>
          <w:i w:val="0"/>
          <w:sz w:val="24"/>
        </w:rPr>
        <w:t>Xu hướng 2019–2023: Tỷ lệ trầm cảm ở Nantong (thành phố lân cận) là 20,3% — cao hơn đáng kể so với Suzhou, gợi ý sự khác biệt giữa các thành phố ngay trong cùng khu vực.</w:t>
      </w:r>
    </w:p>
    <w:p>
      <w:r>
        <w:rPr>
          <w:rFonts w:ascii="Times New Roman" w:hAnsi="Times New Roman"/>
          <w:i/>
          <w:color w:val="808080"/>
          <w:sz w:val="18"/>
        </w:rPr>
        <w:t>--- Trang 8–9, BMC Public Health, 25:17 ---</w:t>
      </w:r>
    </w:p>
    <w:p>
      <w:pPr>
        <w:pStyle w:val="Heading2"/>
      </w:pPr>
      <w:r>
        <w:rPr>
          <w:rFonts w:ascii="Times New Roman" w:hAnsi="Times New Roman"/>
          <w:color w:val="000000"/>
        </w:rPr>
        <w:t>THẢO LUẬN</w:t>
      </w:r>
    </w:p>
    <w:p>
      <w:r>
        <w:rPr>
          <w:rFonts w:ascii="Times New Roman" w:hAnsi="Times New Roman"/>
          <w:b w:val="0"/>
          <w:i w:val="0"/>
          <w:sz w:val="24"/>
        </w:rPr>
        <w:t>Ngủ ít là yếu tố nguy cơ mạnh nhất (AOR = 13,71 cho &lt; 5 giờ) — phù hợp với meta-analysis cho thấy thiếu ngủ tăng gấp đôi nguy cơ trầm cảm ở VTN (Lovato &amp; Gradisar, 2014). Hoạt động ngoài trời là yếu tố bảo vệ rõ ràng — nhất quán với bằng chứng về tác dụng của thể chất lên SKTT (Biddle và cộng sự, 2019).</w:t>
      </w:r>
    </w:p>
    <w:p>
      <w:r>
        <w:rPr>
          <w:rFonts w:ascii="Times New Roman" w:hAnsi="Times New Roman"/>
          <w:b w:val="0"/>
          <w:i w:val="0"/>
          <w:sz w:val="24"/>
        </w:rPr>
        <w:t>Cấu trúc gia đình ảnh hưởng đáng kể: gia đình tái hôn (AOR = 1,84) và cả 2 cha mẹ vắng mặt (AOR = 1,71) tăng nguy cơ. Đây là vấn đề phổ biến ở Trung Quốc với hiện tượng "trẻ em bị bỏ lại" (left-behind children) khi cha mẹ đi làm xa.</w:t>
      </w:r>
    </w:p>
    <w:p>
      <w:pPr>
        <w:pStyle w:val="Heading2"/>
      </w:pPr>
      <w:r>
        <w:rPr>
          <w:rFonts w:ascii="Times New Roman" w:hAnsi="Times New Roman"/>
          <w:color w:val="000000"/>
        </w:rPr>
        <w:t>KẾT LUẬN</w:t>
      </w:r>
    </w:p>
    <w:p>
      <w:r>
        <w:rPr>
          <w:rFonts w:ascii="Times New Roman" w:hAnsi="Times New Roman"/>
          <w:b w:val="0"/>
          <w:i w:val="0"/>
          <w:sz w:val="24"/>
        </w:rPr>
        <w:t>Khoảng 1/5 học sinh THCS/THPT tại miền Đông Trung Quốc có triệu chứng trầm cảm. Giấc ngủ đủ và hoạt động ngoài trời là hai yếu tố bảo vệ có thể can thiệp được. Cần chương trình SKTT tại trường học tích hợp giáo dục giấc ngủ và hoạt động thể chất.</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PHQ-9</w:t>
            </w:r>
          </w:p>
        </w:tc>
        <w:tc>
          <w:tcPr>
            <w:tcW w:type="dxa" w:w="4702"/>
            <w:tcW w:w="7371" w:type="dxa"/>
          </w:tcPr>
          <w:p>
            <w:r>
              <w:rPr>
                <w:rFonts w:ascii="Times New Roman" w:hAnsi="Times New Roman"/>
                <w:sz w:val="20"/>
              </w:rPr>
              <w:t>Patient Health Questionnaire-9 — Bảng hỏi Sức khỏe Bệnh nhân 9 mục</w:t>
            </w:r>
          </w:p>
        </w:tc>
      </w:tr>
      <w:tr>
        <w:tc>
          <w:tcPr>
            <w:tcW w:type="dxa" w:w="4702"/>
            <w:tcW w:w="1701" w:type="dxa"/>
          </w:tcPr>
          <w:p>
            <w:r>
              <w:rPr>
                <w:rFonts w:ascii="Times New Roman" w:hAnsi="Times New Roman"/>
                <w:sz w:val="20"/>
              </w:rPr>
              <w:t>AOR</w:t>
            </w:r>
          </w:p>
        </w:tc>
        <w:tc>
          <w:tcPr>
            <w:tcW w:type="dxa" w:w="4702"/>
            <w:tcW w:w="7371" w:type="dxa"/>
          </w:tcPr>
          <w:p>
            <w:r>
              <w:rPr>
                <w:rFonts w:ascii="Times New Roman" w:hAnsi="Times New Roman"/>
                <w:sz w:val="20"/>
              </w:rPr>
              <w:t>Adjusted Odds Ratio — Tỷ số chênh điều chỉnh</w:t>
            </w:r>
          </w:p>
        </w:tc>
      </w:tr>
      <w:tr>
        <w:tc>
          <w:tcPr>
            <w:tcW w:type="dxa" w:w="4702"/>
            <w:tcW w:w="1701" w:type="dxa"/>
          </w:tcPr>
          <w:p>
            <w:r>
              <w:rPr>
                <w:rFonts w:ascii="Times New Roman" w:hAnsi="Times New Roman"/>
                <w:sz w:val="20"/>
              </w:rPr>
              <w:t>CI</w:t>
            </w:r>
          </w:p>
        </w:tc>
        <w:tc>
          <w:tcPr>
            <w:tcW w:type="dxa" w:w="4702"/>
            <w:tcW w:w="7371" w:type="dxa"/>
          </w:tcPr>
          <w:p>
            <w:r>
              <w:rPr>
                <w:rFonts w:ascii="Times New Roman" w:hAnsi="Times New Roman"/>
                <w:sz w:val="20"/>
              </w:rPr>
              <w:t>Confidence Interval — Khoảng tin cậy</w:t>
            </w:r>
          </w:p>
        </w:tc>
      </w:tr>
      <w:tr>
        <w:tc>
          <w:tcPr>
            <w:tcW w:type="dxa" w:w="4702"/>
            <w:tcW w:w="1701" w:type="dxa"/>
          </w:tcPr>
          <w:p>
            <w:r>
              <w:rPr>
                <w:rFonts w:ascii="Times New Roman" w:hAnsi="Times New Roman"/>
                <w:sz w:val="20"/>
              </w:rPr>
              <w:t>THCS</w:t>
            </w:r>
          </w:p>
        </w:tc>
        <w:tc>
          <w:tcPr>
            <w:tcW w:type="dxa" w:w="4702"/>
            <w:tcW w:w="7371" w:type="dxa"/>
          </w:tcPr>
          <w:p>
            <w:r>
              <w:rPr>
                <w:rFonts w:ascii="Times New Roman" w:hAnsi="Times New Roman"/>
                <w:sz w:val="20"/>
              </w:rPr>
              <w:t>Trung học cơ sở (Junior high school)</w:t>
            </w:r>
          </w:p>
        </w:tc>
      </w:tr>
      <w:tr>
        <w:tc>
          <w:tcPr>
            <w:tcW w:type="dxa" w:w="4702"/>
            <w:tcW w:w="1701" w:type="dxa"/>
          </w:tcPr>
          <w:p>
            <w:r>
              <w:rPr>
                <w:rFonts w:ascii="Times New Roman" w:hAnsi="Times New Roman"/>
                <w:sz w:val="20"/>
              </w:rPr>
              <w:t>THPT</w:t>
            </w:r>
          </w:p>
        </w:tc>
        <w:tc>
          <w:tcPr>
            <w:tcW w:type="dxa" w:w="4702"/>
            <w:tcW w:w="7371" w:type="dxa"/>
          </w:tcPr>
          <w:p>
            <w:r>
              <w:rPr>
                <w:rFonts w:ascii="Times New Roman" w:hAnsi="Times New Roman"/>
                <w:sz w:val="20"/>
              </w:rPr>
              <w:t>Trung học phổ thông (Senior high school)</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w:t>
            </w:r>
          </w:p>
        </w:tc>
      </w:tr>
    </w:tbl>
    <w:p/>
    <w:p>
      <w:r>
        <w:rPr>
          <w:rFonts w:ascii="Times New Roman" w:hAnsi="Times New Roman"/>
          <w:b/>
          <w:color w:val="FF0000"/>
          <w:sz w:val="26"/>
        </w:rPr>
        <w:t>PHẢN BIỆN CHI TIẾT</w:t>
      </w:r>
    </w:p>
    <w:p>
      <w:r>
        <w:rPr>
          <w:rFonts w:ascii="Times New Roman" w:hAnsi="Times New Roman"/>
          <w:b/>
          <w:color w:val="FF0000"/>
          <w:sz w:val="24"/>
        </w:rPr>
        <w:t>Điểm mạnh:</w:t>
      </w:r>
    </w:p>
    <w:p>
      <w:r>
        <w:rPr>
          <w:rFonts w:ascii="Times New Roman" w:hAnsi="Times New Roman"/>
          <w:b w:val="0"/>
          <w:color w:val="FF0000"/>
          <w:sz w:val="24"/>
        </w:rPr>
        <w:t>• Cỡ mẫu lớn (n = 9.831) với tỷ lệ phản hồi cực cao (99,1%) — giảm thiên lệch chọn (Etikan và cộng sự, 2016).</w:t>
      </w:r>
    </w:p>
    <w:p>
      <w:r>
        <w:rPr>
          <w:rFonts w:ascii="Times New Roman" w:hAnsi="Times New Roman"/>
          <w:b w:val="0"/>
          <w:color w:val="FF0000"/>
          <w:sz w:val="24"/>
        </w:rPr>
        <w:t>• PHQ-9 được sử dụng rộng rãi và có tính so sánh quốc tế cao (Spitzer và cộng sự, 2006).</w:t>
      </w:r>
    </w:p>
    <w:p>
      <w:r>
        <w:rPr>
          <w:rFonts w:ascii="Times New Roman" w:hAnsi="Times New Roman"/>
          <w:b w:val="0"/>
          <w:color w:val="FF0000"/>
          <w:sz w:val="24"/>
        </w:rPr>
        <w:t>• Phân tích đa biến kiểm soát nhiều biến gây nhiễu (VanderWeele, 2019).</w:t>
      </w:r>
    </w:p>
    <w:p>
      <w:r>
        <w:rPr>
          <w:rFonts w:ascii="Times New Roman" w:hAnsi="Times New Roman"/>
          <w:b w:val="0"/>
          <w:color w:val="FF0000"/>
          <w:sz w:val="24"/>
        </w:rPr>
        <w:t>• Phát hiện AOR = 13,71 cho ngủ &lt; 5 giờ — bằng chứng mạnh cho can thiệp giấc ngủ (Hale và cộng sự, 2015).</w:t>
      </w:r>
    </w:p>
    <w:p>
      <w:r>
        <w:rPr>
          <w:rFonts w:ascii="Times New Roman" w:hAnsi="Times New Roman"/>
          <w:b/>
          <w:color w:val="FF0000"/>
          <w:sz w:val="24"/>
        </w:rPr>
        <w:t>Hạn chế:</w:t>
      </w:r>
    </w:p>
    <w:p>
      <w:r>
        <w:rPr>
          <w:rFonts w:ascii="Times New Roman" w:hAnsi="Times New Roman"/>
          <w:b w:val="0"/>
          <w:color w:val="FF0000"/>
          <w:sz w:val="24"/>
        </w:rPr>
        <w:t>• Chỉ tại Suzhou — thành phố phát triển, không đại diện nông thôn hay miền Tây nghèo hơn (GBD 2021 ASEAN Collaborators, 2025).</w:t>
      </w:r>
    </w:p>
    <w:p>
      <w:r>
        <w:rPr>
          <w:rFonts w:ascii="Times New Roman" w:hAnsi="Times New Roman"/>
          <w:b w:val="0"/>
          <w:color w:val="FF0000"/>
          <w:sz w:val="24"/>
        </w:rPr>
        <w:t>• Thiết kế cắt ngang: không thể kết luận ngủ ít GÂY RA trầm cảm hay trầm cảm gây mất ngủ (Sedgwick, 2014).</w:t>
      </w:r>
    </w:p>
    <w:p>
      <w:r>
        <w:rPr>
          <w:rFonts w:ascii="Times New Roman" w:hAnsi="Times New Roman"/>
          <w:b w:val="0"/>
          <w:color w:val="FF0000"/>
          <w:sz w:val="24"/>
        </w:rPr>
        <w:t>• PHQ-9 là sàng lọc, không phải chẩn đoán — 20,3% là triệu chứng, V-NAMHS dùng DISC-5 chỉ ghi nhận 2,3% rối loạn lo âu tại Việt Nam (Vũ Mạnh Lợi và cộng sự, 2022).</w:t>
      </w:r>
    </w:p>
    <w:p>
      <w:r>
        <w:rPr>
          <w:rFonts w:ascii="Times New Roman" w:hAnsi="Times New Roman"/>
          <w:b w:val="0"/>
          <w:color w:val="FF0000"/>
          <w:sz w:val="24"/>
        </w:rPr>
        <w:t>• Chỉ đo trầm cảm, thiếu lo âu — cần bổ sung GAD-7 (Spitzer và cộng sự, 2006).</w:t>
      </w:r>
    </w:p>
    <w:p>
      <w:r>
        <w:rPr>
          <w:rFonts w:ascii="Times New Roman" w:hAnsi="Times New Roman"/>
          <w:b w:val="0"/>
          <w:color w:val="FF0000"/>
          <w:sz w:val="24"/>
        </w:rPr>
        <w:t>• Khảo sát trực tuyến — có thể thiên lệch cho HS có thiết bị/internet (Etikan và cộng sự, 2016).</w:t>
      </w:r>
    </w:p>
    <w:p>
      <w:r>
        <w:rPr>
          <w:rFonts w:ascii="Times New Roman" w:hAnsi="Times New Roman"/>
          <w:b/>
          <w:color w:val="FF0000"/>
          <w:sz w:val="24"/>
        </w:rPr>
        <w:t>Khoảng trống nghiên cứu (Gap):</w:t>
      </w:r>
    </w:p>
    <w:p>
      <w:r>
        <w:rPr>
          <w:rFonts w:ascii="Times New Roman" w:hAnsi="Times New Roman"/>
          <w:b w:val="0"/>
          <w:color w:val="FF0000"/>
          <w:sz w:val="24"/>
        </w:rPr>
        <w:t>• RCT can thiệp tăng giấc ngủ + hoạt động ngoài trời tại trường THCS/THPT — đặc biệt cho nhóm ngủ &lt; 6 giờ (Werner-Seidler và cộng sự, 2021).</w:t>
      </w:r>
    </w:p>
    <w:p>
      <w:r>
        <w:rPr>
          <w:rFonts w:ascii="Times New Roman" w:hAnsi="Times New Roman"/>
          <w:b w:val="0"/>
          <w:color w:val="FF0000"/>
          <w:sz w:val="24"/>
        </w:rPr>
        <w:t>• Nghiên cứu dọc theo dõi cùng nhóm HS từ 2019 qua COVID đến 2025 (Caruana và cộng sự, 2015).</w:t>
      </w:r>
    </w:p>
    <w:p>
      <w:r>
        <w:rPr>
          <w:rFonts w:ascii="Times New Roman" w:hAnsi="Times New Roman"/>
          <w:b w:val="0"/>
          <w:color w:val="FF0000"/>
          <w:sz w:val="24"/>
        </w:rPr>
        <w:t>• So sánh miền Đông (Suzhou) vs miền Tây (nông thôn) Trung Quốc — yếu tố kinh tế xã hội (Wen và cộng sự, 2020).</w:t>
      </w:r>
    </w:p>
    <w:p>
      <w:r>
        <w:rPr>
          <w:rFonts w:ascii="Times New Roman" w:hAnsi="Times New Roman"/>
          <w:b w:val="0"/>
          <w:color w:val="FF0000"/>
          <w:sz w:val="24"/>
        </w:rPr>
        <w:t>• Nghiên cứu cơ chế: giấc ngủ → viêm thần kinh → trầm cảm (Hale và cộng sự, 2015; Chronic Stress Neuroinflammation, 2023).</w:t>
      </w:r>
    </w:p>
    <w:p>
      <w:r>
        <w:rPr>
          <w:rFonts w:ascii="Times New Roman" w:hAnsi="Times New Roman"/>
          <w:b w:val="0"/>
          <w:color w:val="FF0000"/>
          <w:sz w:val="24"/>
        </w:rPr>
        <w:t>• So sánh liên quốc gia: Trung Quốc vs Việt Nam vs Hàn Quốc với cùng PHQ-9 (GBD 2021 ASEAN Collaborators, 2025).</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BMC Public Health Q1. n lớn (Suzhou, TQ).</w:t>
      </w:r>
    </w:p>
    <w:p>
      <w:r>
        <w:rPr>
          <w:rFonts w:ascii="Times New Roman" w:hAnsi="Times New Roman"/>
          <w:b w:val="0"/>
          <w:color w:val="FF0000"/>
          <w:sz w:val="24"/>
        </w:rPr>
        <w:t>• Giấc ngủ &lt;5h: AOR = 13,71 cho trầm cảm chắc chắn — yếu tố mạnh nhất.</w:t>
      </w:r>
    </w:p>
    <w:p>
      <w:r>
        <w:rPr>
          <w:rFonts w:ascii="Times New Roman" w:hAnsi="Times New Roman"/>
          <w:b/>
          <w:color w:val="FF0000"/>
          <w:sz w:val="24"/>
        </w:rPr>
        <w:t>Hạn chế chi tiết:</w:t>
      </w:r>
    </w:p>
    <w:p>
      <w:r>
        <w:rPr>
          <w:rFonts w:ascii="Times New Roman" w:hAnsi="Times New Roman"/>
          <w:b w:val="0"/>
          <w:color w:val="FF0000"/>
          <w:sz w:val="24"/>
        </w:rPr>
        <w:t>• Chỉ TQ (Suzhou) — đô thị phát triển.</w:t>
      </w:r>
    </w:p>
    <w:p>
      <w:r>
        <w:rPr>
          <w:rFonts w:ascii="Times New Roman" w:hAnsi="Times New Roman"/>
          <w:b w:val="0"/>
          <w:color w:val="FF0000"/>
          <w:sz w:val="24"/>
        </w:rPr>
        <w:t>• DASS-21 sàng lọc.</w:t>
      </w:r>
    </w:p>
    <w:p>
      <w:r>
        <w:rPr>
          <w:rFonts w:ascii="Times New Roman" w:hAnsi="Times New Roman"/>
          <w:b/>
          <w:color w:val="FF0000"/>
          <w:sz w:val="24"/>
        </w:rPr>
        <w:t>Khoảng trống nghiên cứu / Gap:</w:t>
      </w:r>
    </w:p>
    <w:p>
      <w:r>
        <w:rPr>
          <w:rFonts w:ascii="Times New Roman" w:hAnsi="Times New Roman"/>
          <w:b w:val="0"/>
          <w:color w:val="FF0000"/>
          <w:sz w:val="24"/>
        </w:rPr>
        <w:t>• NC giấc ngủ-lo âu ở VTN VN — chưa có. 59 Countries (QT31): ngồi &gt;4h AOR=1,50.</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