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bài báo gốc: https://doi.org/10.1016/j.jaac.2024.08.008</w:t>
      </w:r>
    </w:p>
    <w:p>
      <w:pPr>
        <w:pStyle w:val="Heading1"/>
      </w:pPr>
      <w:r>
        <w:rPr>
          <w:rFonts w:ascii="Times New Roman" w:hAnsi="Times New Roman"/>
          <w:color w:val="000000"/>
        </w:rPr>
        <w:t>Xu hướng rối loạn tâm thần ở trẻ em và thanh thiếu niên nhận điều trị trong hệ thống sức khỏe tâm thần công lập Hoa Kỳ</w:t>
      </w:r>
    </w:p>
    <w:p>
      <w:r>
        <w:rPr>
          <w:rFonts w:ascii="Times New Roman" w:hAnsi="Times New Roman"/>
          <w:i/>
          <w:sz w:val="26"/>
        </w:rPr>
        <w:t>Trends in Mental Disorders in Children and Adolescents Receiving Treatment in the State Mental Health System</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Trends in Mental Disorders in Children and Adolescents Receiving Treatment in the State Mental Health System</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Xu hướng rối loạn tâm thần ở trẻ em và thanh thiếu niên nhận điều trị trong hệ thống sức khỏe tâm thần công lập Hoa Kỳ</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Ramin Mojtabai, MD, PhD, MPH; Mark Olfson, MD, MPH</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Tulane University School of Medicine, New Orleans; Columbia University, New York</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Journal of the American Academy of Child &amp; Adolescent Psychiatry — JAACAP (Q1, IF ≈ 11,0)</w:t>
            </w:r>
          </w:p>
        </w:tc>
      </w:tr>
      <w:tr>
        <w:tc>
          <w:tcPr>
            <w:tcW w:type="dxa" w:w="4702"/>
            <w:tcW w:w="1984" w:type="dxa"/>
            <w:shd w:fill="D9E2F3" w:val="clear"/>
          </w:tcPr>
          <w:p>
            <w:r>
              <w:rPr>
                <w:rFonts w:ascii="Times New Roman" w:hAnsi="Times New Roman"/>
                <w:b/>
                <w:sz w:val="20"/>
              </w:rPr>
              <w:t>Thông tin xuất bản</w:t>
            </w:r>
          </w:p>
        </w:tc>
        <w:tc>
          <w:tcPr>
            <w:tcW w:type="dxa" w:w="4702"/>
            <w:tcW w:w="7087" w:type="dxa"/>
          </w:tcPr>
          <w:p>
            <w:r>
              <w:rPr>
                <w:rFonts w:ascii="Times New Roman" w:hAnsi="Times New Roman"/>
                <w:sz w:val="20"/>
              </w:rPr>
              <w:t>Vol. 64, No. 8, August 2025, 15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10.1016/j.jaac.2024.08.008</w:t>
            </w:r>
          </w:p>
        </w:tc>
      </w:tr>
      <w:tr>
        <w:tc>
          <w:tcPr>
            <w:tcW w:type="dxa" w:w="4702"/>
            <w:tcW w:w="1984" w:type="dxa"/>
            <w:shd w:fill="D9E2F3" w:val="clear"/>
          </w:tcPr>
          <w:p>
            <w:r>
              <w:rPr>
                <w:rFonts w:ascii="Times New Roman" w:hAnsi="Times New Roman"/>
                <w:b/>
                <w:sz w:val="20"/>
              </w:rPr>
              <w:t>Loại nghiên cứu</w:t>
            </w:r>
          </w:p>
        </w:tc>
        <w:tc>
          <w:tcPr>
            <w:tcW w:type="dxa" w:w="4702"/>
            <w:tcW w:w="7087" w:type="dxa"/>
          </w:tcPr>
          <w:p>
            <w:r>
              <w:rPr>
                <w:rFonts w:ascii="Times New Roman" w:hAnsi="Times New Roman"/>
                <w:sz w:val="20"/>
              </w:rPr>
              <w:t>Phân tích xu hướng — dữ liệu hành chính quốc gia (administrative data)</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13.684.154 hồ sơ trẻ em/VTN (≤17 tuổi) trong hệ thống SKTT công lập Mỹ, 2013–2021</w:t>
            </w:r>
          </w:p>
        </w:tc>
      </w:tr>
    </w:tbl>
    <w:p>
      <w:r>
        <w:rPr>
          <w:rFonts w:ascii="Times New Roman" w:hAnsi="Times New Roman"/>
          <w:i/>
          <w:color w:val="808080"/>
          <w:sz w:val="18"/>
        </w:rPr>
        <w:t>--- Trang 1–15, JAACAP, Vol. 64(8), 2025 ---</w:t>
      </w:r>
    </w:p>
    <w:p>
      <w:pPr>
        <w:pStyle w:val="Heading2"/>
      </w:pPr>
      <w:r>
        <w:rPr>
          <w:rFonts w:ascii="Times New Roman" w:hAnsi="Times New Roman"/>
          <w:color w:val="000000"/>
        </w:rPr>
        <w:t>TÓM TẮT</w:t>
      </w:r>
    </w:p>
    <w:p>
      <w:r>
        <w:rPr>
          <w:rFonts w:ascii="Times New Roman" w:hAnsi="Times New Roman"/>
          <w:b w:val="0"/>
          <w:i w:val="0"/>
          <w:sz w:val="24"/>
        </w:rPr>
        <w:t>Mục tiêu: Kiểm tra xu hướng gần đây trong chẩn đoán lâm sàng của trẻ em và thanh thiếu niên nhận điều trị tại các dịch vụ SKTT được tài trợ công trong hệ thống y tế Hoa Kỳ.</w:t>
      </w:r>
    </w:p>
    <w:p>
      <w:r>
        <w:rPr>
          <w:rFonts w:ascii="Times New Roman" w:hAnsi="Times New Roman"/>
          <w:color w:val="CC0000"/>
          <w:sz w:val="24"/>
        </w:rPr>
        <w:t>Phương pháp: Dữ liệu về trẻ em và VTN (≤17 tuổi) nhận điều trị từ dịch vụ SKTT tài trợ công, ghi nhận trong Mental Health Client-Level Data (MH-CLD) 2013–2021 (tổng 13.684.154 hồ sơ), được sử dụng để kiểm tra xu hướng thời gian trong tỷ lệ các rối loạn tâm thần khác nhau. Xu hướng được kiểm tra tổng thể và phân tầng theo tuổi, giới, chủng tộc/dân tộc, và loại hình dịch vụ, tập trung vào chương trình cộng đồng.</w:t>
      </w:r>
    </w:p>
    <w:p>
      <w:r>
        <w:rPr>
          <w:rFonts w:ascii="Times New Roman" w:hAnsi="Times New Roman"/>
          <w:color w:val="CC0000"/>
          <w:sz w:val="24"/>
        </w:rPr>
        <w:t>Kết quả: Tỷ lệ rối loạn lo âu TĂNG từ 9,6% năm 2013 lên 19,2% năm 2021 (AOR = 2,17; KTC 95%: 1,85–2,55; p &lt; 0,001). Rối loạn liên quan sang chấn/stress tăng từ 22,7% lên 27,4% (AOR = 1,31; p = 0,004). Rối loạn trầm cảm tăng từ 13,4% lên 17,0% (AOR = 1,20; p = 0,04). Trong cùng giai đoạn, rối loạn lưỡng cực GIẢM gần 8 lần từ 10,0% xuống 1,3% (AOR = 0,07; p &lt; 0,001). Rối loạn hành vi và chống đối cũng giảm.</w:t>
      </w:r>
    </w:p>
    <w:p>
      <w:r>
        <w:rPr>
          <w:rFonts w:ascii="Times New Roman" w:hAnsi="Times New Roman"/>
          <w:b w:val="0"/>
          <w:i w:val="0"/>
          <w:sz w:val="24"/>
        </w:rPr>
        <w:t>Kết luận: Cấu trúc chẩn đoán tâm thần ở trẻ em trong hệ thống SKTT công thay đổi đáng kể trong thập kỷ qua. Tăng rối loạn lo âu và trầm cảm song song xu hướng dân số chung, nhấn mạnh nhu cầu ngày càng lớn trong việc xác định và điều trị hiệu quả các rối loạn này.</w:t>
      </w:r>
    </w:p>
    <w:p>
      <w:pPr>
        <w:pStyle w:val="Heading2"/>
      </w:pPr>
      <w:r>
        <w:rPr>
          <w:rFonts w:ascii="Times New Roman" w:hAnsi="Times New Roman"/>
          <w:color w:val="000000"/>
        </w:rPr>
        <w:t>TÓM TẮT ĐÁNH GIÁ NHANH</w:t>
      </w:r>
    </w:p>
    <w:p>
      <w:r>
        <w:rPr>
          <w:rFonts w:ascii="Times New Roman" w:hAnsi="Times New Roman"/>
          <w:b w:val="0"/>
          <w:i w:val="0"/>
          <w:sz w:val="24"/>
        </w:rPr>
        <w:t>• JAACAP — tạp chí hàng đầu thế giới về tâm thần trẻ em (Q1, IF ≈ 11,0).</w:t>
      </w:r>
    </w:p>
    <w:p>
      <w:r>
        <w:rPr>
          <w:rFonts w:ascii="Times New Roman" w:hAnsi="Times New Roman"/>
          <w:b w:val="0"/>
          <w:i w:val="0"/>
          <w:sz w:val="24"/>
        </w:rPr>
        <w:t>• Mẫu CỰC LỚN: 13,7 triệu hồ sơ lâm sàng — dữ liệu chẩn đoán thực tế (không phải sàng lọc).</w:t>
      </w:r>
    </w:p>
    <w:p>
      <w:r>
        <w:rPr>
          <w:rFonts w:ascii="Times New Roman" w:hAnsi="Times New Roman"/>
          <w:b w:val="0"/>
          <w:i w:val="0"/>
          <w:sz w:val="24"/>
        </w:rPr>
        <w:t>• Lo âu TĂNG GẤP ĐÔI trong 8 năm (AOR = 2,17) — xu hướng mạnh nhất, đặc biệt ở VTN 15–17 tuổi (AOR = 2,93).</w:t>
      </w:r>
    </w:p>
    <w:p>
      <w:r>
        <w:rPr>
          <w:rFonts w:ascii="Times New Roman" w:hAnsi="Times New Roman"/>
          <w:b w:val="0"/>
          <w:i w:val="0"/>
          <w:sz w:val="24"/>
        </w:rPr>
        <w:t>• Lưỡng cực GIẢM 8 lần — phản ánh thay đổi thực hành chẩn đoán (từ hành vi hóa sang nội hóa).</w:t>
      </w:r>
    </w:p>
    <w:p>
      <w:r>
        <w:rPr>
          <w:rFonts w:ascii="Times New Roman" w:hAnsi="Times New Roman"/>
          <w:b w:val="0"/>
          <w:i w:val="0"/>
          <w:sz w:val="24"/>
        </w:rPr>
        <w:t>• Dữ liệu phân tầng theo giới, tuổi, chủng tộc — phân tích rất chi tiết.</w:t>
      </w:r>
    </w:p>
    <w:p>
      <w:r>
        <w:rPr>
          <w:rFonts w:ascii="Times New Roman" w:hAnsi="Times New Roman"/>
          <w:b/>
          <w:i w:val="0"/>
          <w:sz w:val="24"/>
        </w:rPr>
        <w:t>Hạn chế:</w:t>
      </w:r>
    </w:p>
    <w:p>
      <w:r>
        <w:rPr>
          <w:rFonts w:ascii="Times New Roman" w:hAnsi="Times New Roman"/>
          <w:b w:val="0"/>
          <w:i w:val="0"/>
          <w:sz w:val="24"/>
        </w:rPr>
        <w:t>• Chỉ trẻ ĐANG nhận điều trị trong hệ thống công — thiên lệch chọn (không bao gồm trẻ chưa chẩn đoán, trẻ hệ thống tư nhân).</w:t>
      </w:r>
    </w:p>
    <w:p>
      <w:r>
        <w:rPr>
          <w:rFonts w:ascii="Times New Roman" w:hAnsi="Times New Roman"/>
          <w:b w:val="0"/>
          <w:i w:val="0"/>
          <w:sz w:val="24"/>
        </w:rPr>
        <w:t>• Xu hướng tăng có thể phản ánh tăng phát hiện + tăng thực sự cùng lúc — không tách được.</w:t>
      </w:r>
    </w:p>
    <w:p>
      <w:r>
        <w:rPr>
          <w:rFonts w:ascii="Times New Roman" w:hAnsi="Times New Roman"/>
          <w:b w:val="0"/>
          <w:i w:val="0"/>
          <w:sz w:val="24"/>
        </w:rPr>
        <w:t>• Chỉ Mỹ — hệ thống SKTT phát triển, khác biệt rất lớn với VN.</w:t>
      </w:r>
    </w:p>
    <w:p>
      <w:r>
        <w:rPr>
          <w:rFonts w:ascii="Times New Roman" w:hAnsi="Times New Roman"/>
          <w:b w:val="0"/>
          <w:i w:val="0"/>
          <w:sz w:val="24"/>
        </w:rPr>
        <w:t>• Dữ liệu hành chính — chất lượng chẩn đoán phụ thuộc vào thực hành lâm sàng tại từng tiểu bang.</w:t>
      </w:r>
    </w:p>
    <w:p>
      <w:r>
        <w:rPr>
          <w:rFonts w:ascii="Times New Roman" w:hAnsi="Times New Roman"/>
          <w:b/>
          <w:i w:val="0"/>
          <w:sz w:val="24"/>
        </w:rPr>
        <w:t>Hướng cải thiện:</w:t>
      </w:r>
    </w:p>
    <w:p>
      <w:r>
        <w:rPr>
          <w:rFonts w:ascii="Times New Roman" w:hAnsi="Times New Roman"/>
          <w:b w:val="0"/>
          <w:i w:val="0"/>
          <w:sz w:val="24"/>
        </w:rPr>
        <w:t>• Phân tích xu hướng tương tự từ dữ liệu Bệnh viện Nhi TW VN.</w:t>
      </w:r>
    </w:p>
    <w:p>
      <w:r>
        <w:rPr>
          <w:rFonts w:ascii="Times New Roman" w:hAnsi="Times New Roman"/>
          <w:b w:val="0"/>
          <w:i w:val="0"/>
          <w:sz w:val="24"/>
        </w:rPr>
        <w:t>• So sánh hệ thống y tế Mỹ (82,6% tiếp cận) vs VN (8,4%).</w:t>
      </w:r>
    </w:p>
    <w:p>
      <w:r>
        <w:rPr>
          <w:rFonts w:ascii="Times New Roman" w:hAnsi="Times New Roman"/>
          <w:b w:val="0"/>
          <w:i w:val="0"/>
          <w:sz w:val="24"/>
        </w:rPr>
        <w:t>• Đánh giá nguyên nhân xu hướng tăng (phát hiện vs thực sự).</w:t>
      </w:r>
    </w:p>
    <w:p>
      <w:r>
        <w:rPr>
          <w:rFonts w:ascii="Times New Roman" w:hAnsi="Times New Roman"/>
          <w:i/>
          <w:color w:val="808080"/>
          <w:sz w:val="18"/>
        </w:rPr>
        <w:t>--- Trang 1–2, JAACAP, Vol. 64(8), 2025 ---</w:t>
      </w:r>
    </w:p>
    <w:p>
      <w:pPr>
        <w:pStyle w:val="Heading2"/>
      </w:pPr>
      <w:r>
        <w:rPr>
          <w:rFonts w:ascii="Times New Roman" w:hAnsi="Times New Roman"/>
          <w:color w:val="000000"/>
        </w:rPr>
        <w:t>1. GIỚI THIỆU</w:t>
      </w:r>
    </w:p>
    <w:p>
      <w:r>
        <w:rPr>
          <w:rFonts w:ascii="Times New Roman" w:hAnsi="Times New Roman"/>
          <w:b w:val="0"/>
          <w:i w:val="0"/>
          <w:sz w:val="24"/>
        </w:rPr>
        <w:t>Trong hai thập kỷ qua, ngày càng nhiều bằng chứng cho thấy tỷ lệ ngày càng tăng của nhiều rối loạn tâm thần ở trẻ em và thanh thiếu niên tại Hoa Kỳ. Theo Khảo sát Sức khỏe Quốc gia 2005–2018, trầm cảm, ý tưởng tự tử và các vấn đề nội hóa chiếm tỷ lệ ngày càng tăng trong chăm sóc SKTT ngoại trú VTN, trong khi các vấn đề ngoại hóa (kiểm soát giận dữ, gây gổ) giảm.</w:t>
      </w:r>
    </w:p>
    <w:p>
      <w:r>
        <w:rPr>
          <w:rFonts w:ascii="Times New Roman" w:hAnsi="Times New Roman"/>
          <w:b w:val="0"/>
          <w:i w:val="0"/>
          <w:sz w:val="24"/>
        </w:rPr>
        <w:t>Phân tích dữ liệu MarketScan 2012–2018 (bảo hiểm thương mại) cho thấy: rối loạn lo âu tăng từ 3,7% lên 7,2%, rối loạn trầm cảm từ 1,8% lên 3,1%, ADHD từ 0,9% lên 1,5% ở trẻ em/VTN.</w:t>
      </w:r>
    </w:p>
    <w:p>
      <w:r>
        <w:rPr>
          <w:rFonts w:ascii="Times New Roman" w:hAnsi="Times New Roman"/>
          <w:b w:val="0"/>
          <w:i w:val="0"/>
          <w:sz w:val="24"/>
        </w:rPr>
        <w:t>Nghiên cứu hiện tại kiểm tra xu hướng chẩn đoán lâm sàng của trẻ em/VTN nhận điều trị trong dịch vụ SKTT vận hành hoặc tài trợ công tại Hoa Kỳ từ 2013 đến 2021, tập trung vào chương trình cộng đồng. Các chương trình này do tiểu bang vận hành hoặc nhận tài trợ liên bang qua quy trình tài trợ khối (block grant).</w:t>
      </w:r>
    </w:p>
    <w:p>
      <w:r>
        <w:rPr>
          <w:rFonts w:ascii="Times New Roman" w:hAnsi="Times New Roman"/>
          <w:b w:val="0"/>
          <w:i w:val="0"/>
          <w:sz w:val="24"/>
        </w:rPr>
        <w:t>Hệ thống SKTT công là thành phần thiết yếu của mạng lưới an toàn SKTT, phục vụ trẻ em/VTN có hoàn cảnh khó khăn (nghèo, không bảo hiểm, nhóm thiểu số, vùng nông thôn) — đặc biệt quan trọng vì nhóm này dễ bị tổn thương hơn.</w:t>
      </w:r>
    </w:p>
    <w:p>
      <w:r>
        <w:rPr>
          <w:rFonts w:ascii="Times New Roman" w:hAnsi="Times New Roman"/>
          <w:i/>
          <w:color w:val="808080"/>
          <w:sz w:val="18"/>
        </w:rPr>
        <w:t>--- Trang 2–4, JAACAP, Vol. 64(8), 2025 ---</w:t>
      </w:r>
    </w:p>
    <w:p>
      <w:pPr>
        <w:pStyle w:val="Heading2"/>
      </w:pPr>
      <w:r>
        <w:rPr>
          <w:rFonts w:ascii="Times New Roman" w:hAnsi="Times New Roman"/>
          <w:color w:val="000000"/>
        </w:rPr>
        <w:t>2. PHƯƠNG PHÁP</w:t>
      </w:r>
    </w:p>
    <w:p>
      <w:r>
        <w:rPr>
          <w:rFonts w:ascii="Times New Roman" w:hAnsi="Times New Roman"/>
          <w:b/>
          <w:i w:val="0"/>
          <w:sz w:val="24"/>
        </w:rPr>
        <w:t>2.1. Nguồn dữ liệu</w:t>
      </w:r>
    </w:p>
    <w:p>
      <w:r>
        <w:rPr>
          <w:rFonts w:ascii="Times New Roman" w:hAnsi="Times New Roman"/>
          <w:b w:val="0"/>
          <w:i w:val="0"/>
          <w:sz w:val="24"/>
        </w:rPr>
        <w:t>Dữ liệu Cấp Khách hàng Sức khỏe Tâm thần (MH-CLD — Mental Health Client-Level Data), thu thập bởi Cơ quan Dịch vụ Lạm dụng Chất và SKTT (SAMHSA — Substance Abuse and Mental Health Services Administration). MH-CLD ghi nhận đặc điểm nhân khẩu, chẩn đoán, và dịch vụ của người nhận điều trị từ các chương trình SKTT do tiểu bang tài trợ hoặc vận hành. Tất cả 50 tiểu bang và DC báo cáo dữ liệu.</w:t>
      </w:r>
    </w:p>
    <w:p>
      <w:r>
        <w:rPr>
          <w:rFonts w:ascii="Times New Roman" w:hAnsi="Times New Roman"/>
          <w:b/>
          <w:i w:val="0"/>
          <w:sz w:val="24"/>
        </w:rPr>
        <w:t>2.2. Mẫu và chẩn đoán</w:t>
      </w:r>
    </w:p>
    <w:p>
      <w:r>
        <w:rPr>
          <w:rFonts w:ascii="Times New Roman" w:hAnsi="Times New Roman"/>
          <w:b w:val="0"/>
          <w:i w:val="0"/>
          <w:sz w:val="24"/>
        </w:rPr>
        <w:t>Tổng cộng 13.684.154 hồ sơ trẻ em/VTN ≤17 tuổi (2013–2021). Tám nhóm rối loạn được phân tích: rối loạn lo âu, rối loạn trầm cảm, rối loạn lưỡng cực, rối loạn liên quan sang chấn/stress, ADHD, rối loạn hành vi (conduct disorder), rối loạn chống đối (ODD), và rối loạn phát triển tổng quát (PDD). Tám nhóm này chiếm 98,1% tổng bệnh nhân.</w:t>
      </w:r>
    </w:p>
    <w:p>
      <w:r>
        <w:rPr>
          <w:rFonts w:ascii="Times New Roman" w:hAnsi="Times New Roman"/>
          <w:b w:val="0"/>
          <w:i w:val="0"/>
          <w:sz w:val="24"/>
        </w:rPr>
        <w:t>Trẻ em/VTN được phân loại có rối loạn nếu chẩn đoán đó được ghi nhận ở vị trí 1, 2, hoặc 3 trong hồ sơ. Do nhiều trẻ có chẩn đoán ở nhiều nhóm, các nhóm KHÔNG loại trừ lẫn nhau.</w:t>
      </w:r>
    </w:p>
    <w:p>
      <w:r>
        <w:rPr>
          <w:rFonts w:ascii="Times New Roman" w:hAnsi="Times New Roman"/>
          <w:b/>
          <w:i w:val="0"/>
          <w:sz w:val="24"/>
        </w:rPr>
        <w:t>2.3. Cơ sở điều trị</w:t>
      </w:r>
    </w:p>
    <w:p>
      <w:r>
        <w:rPr>
          <w:rFonts w:ascii="Times New Roman" w:hAnsi="Times New Roman"/>
          <w:b w:val="0"/>
          <w:i w:val="0"/>
          <w:sz w:val="24"/>
        </w:rPr>
        <w:t>(1) Chương trình cộng đồng (SMHA): trung tâm SKTT cộng đồng, phòng khám ngoại trú, chương trình bán nội trú, chương trình hỗ trợ cộng đồng.</w:t>
      </w:r>
    </w:p>
    <w:p>
      <w:r>
        <w:rPr>
          <w:rFonts w:ascii="Times New Roman" w:hAnsi="Times New Roman"/>
          <w:b w:val="0"/>
          <w:i w:val="0"/>
          <w:sz w:val="24"/>
        </w:rPr>
        <w:t>(2) Cơ sở nội trú: tổ chức không phải bệnh viện tâm thần, cung cấp chăm sóc nội trú kết hợp điều trị SKTT.</w:t>
      </w:r>
    </w:p>
    <w:p>
      <w:r>
        <w:rPr>
          <w:rFonts w:ascii="Times New Roman" w:hAnsi="Times New Roman"/>
          <w:b w:val="0"/>
          <w:i w:val="0"/>
          <w:sz w:val="24"/>
        </w:rPr>
        <w:t>(3) Bệnh viện tâm thần tiểu bang: bệnh viện nội trú cho bệnh nhân tâm thần.</w:t>
      </w:r>
    </w:p>
    <w:p>
      <w:r>
        <w:rPr>
          <w:rFonts w:ascii="Times New Roman" w:hAnsi="Times New Roman"/>
          <w:b w:val="0"/>
          <w:i w:val="0"/>
          <w:sz w:val="24"/>
        </w:rPr>
        <w:t>(4) Cơ sở nội trú khác: nhà cung cấp tư nhân hoặc y tế được cấp phép/hợp đồng qua SMHA.</w:t>
      </w:r>
    </w:p>
    <w:p>
      <w:r>
        <w:rPr>
          <w:rFonts w:ascii="Times New Roman" w:hAnsi="Times New Roman"/>
          <w:b/>
          <w:i w:val="0"/>
          <w:sz w:val="24"/>
        </w:rPr>
        <w:t>2.4. Phân tích</w:t>
      </w:r>
    </w:p>
    <w:p>
      <w:r>
        <w:rPr>
          <w:rFonts w:ascii="Times New Roman" w:hAnsi="Times New Roman"/>
          <w:b w:val="0"/>
          <w:i w:val="0"/>
          <w:sz w:val="24"/>
        </w:rPr>
        <w:t>Xu hướng thời gian kiểm tra bằng hồi quy logistic (odds ratio — OR và adjusted OR — AOR). Điều chỉnh cho tuổi, giới, chủng tộc/dân tộc. Sai số chuẩn điều chỉnh cho clustering theo tiểu bang. Kiểm tra tác động COVID-19 bằng linear splines (2013–2019 vs 2020–2021). Stata phiên bản 18.</w:t>
      </w:r>
    </w:p>
    <w:p>
      <w:r>
        <w:rPr>
          <w:rFonts w:ascii="Times New Roman" w:hAnsi="Times New Roman"/>
          <w:i/>
          <w:color w:val="808080"/>
          <w:sz w:val="18"/>
        </w:rPr>
        <w:t>--- Trang 4–13, JAACAP, Vol. 64(8), 2025 ---</w:t>
      </w:r>
    </w:p>
    <w:p>
      <w:pPr>
        <w:pStyle w:val="Heading2"/>
      </w:pPr>
      <w:r>
        <w:rPr>
          <w:rFonts w:ascii="Times New Roman" w:hAnsi="Times New Roman"/>
          <w:color w:val="000000"/>
        </w:rPr>
        <w:t>3. KẾT QUẢ</w:t>
      </w:r>
    </w:p>
    <w:p>
      <w:r>
        <w:rPr>
          <w:rFonts w:ascii="Times New Roman" w:hAnsi="Times New Roman"/>
          <w:b/>
          <w:i w:val="0"/>
          <w:sz w:val="24"/>
        </w:rPr>
        <w:t>3.1. Đặc điểm mẫu</w:t>
      </w:r>
    </w:p>
    <w:p>
      <w:pPr>
        <w:pStyle w:val="Heading3"/>
      </w:pPr>
      <w:r>
        <w:rPr>
          <w:rFonts w:ascii="Times New Roman" w:hAnsi="Times New Roman"/>
          <w:color w:val="000000"/>
        </w:rPr>
        <w:t>Bảng 1. Đặc điểm nhân khẩu trẻ em/VTN trong hệ thống SKTT công Mỹ, 2013–2021</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Đặc điểm</w:t>
            </w:r>
          </w:p>
        </w:tc>
        <w:tc>
          <w:tcPr>
            <w:tcW w:type="dxa" w:w="1881"/>
            <w:tcW w:w="1134" w:type="dxa"/>
            <w:shd w:fill="D9E2F3" w:val="clear"/>
          </w:tcPr>
          <w:p>
            <w:pPr>
              <w:jc w:val="center"/>
            </w:pPr>
            <w:r>
              <w:rPr>
                <w:rFonts w:ascii="Times New Roman" w:hAnsi="Times New Roman"/>
                <w:b/>
                <w:sz w:val="20"/>
              </w:rPr>
              <w:t>2013 (%)</w:t>
            </w:r>
          </w:p>
        </w:tc>
        <w:tc>
          <w:tcPr>
            <w:tcW w:type="dxa" w:w="1881"/>
            <w:tcW w:w="1134" w:type="dxa"/>
            <w:shd w:fill="D9E2F3" w:val="clear"/>
          </w:tcPr>
          <w:p>
            <w:pPr>
              <w:jc w:val="center"/>
            </w:pPr>
            <w:r>
              <w:rPr>
                <w:rFonts w:ascii="Times New Roman" w:hAnsi="Times New Roman"/>
                <w:b/>
                <w:sz w:val="20"/>
              </w:rPr>
              <w:t>2021 (%)</w:t>
            </w:r>
          </w:p>
        </w:tc>
        <w:tc>
          <w:tcPr>
            <w:tcW w:type="dxa" w:w="1881"/>
            <w:tcW w:w="1134" w:type="dxa"/>
            <w:shd w:fill="D9E2F3" w:val="clear"/>
          </w:tcPr>
          <w:p>
            <w:pPr>
              <w:jc w:val="center"/>
            </w:pPr>
            <w:r>
              <w:rPr>
                <w:rFonts w:ascii="Times New Roman" w:hAnsi="Times New Roman"/>
                <w:b/>
                <w:sz w:val="20"/>
              </w:rPr>
              <w:t>OR</w:t>
            </w:r>
          </w:p>
        </w:tc>
        <w:tc>
          <w:tcPr>
            <w:tcW w:type="dxa" w:w="1881"/>
            <w:tcW w:w="1134" w:type="dxa"/>
            <w:shd w:fill="D9E2F3" w:val="clear"/>
          </w:tcPr>
          <w:p>
            <w:pPr>
              <w:jc w:val="center"/>
            </w:pPr>
            <w:r>
              <w:rPr>
                <w:rFonts w:ascii="Times New Roman" w:hAnsi="Times New Roman"/>
                <w:b/>
                <w:sz w:val="20"/>
              </w:rPr>
              <w:t>p</w:t>
            </w:r>
          </w:p>
        </w:tc>
      </w:tr>
      <w:tr>
        <w:tc>
          <w:tcPr>
            <w:tcW w:type="dxa" w:w="1881"/>
            <w:tcW w:w="2268" w:type="dxa"/>
          </w:tcPr>
          <w:p>
            <w:r>
              <w:rPr>
                <w:rFonts w:ascii="Times New Roman" w:hAnsi="Times New Roman"/>
                <w:sz w:val="20"/>
              </w:rPr>
              <w:t>Nữ</w:t>
            </w:r>
          </w:p>
        </w:tc>
        <w:tc>
          <w:tcPr>
            <w:tcW w:type="dxa" w:w="1881"/>
            <w:tcW w:w="1134" w:type="dxa"/>
          </w:tcPr>
          <w:p>
            <w:r>
              <w:rPr>
                <w:rFonts w:ascii="Times New Roman" w:hAnsi="Times New Roman"/>
                <w:sz w:val="20"/>
              </w:rPr>
              <w:t>41,1</w:t>
            </w:r>
          </w:p>
        </w:tc>
        <w:tc>
          <w:tcPr>
            <w:tcW w:type="dxa" w:w="1881"/>
            <w:tcW w:w="1134" w:type="dxa"/>
          </w:tcPr>
          <w:p>
            <w:r>
              <w:rPr>
                <w:rFonts w:ascii="Times New Roman" w:hAnsi="Times New Roman"/>
                <w:sz w:val="20"/>
              </w:rPr>
              <w:t>46,5</w:t>
            </w:r>
          </w:p>
        </w:tc>
        <w:tc>
          <w:tcPr>
            <w:tcW w:type="dxa" w:w="1881"/>
            <w:tcW w:w="1134" w:type="dxa"/>
          </w:tcPr>
          <w:p>
            <w:r>
              <w:rPr>
                <w:rFonts w:ascii="Times New Roman" w:hAnsi="Times New Roman"/>
                <w:sz w:val="20"/>
              </w:rPr>
              <w:t>1,19</w:t>
            </w:r>
          </w:p>
        </w:tc>
        <w:tc>
          <w:tcPr>
            <w:tcW w:type="dxa" w:w="1881"/>
            <w:tcW w:w="1134" w:type="dxa"/>
          </w:tcPr>
          <w:p>
            <w:r>
              <w:rPr>
                <w:rFonts w:ascii="Times New Roman" w:hAnsi="Times New Roman"/>
                <w:sz w:val="20"/>
              </w:rPr>
              <w:t>&lt;0,001</w:t>
            </w:r>
          </w:p>
        </w:tc>
      </w:tr>
      <w:tr>
        <w:tc>
          <w:tcPr>
            <w:tcW w:type="dxa" w:w="1881"/>
            <w:tcW w:w="2268" w:type="dxa"/>
          </w:tcPr>
          <w:p>
            <w:r>
              <w:rPr>
                <w:rFonts w:ascii="Times New Roman" w:hAnsi="Times New Roman"/>
                <w:sz w:val="20"/>
              </w:rPr>
              <w:t>Nam</w:t>
            </w:r>
          </w:p>
        </w:tc>
        <w:tc>
          <w:tcPr>
            <w:tcW w:type="dxa" w:w="1881"/>
            <w:tcW w:w="1134" w:type="dxa"/>
          </w:tcPr>
          <w:p>
            <w:r>
              <w:rPr>
                <w:rFonts w:ascii="Times New Roman" w:hAnsi="Times New Roman"/>
                <w:sz w:val="20"/>
              </w:rPr>
              <w:t>58,8</w:t>
            </w:r>
          </w:p>
        </w:tc>
        <w:tc>
          <w:tcPr>
            <w:tcW w:type="dxa" w:w="1881"/>
            <w:tcW w:w="1134" w:type="dxa"/>
          </w:tcPr>
          <w:p>
            <w:r>
              <w:rPr>
                <w:rFonts w:ascii="Times New Roman" w:hAnsi="Times New Roman"/>
                <w:sz w:val="20"/>
              </w:rPr>
              <w:t>53,4</w:t>
            </w:r>
          </w:p>
        </w:tc>
        <w:tc>
          <w:tcPr>
            <w:tcW w:type="dxa" w:w="1881"/>
            <w:tcW w:w="1134" w:type="dxa"/>
          </w:tcPr>
          <w:p>
            <w:r>
              <w:rPr>
                <w:rFonts w:ascii="Times New Roman" w:hAnsi="Times New Roman"/>
                <w:sz w:val="20"/>
              </w:rPr>
              <w:t>0,84</w:t>
            </w:r>
          </w:p>
        </w:tc>
        <w:tc>
          <w:tcPr>
            <w:tcW w:type="dxa" w:w="1881"/>
            <w:tcW w:w="1134" w:type="dxa"/>
          </w:tcPr>
          <w:p>
            <w:r>
              <w:rPr>
                <w:rFonts w:ascii="Times New Roman" w:hAnsi="Times New Roman"/>
                <w:sz w:val="20"/>
              </w:rPr>
              <w:t>&lt;0,001</w:t>
            </w:r>
          </w:p>
        </w:tc>
      </w:tr>
      <w:tr>
        <w:tc>
          <w:tcPr>
            <w:tcW w:type="dxa" w:w="1881"/>
            <w:tcW w:w="2268" w:type="dxa"/>
          </w:tcPr>
          <w:p>
            <w:r>
              <w:rPr>
                <w:rFonts w:ascii="Times New Roman" w:hAnsi="Times New Roman"/>
                <w:sz w:val="20"/>
              </w:rPr>
              <w:t>&lt;12 tuổi</w:t>
            </w:r>
          </w:p>
        </w:tc>
        <w:tc>
          <w:tcPr>
            <w:tcW w:type="dxa" w:w="1881"/>
            <w:tcW w:w="1134" w:type="dxa"/>
          </w:tcPr>
          <w:p>
            <w:r>
              <w:rPr>
                <w:rFonts w:ascii="Times New Roman" w:hAnsi="Times New Roman"/>
                <w:sz w:val="20"/>
              </w:rPr>
              <w:t>49,1</w:t>
            </w:r>
          </w:p>
        </w:tc>
        <w:tc>
          <w:tcPr>
            <w:tcW w:type="dxa" w:w="1881"/>
            <w:tcW w:w="1134" w:type="dxa"/>
          </w:tcPr>
          <w:p>
            <w:r>
              <w:rPr>
                <w:rFonts w:ascii="Times New Roman" w:hAnsi="Times New Roman"/>
                <w:sz w:val="20"/>
              </w:rPr>
              <w:t>46,2</w:t>
            </w:r>
          </w:p>
        </w:tc>
        <w:tc>
          <w:tcPr>
            <w:tcW w:type="dxa" w:w="1881"/>
            <w:tcW w:w="1134" w:type="dxa"/>
          </w:tcPr>
          <w:p>
            <w:r>
              <w:rPr>
                <w:rFonts w:ascii="Times New Roman" w:hAnsi="Times New Roman"/>
                <w:sz w:val="20"/>
              </w:rPr>
              <w:t>0,92</w:t>
            </w:r>
          </w:p>
        </w:tc>
        <w:tc>
          <w:tcPr>
            <w:tcW w:type="dxa" w:w="1881"/>
            <w:tcW w:w="1134" w:type="dxa"/>
          </w:tcPr>
          <w:p>
            <w:r>
              <w:rPr>
                <w:rFonts w:ascii="Times New Roman" w:hAnsi="Times New Roman"/>
                <w:sz w:val="20"/>
              </w:rPr>
              <w:t>0,011</w:t>
            </w:r>
          </w:p>
        </w:tc>
      </w:tr>
      <w:tr>
        <w:tc>
          <w:tcPr>
            <w:tcW w:type="dxa" w:w="1881"/>
            <w:tcW w:w="2268" w:type="dxa"/>
          </w:tcPr>
          <w:p>
            <w:r>
              <w:rPr>
                <w:rFonts w:ascii="Times New Roman" w:hAnsi="Times New Roman"/>
                <w:sz w:val="20"/>
              </w:rPr>
              <w:t>12–14 tuổi</w:t>
            </w:r>
          </w:p>
        </w:tc>
        <w:tc>
          <w:tcPr>
            <w:tcW w:type="dxa" w:w="1881"/>
            <w:tcW w:w="1134" w:type="dxa"/>
          </w:tcPr>
          <w:p>
            <w:r>
              <w:rPr>
                <w:rFonts w:ascii="Times New Roman" w:hAnsi="Times New Roman"/>
                <w:sz w:val="20"/>
              </w:rPr>
              <w:t>24,5</w:t>
            </w:r>
          </w:p>
        </w:tc>
        <w:tc>
          <w:tcPr>
            <w:tcW w:type="dxa" w:w="1881"/>
            <w:tcW w:w="1134" w:type="dxa"/>
          </w:tcPr>
          <w:p>
            <w:r>
              <w:rPr>
                <w:rFonts w:ascii="Times New Roman" w:hAnsi="Times New Roman"/>
                <w:sz w:val="20"/>
              </w:rPr>
              <w:t>26,6</w:t>
            </w:r>
          </w:p>
        </w:tc>
        <w:tc>
          <w:tcPr>
            <w:tcW w:type="dxa" w:w="1881"/>
            <w:tcW w:w="1134" w:type="dxa"/>
          </w:tcPr>
          <w:p>
            <w:r>
              <w:rPr>
                <w:rFonts w:ascii="Times New Roman" w:hAnsi="Times New Roman"/>
                <w:sz w:val="20"/>
              </w:rPr>
              <w:t>1,11</w:t>
            </w:r>
          </w:p>
        </w:tc>
        <w:tc>
          <w:tcPr>
            <w:tcW w:type="dxa" w:w="1881"/>
            <w:tcW w:w="1134" w:type="dxa"/>
          </w:tcPr>
          <w:p>
            <w:r>
              <w:rPr>
                <w:rFonts w:ascii="Times New Roman" w:hAnsi="Times New Roman"/>
                <w:sz w:val="20"/>
              </w:rPr>
              <w:t>&lt;0,001</w:t>
            </w:r>
          </w:p>
        </w:tc>
      </w:tr>
      <w:tr>
        <w:tc>
          <w:tcPr>
            <w:tcW w:type="dxa" w:w="1881"/>
            <w:tcW w:w="2268" w:type="dxa"/>
          </w:tcPr>
          <w:p>
            <w:r>
              <w:rPr>
                <w:rFonts w:ascii="Times New Roman" w:hAnsi="Times New Roman"/>
                <w:sz w:val="20"/>
              </w:rPr>
              <w:t>15–17 tuổi</w:t>
            </w:r>
          </w:p>
        </w:tc>
        <w:tc>
          <w:tcPr>
            <w:tcW w:type="dxa" w:w="1881"/>
            <w:tcW w:w="1134" w:type="dxa"/>
          </w:tcPr>
          <w:p>
            <w:r>
              <w:rPr>
                <w:rFonts w:ascii="Times New Roman" w:hAnsi="Times New Roman"/>
                <w:sz w:val="20"/>
              </w:rPr>
              <w:t>26,4</w:t>
            </w:r>
          </w:p>
        </w:tc>
        <w:tc>
          <w:tcPr>
            <w:tcW w:type="dxa" w:w="1881"/>
            <w:tcW w:w="1134" w:type="dxa"/>
          </w:tcPr>
          <w:p>
            <w:r>
              <w:rPr>
                <w:rFonts w:ascii="Times New Roman" w:hAnsi="Times New Roman"/>
                <w:sz w:val="20"/>
              </w:rPr>
              <w:t>27,2</w:t>
            </w:r>
          </w:p>
        </w:tc>
        <w:tc>
          <w:tcPr>
            <w:tcW w:type="dxa" w:w="1881"/>
            <w:tcW w:w="1134" w:type="dxa"/>
          </w:tcPr>
          <w:p>
            <w:r>
              <w:rPr>
                <w:rFonts w:ascii="Times New Roman" w:hAnsi="Times New Roman"/>
                <w:sz w:val="20"/>
              </w:rPr>
              <w:t>1,01</w:t>
            </w:r>
          </w:p>
        </w:tc>
        <w:tc>
          <w:tcPr>
            <w:tcW w:type="dxa" w:w="1881"/>
            <w:tcW w:w="1134" w:type="dxa"/>
          </w:tcPr>
          <w:p>
            <w:r>
              <w:rPr>
                <w:rFonts w:ascii="Times New Roman" w:hAnsi="Times New Roman"/>
                <w:sz w:val="20"/>
              </w:rPr>
              <w:t>0,618</w:t>
            </w:r>
          </w:p>
        </w:tc>
      </w:tr>
      <w:tr>
        <w:tc>
          <w:tcPr>
            <w:tcW w:type="dxa" w:w="1881"/>
            <w:tcW w:w="2268" w:type="dxa"/>
          </w:tcPr>
          <w:p>
            <w:r>
              <w:rPr>
                <w:rFonts w:ascii="Times New Roman" w:hAnsi="Times New Roman"/>
                <w:sz w:val="20"/>
              </w:rPr>
              <w:t>Hispanic</w:t>
            </w:r>
          </w:p>
        </w:tc>
        <w:tc>
          <w:tcPr>
            <w:tcW w:type="dxa" w:w="1881"/>
            <w:tcW w:w="1134" w:type="dxa"/>
          </w:tcPr>
          <w:p>
            <w:r>
              <w:rPr>
                <w:rFonts w:ascii="Times New Roman" w:hAnsi="Times New Roman"/>
                <w:sz w:val="20"/>
              </w:rPr>
              <w:t>10,2</w:t>
            </w:r>
          </w:p>
        </w:tc>
        <w:tc>
          <w:tcPr>
            <w:tcW w:type="dxa" w:w="1881"/>
            <w:tcW w:w="1134" w:type="dxa"/>
          </w:tcPr>
          <w:p>
            <w:r>
              <w:rPr>
                <w:rFonts w:ascii="Times New Roman" w:hAnsi="Times New Roman"/>
                <w:sz w:val="20"/>
              </w:rPr>
              <w:t>15,4</w:t>
            </w:r>
          </w:p>
        </w:tc>
        <w:tc>
          <w:tcPr>
            <w:tcW w:type="dxa" w:w="1881"/>
            <w:tcW w:w="1134" w:type="dxa"/>
          </w:tcPr>
          <w:p>
            <w:r>
              <w:rPr>
                <w:rFonts w:ascii="Times New Roman" w:hAnsi="Times New Roman"/>
                <w:sz w:val="20"/>
              </w:rPr>
              <w:t>1,55</w:t>
            </w:r>
          </w:p>
        </w:tc>
        <w:tc>
          <w:tcPr>
            <w:tcW w:type="dxa" w:w="1881"/>
            <w:tcW w:w="1134" w:type="dxa"/>
          </w:tcPr>
          <w:p>
            <w:r>
              <w:rPr>
                <w:rFonts w:ascii="Times New Roman" w:hAnsi="Times New Roman"/>
                <w:sz w:val="20"/>
              </w:rPr>
              <w:t>0,010</w:t>
            </w:r>
          </w:p>
        </w:tc>
      </w:tr>
      <w:tr>
        <w:tc>
          <w:tcPr>
            <w:tcW w:type="dxa" w:w="1881"/>
            <w:tcW w:w="2268" w:type="dxa"/>
          </w:tcPr>
          <w:p>
            <w:r>
              <w:rPr>
                <w:rFonts w:ascii="Times New Roman" w:hAnsi="Times New Roman"/>
                <w:sz w:val="20"/>
              </w:rPr>
              <w:t>Trắng không Hispanic</w:t>
            </w:r>
          </w:p>
        </w:tc>
        <w:tc>
          <w:tcPr>
            <w:tcW w:type="dxa" w:w="1881"/>
            <w:tcW w:w="1134" w:type="dxa"/>
          </w:tcPr>
          <w:p>
            <w:r>
              <w:rPr>
                <w:rFonts w:ascii="Times New Roman" w:hAnsi="Times New Roman"/>
                <w:sz w:val="20"/>
              </w:rPr>
              <w:t>47,8</w:t>
            </w:r>
          </w:p>
        </w:tc>
        <w:tc>
          <w:tcPr>
            <w:tcW w:type="dxa" w:w="1881"/>
            <w:tcW w:w="1134" w:type="dxa"/>
          </w:tcPr>
          <w:p>
            <w:r>
              <w:rPr>
                <w:rFonts w:ascii="Times New Roman" w:hAnsi="Times New Roman"/>
                <w:sz w:val="20"/>
              </w:rPr>
              <w:t>39,9</w:t>
            </w:r>
          </w:p>
        </w:tc>
        <w:tc>
          <w:tcPr>
            <w:tcW w:type="dxa" w:w="1881"/>
            <w:tcW w:w="1134" w:type="dxa"/>
          </w:tcPr>
          <w:p>
            <w:r>
              <w:rPr>
                <w:rFonts w:ascii="Times New Roman" w:hAnsi="Times New Roman"/>
                <w:sz w:val="20"/>
              </w:rPr>
              <w:t>0,77</w:t>
            </w:r>
          </w:p>
        </w:tc>
        <w:tc>
          <w:tcPr>
            <w:tcW w:type="dxa" w:w="1881"/>
            <w:tcW w:w="1134" w:type="dxa"/>
          </w:tcPr>
          <w:p>
            <w:r>
              <w:rPr>
                <w:rFonts w:ascii="Times New Roman" w:hAnsi="Times New Roman"/>
                <w:sz w:val="20"/>
              </w:rPr>
              <w:t>0,022</w:t>
            </w:r>
          </w:p>
        </w:tc>
      </w:tr>
      <w:tr>
        <w:tc>
          <w:tcPr>
            <w:tcW w:type="dxa" w:w="1881"/>
            <w:tcW w:w="2268" w:type="dxa"/>
          </w:tcPr>
          <w:p>
            <w:r>
              <w:rPr>
                <w:rFonts w:ascii="Times New Roman" w:hAnsi="Times New Roman"/>
                <w:sz w:val="20"/>
              </w:rPr>
              <w:t>Da đen không Hispanic</w:t>
            </w:r>
          </w:p>
        </w:tc>
        <w:tc>
          <w:tcPr>
            <w:tcW w:type="dxa" w:w="1881"/>
            <w:tcW w:w="1134" w:type="dxa"/>
          </w:tcPr>
          <w:p>
            <w:r>
              <w:rPr>
                <w:rFonts w:ascii="Times New Roman" w:hAnsi="Times New Roman"/>
                <w:sz w:val="20"/>
              </w:rPr>
              <w:t>19,5</w:t>
            </w:r>
          </w:p>
        </w:tc>
        <w:tc>
          <w:tcPr>
            <w:tcW w:type="dxa" w:w="1881"/>
            <w:tcW w:w="1134" w:type="dxa"/>
          </w:tcPr>
          <w:p>
            <w:r>
              <w:rPr>
                <w:rFonts w:ascii="Times New Roman" w:hAnsi="Times New Roman"/>
                <w:sz w:val="20"/>
              </w:rPr>
              <w:t>14,4</w:t>
            </w:r>
          </w:p>
        </w:tc>
        <w:tc>
          <w:tcPr>
            <w:tcW w:type="dxa" w:w="1881"/>
            <w:tcW w:w="1134" w:type="dxa"/>
          </w:tcPr>
          <w:p>
            <w:r>
              <w:rPr>
                <w:rFonts w:ascii="Times New Roman" w:hAnsi="Times New Roman"/>
                <w:sz w:val="20"/>
              </w:rPr>
              <w:t>0,71</w:t>
            </w:r>
          </w:p>
        </w:tc>
        <w:tc>
          <w:tcPr>
            <w:tcW w:type="dxa" w:w="1881"/>
            <w:tcW w:w="1134" w:type="dxa"/>
          </w:tcPr>
          <w:p>
            <w:r>
              <w:rPr>
                <w:rFonts w:ascii="Times New Roman" w:hAnsi="Times New Roman"/>
                <w:sz w:val="20"/>
              </w:rPr>
              <w:t>&lt;0,001</w:t>
            </w:r>
          </w:p>
        </w:tc>
      </w:tr>
    </w:tbl>
    <w:p>
      <w:r>
        <w:rPr>
          <w:rFonts w:ascii="Times New Roman" w:hAnsi="Times New Roman"/>
          <w:b w:val="0"/>
          <w:i/>
          <w:sz w:val="18"/>
        </w:rPr>
        <w:t>Ghi chú: N = 1,6–1,9 triệu/năm (tổng 13,7 triệu hồ sơ). OR = Odds Ratio cho xu hướng tuyến tính 2013–2021.</w:t>
      </w:r>
    </w:p>
    <w:p>
      <w:r>
        <w:rPr>
          <w:rFonts w:ascii="Times New Roman" w:hAnsi="Times New Roman"/>
          <w:b/>
          <w:i w:val="0"/>
          <w:sz w:val="24"/>
        </w:rPr>
        <w:t>3.2. Xu hướng rối loạn tâm thần (tất cả cơ sở)</w:t>
      </w:r>
    </w:p>
    <w:p>
      <w:pPr>
        <w:pStyle w:val="Heading3"/>
      </w:pPr>
      <w:r>
        <w:rPr>
          <w:rFonts w:ascii="Times New Roman" w:hAnsi="Times New Roman"/>
          <w:color w:val="000000"/>
        </w:rPr>
        <w:t>Bảng 2. Xu hướng tỷ lệ rối loạn tâm thần — Tất cả cơ sở, 2013–2021</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984" w:type="dxa"/>
            <w:shd w:fill="D9E2F3" w:val="clear"/>
          </w:tcPr>
          <w:p>
            <w:pPr>
              <w:jc w:val="center"/>
            </w:pPr>
            <w:r>
              <w:rPr>
                <w:rFonts w:ascii="Times New Roman" w:hAnsi="Times New Roman"/>
                <w:b/>
                <w:sz w:val="20"/>
              </w:rPr>
              <w:t>Rối loạn</w:t>
            </w:r>
          </w:p>
        </w:tc>
        <w:tc>
          <w:tcPr>
            <w:tcW w:type="dxa" w:w="1344"/>
            <w:tcW w:w="850" w:type="dxa"/>
            <w:shd w:fill="D9E2F3" w:val="clear"/>
          </w:tcPr>
          <w:p>
            <w:pPr>
              <w:jc w:val="center"/>
            </w:pPr>
            <w:r>
              <w:rPr>
                <w:rFonts w:ascii="Times New Roman" w:hAnsi="Times New Roman"/>
                <w:b/>
                <w:sz w:val="20"/>
              </w:rPr>
              <w:t>2013 (%)</w:t>
            </w:r>
          </w:p>
        </w:tc>
        <w:tc>
          <w:tcPr>
            <w:tcW w:type="dxa" w:w="1344"/>
            <w:tcW w:w="850" w:type="dxa"/>
            <w:shd w:fill="D9E2F3" w:val="clear"/>
          </w:tcPr>
          <w:p>
            <w:pPr>
              <w:jc w:val="center"/>
            </w:pPr>
            <w:r>
              <w:rPr>
                <w:rFonts w:ascii="Times New Roman" w:hAnsi="Times New Roman"/>
                <w:b/>
                <w:sz w:val="20"/>
              </w:rPr>
              <w:t>2021 (%)</w:t>
            </w:r>
          </w:p>
        </w:tc>
        <w:tc>
          <w:tcPr>
            <w:tcW w:type="dxa" w:w="1344"/>
            <w:tcW w:w="850" w:type="dxa"/>
            <w:shd w:fill="D9E2F3" w:val="clear"/>
          </w:tcPr>
          <w:p>
            <w:pPr>
              <w:jc w:val="center"/>
            </w:pPr>
            <w:r>
              <w:rPr>
                <w:rFonts w:ascii="Times New Roman" w:hAnsi="Times New Roman"/>
                <w:b/>
                <w:sz w:val="20"/>
              </w:rPr>
              <w:t>AOR</w:t>
            </w:r>
          </w:p>
        </w:tc>
        <w:tc>
          <w:tcPr>
            <w:tcW w:type="dxa" w:w="1344"/>
            <w:tcW w:w="1417" w:type="dxa"/>
            <w:shd w:fill="D9E2F3" w:val="clear"/>
          </w:tcPr>
          <w:p>
            <w:pPr>
              <w:jc w:val="center"/>
            </w:pPr>
            <w:r>
              <w:rPr>
                <w:rFonts w:ascii="Times New Roman" w:hAnsi="Times New Roman"/>
                <w:b/>
                <w:sz w:val="20"/>
              </w:rPr>
              <w:t>KTC 95%</w:t>
            </w:r>
          </w:p>
        </w:tc>
        <w:tc>
          <w:tcPr>
            <w:tcW w:type="dxa" w:w="1344"/>
            <w:tcW w:w="850" w:type="dxa"/>
            <w:shd w:fill="D9E2F3" w:val="clear"/>
          </w:tcPr>
          <w:p>
            <w:pPr>
              <w:jc w:val="center"/>
            </w:pPr>
            <w:r>
              <w:rPr>
                <w:rFonts w:ascii="Times New Roman" w:hAnsi="Times New Roman"/>
                <w:b/>
                <w:sz w:val="20"/>
              </w:rPr>
              <w:t>p</w:t>
            </w:r>
          </w:p>
        </w:tc>
        <w:tc>
          <w:tcPr>
            <w:tcW w:type="dxa" w:w="1344"/>
            <w:tcW w:w="1701" w:type="dxa"/>
            <w:shd w:fill="D9E2F3" w:val="clear"/>
          </w:tcPr>
          <w:p>
            <w:pPr>
              <w:jc w:val="center"/>
            </w:pPr>
            <w:r>
              <w:rPr>
                <w:rFonts w:ascii="Times New Roman" w:hAnsi="Times New Roman"/>
                <w:b/>
                <w:sz w:val="20"/>
              </w:rPr>
              <w:t>Xu hướng</w:t>
            </w:r>
          </w:p>
        </w:tc>
      </w:tr>
      <w:tr>
        <w:tc>
          <w:tcPr>
            <w:tcW w:type="dxa" w:w="1344"/>
            <w:tcW w:w="1984" w:type="dxa"/>
          </w:tcPr>
          <w:p>
            <w:r>
              <w:rPr>
                <w:rFonts w:ascii="Times New Roman" w:hAnsi="Times New Roman"/>
                <w:sz w:val="20"/>
              </w:rPr>
              <w:t>Rối loạn lo âu</w:t>
            </w:r>
          </w:p>
        </w:tc>
        <w:tc>
          <w:tcPr>
            <w:tcW w:type="dxa" w:w="1344"/>
            <w:tcW w:w="850" w:type="dxa"/>
          </w:tcPr>
          <w:p>
            <w:r>
              <w:rPr>
                <w:rFonts w:ascii="Times New Roman" w:hAnsi="Times New Roman"/>
                <w:sz w:val="20"/>
              </w:rPr>
              <w:t>9,6</w:t>
            </w:r>
          </w:p>
        </w:tc>
        <w:tc>
          <w:tcPr>
            <w:tcW w:type="dxa" w:w="1344"/>
            <w:tcW w:w="850" w:type="dxa"/>
          </w:tcPr>
          <w:p>
            <w:r>
              <w:rPr>
                <w:rFonts w:ascii="Times New Roman" w:hAnsi="Times New Roman"/>
                <w:sz w:val="20"/>
              </w:rPr>
              <w:t>19,2</w:t>
            </w:r>
          </w:p>
        </w:tc>
        <w:tc>
          <w:tcPr>
            <w:tcW w:type="dxa" w:w="1344"/>
            <w:tcW w:w="850" w:type="dxa"/>
          </w:tcPr>
          <w:p>
            <w:r>
              <w:rPr>
                <w:rFonts w:ascii="Times New Roman" w:hAnsi="Times New Roman"/>
                <w:sz w:val="20"/>
              </w:rPr>
              <w:t>2,17</w:t>
            </w:r>
          </w:p>
        </w:tc>
        <w:tc>
          <w:tcPr>
            <w:tcW w:type="dxa" w:w="1344"/>
            <w:tcW w:w="1417" w:type="dxa"/>
          </w:tcPr>
          <w:p>
            <w:r>
              <w:rPr>
                <w:rFonts w:ascii="Times New Roman" w:hAnsi="Times New Roman"/>
                <w:sz w:val="20"/>
              </w:rPr>
              <w:t>1,85–2,55</w:t>
            </w:r>
          </w:p>
        </w:tc>
        <w:tc>
          <w:tcPr>
            <w:tcW w:type="dxa" w:w="1344"/>
            <w:tcW w:w="850" w:type="dxa"/>
          </w:tcPr>
          <w:p>
            <w:r>
              <w:rPr>
                <w:rFonts w:ascii="Times New Roman" w:hAnsi="Times New Roman"/>
                <w:sz w:val="20"/>
              </w:rPr>
              <w:t>&lt;0,001</w:t>
            </w:r>
          </w:p>
        </w:tc>
        <w:tc>
          <w:tcPr>
            <w:tcW w:type="dxa" w:w="1344"/>
            <w:tcW w:w="1701" w:type="dxa"/>
          </w:tcPr>
          <w:p>
            <w:r>
              <w:rPr>
                <w:rFonts w:ascii="Times New Roman" w:hAnsi="Times New Roman"/>
                <w:sz w:val="20"/>
              </w:rPr>
              <w:t>↑ TĂNG GẤP ĐÔI</w:t>
            </w:r>
          </w:p>
        </w:tc>
      </w:tr>
      <w:tr>
        <w:tc>
          <w:tcPr>
            <w:tcW w:type="dxa" w:w="1344"/>
            <w:tcW w:w="1984" w:type="dxa"/>
          </w:tcPr>
          <w:p>
            <w:r>
              <w:rPr>
                <w:rFonts w:ascii="Times New Roman" w:hAnsi="Times New Roman"/>
                <w:sz w:val="20"/>
              </w:rPr>
              <w:t>Rối loạn trầm cảm</w:t>
            </w:r>
          </w:p>
        </w:tc>
        <w:tc>
          <w:tcPr>
            <w:tcW w:type="dxa" w:w="1344"/>
            <w:tcW w:w="850" w:type="dxa"/>
          </w:tcPr>
          <w:p>
            <w:r>
              <w:rPr>
                <w:rFonts w:ascii="Times New Roman" w:hAnsi="Times New Roman"/>
                <w:sz w:val="20"/>
              </w:rPr>
              <w:t>13,4</w:t>
            </w:r>
          </w:p>
        </w:tc>
        <w:tc>
          <w:tcPr>
            <w:tcW w:type="dxa" w:w="1344"/>
            <w:tcW w:w="850" w:type="dxa"/>
          </w:tcPr>
          <w:p>
            <w:r>
              <w:rPr>
                <w:rFonts w:ascii="Times New Roman" w:hAnsi="Times New Roman"/>
                <w:sz w:val="20"/>
              </w:rPr>
              <w:t>17,0</w:t>
            </w:r>
          </w:p>
        </w:tc>
        <w:tc>
          <w:tcPr>
            <w:tcW w:type="dxa" w:w="1344"/>
            <w:tcW w:w="850" w:type="dxa"/>
          </w:tcPr>
          <w:p>
            <w:r>
              <w:rPr>
                <w:rFonts w:ascii="Times New Roman" w:hAnsi="Times New Roman"/>
                <w:sz w:val="20"/>
              </w:rPr>
              <w:t>1,20</w:t>
            </w:r>
          </w:p>
        </w:tc>
        <w:tc>
          <w:tcPr>
            <w:tcW w:type="dxa" w:w="1344"/>
            <w:tcW w:w="1417" w:type="dxa"/>
          </w:tcPr>
          <w:p>
            <w:r>
              <w:rPr>
                <w:rFonts w:ascii="Times New Roman" w:hAnsi="Times New Roman"/>
                <w:sz w:val="20"/>
              </w:rPr>
              <w:t>1,03–1,41</w:t>
            </w:r>
          </w:p>
        </w:tc>
        <w:tc>
          <w:tcPr>
            <w:tcW w:type="dxa" w:w="1344"/>
            <w:tcW w:w="850" w:type="dxa"/>
          </w:tcPr>
          <w:p>
            <w:r>
              <w:rPr>
                <w:rFonts w:ascii="Times New Roman" w:hAnsi="Times New Roman"/>
                <w:sz w:val="20"/>
              </w:rPr>
              <w:t>0,023</w:t>
            </w:r>
          </w:p>
        </w:tc>
        <w:tc>
          <w:tcPr>
            <w:tcW w:type="dxa" w:w="1344"/>
            <w:tcW w:w="1701" w:type="dxa"/>
          </w:tcPr>
          <w:p>
            <w:r>
              <w:rPr>
                <w:rFonts w:ascii="Times New Roman" w:hAnsi="Times New Roman"/>
                <w:sz w:val="20"/>
              </w:rPr>
              <w:t>↑ Tăng</w:t>
            </w:r>
          </w:p>
        </w:tc>
      </w:tr>
      <w:tr>
        <w:tc>
          <w:tcPr>
            <w:tcW w:type="dxa" w:w="1344"/>
            <w:tcW w:w="1984" w:type="dxa"/>
          </w:tcPr>
          <w:p>
            <w:r>
              <w:rPr>
                <w:rFonts w:ascii="Times New Roman" w:hAnsi="Times New Roman"/>
                <w:sz w:val="20"/>
              </w:rPr>
              <w:t>Sang chấn/stress</w:t>
            </w:r>
          </w:p>
        </w:tc>
        <w:tc>
          <w:tcPr>
            <w:tcW w:type="dxa" w:w="1344"/>
            <w:tcW w:w="850" w:type="dxa"/>
          </w:tcPr>
          <w:p>
            <w:r>
              <w:rPr>
                <w:rFonts w:ascii="Times New Roman" w:hAnsi="Times New Roman"/>
                <w:sz w:val="20"/>
              </w:rPr>
              <w:t>22,7</w:t>
            </w:r>
          </w:p>
        </w:tc>
        <w:tc>
          <w:tcPr>
            <w:tcW w:type="dxa" w:w="1344"/>
            <w:tcW w:w="850" w:type="dxa"/>
          </w:tcPr>
          <w:p>
            <w:r>
              <w:rPr>
                <w:rFonts w:ascii="Times New Roman" w:hAnsi="Times New Roman"/>
                <w:sz w:val="20"/>
              </w:rPr>
              <w:t>27,4</w:t>
            </w:r>
          </w:p>
        </w:tc>
        <w:tc>
          <w:tcPr>
            <w:tcW w:type="dxa" w:w="1344"/>
            <w:tcW w:w="850" w:type="dxa"/>
          </w:tcPr>
          <w:p>
            <w:r>
              <w:rPr>
                <w:rFonts w:ascii="Times New Roman" w:hAnsi="Times New Roman"/>
                <w:sz w:val="20"/>
              </w:rPr>
              <w:t>1,31</w:t>
            </w:r>
          </w:p>
        </w:tc>
        <w:tc>
          <w:tcPr>
            <w:tcW w:type="dxa" w:w="1344"/>
            <w:tcW w:w="1417" w:type="dxa"/>
          </w:tcPr>
          <w:p>
            <w:r>
              <w:rPr>
                <w:rFonts w:ascii="Times New Roman" w:hAnsi="Times New Roman"/>
                <w:sz w:val="20"/>
              </w:rPr>
              <w:t>1,09–1,57</w:t>
            </w:r>
          </w:p>
        </w:tc>
        <w:tc>
          <w:tcPr>
            <w:tcW w:type="dxa" w:w="1344"/>
            <w:tcW w:w="850" w:type="dxa"/>
          </w:tcPr>
          <w:p>
            <w:r>
              <w:rPr>
                <w:rFonts w:ascii="Times New Roman" w:hAnsi="Times New Roman"/>
                <w:sz w:val="20"/>
              </w:rPr>
              <w:t>0,004</w:t>
            </w:r>
          </w:p>
        </w:tc>
        <w:tc>
          <w:tcPr>
            <w:tcW w:type="dxa" w:w="1344"/>
            <w:tcW w:w="1701" w:type="dxa"/>
          </w:tcPr>
          <w:p>
            <w:r>
              <w:rPr>
                <w:rFonts w:ascii="Times New Roman" w:hAnsi="Times New Roman"/>
                <w:sz w:val="20"/>
              </w:rPr>
              <w:t>↑ Tăng</w:t>
            </w:r>
          </w:p>
        </w:tc>
      </w:tr>
      <w:tr>
        <w:tc>
          <w:tcPr>
            <w:tcW w:type="dxa" w:w="1344"/>
            <w:tcW w:w="1984" w:type="dxa"/>
          </w:tcPr>
          <w:p>
            <w:r>
              <w:rPr>
                <w:rFonts w:ascii="Times New Roman" w:hAnsi="Times New Roman"/>
                <w:sz w:val="20"/>
              </w:rPr>
              <w:t>ADHD</w:t>
            </w:r>
          </w:p>
        </w:tc>
        <w:tc>
          <w:tcPr>
            <w:tcW w:type="dxa" w:w="1344"/>
            <w:tcW w:w="850" w:type="dxa"/>
          </w:tcPr>
          <w:p>
            <w:r>
              <w:rPr>
                <w:rFonts w:ascii="Times New Roman" w:hAnsi="Times New Roman"/>
                <w:sz w:val="20"/>
              </w:rPr>
              <w:t>29,8</w:t>
            </w:r>
          </w:p>
        </w:tc>
        <w:tc>
          <w:tcPr>
            <w:tcW w:type="dxa" w:w="1344"/>
            <w:tcW w:w="850" w:type="dxa"/>
          </w:tcPr>
          <w:p>
            <w:r>
              <w:rPr>
                <w:rFonts w:ascii="Times New Roman" w:hAnsi="Times New Roman"/>
                <w:sz w:val="20"/>
              </w:rPr>
              <w:t>25,3</w:t>
            </w:r>
          </w:p>
        </w:tc>
        <w:tc>
          <w:tcPr>
            <w:tcW w:type="dxa" w:w="1344"/>
            <w:tcW w:w="850" w:type="dxa"/>
          </w:tcPr>
          <w:p>
            <w:r>
              <w:rPr>
                <w:rFonts w:ascii="Times New Roman" w:hAnsi="Times New Roman"/>
                <w:sz w:val="20"/>
              </w:rPr>
              <w:t>0,90</w:t>
            </w:r>
          </w:p>
        </w:tc>
        <w:tc>
          <w:tcPr>
            <w:tcW w:type="dxa" w:w="1344"/>
            <w:tcW w:w="1417" w:type="dxa"/>
          </w:tcPr>
          <w:p>
            <w:r>
              <w:rPr>
                <w:rFonts w:ascii="Times New Roman" w:hAnsi="Times New Roman"/>
                <w:sz w:val="20"/>
              </w:rPr>
              <w:t>0,77–1,06</w:t>
            </w:r>
          </w:p>
        </w:tc>
        <w:tc>
          <w:tcPr>
            <w:tcW w:type="dxa" w:w="1344"/>
            <w:tcW w:w="850" w:type="dxa"/>
          </w:tcPr>
          <w:p>
            <w:r>
              <w:rPr>
                <w:rFonts w:ascii="Times New Roman" w:hAnsi="Times New Roman"/>
                <w:sz w:val="20"/>
              </w:rPr>
              <w:t>0,208</w:t>
            </w:r>
          </w:p>
        </w:tc>
        <w:tc>
          <w:tcPr>
            <w:tcW w:type="dxa" w:w="1344"/>
            <w:tcW w:w="1701" w:type="dxa"/>
          </w:tcPr>
          <w:p>
            <w:r>
              <w:rPr>
                <w:rFonts w:ascii="Times New Roman" w:hAnsi="Times New Roman"/>
                <w:sz w:val="20"/>
              </w:rPr>
              <w:t>— Ổn định</w:t>
            </w:r>
          </w:p>
        </w:tc>
      </w:tr>
      <w:tr>
        <w:tc>
          <w:tcPr>
            <w:tcW w:type="dxa" w:w="1344"/>
            <w:tcW w:w="1984" w:type="dxa"/>
          </w:tcPr>
          <w:p>
            <w:r>
              <w:rPr>
                <w:rFonts w:ascii="Times New Roman" w:hAnsi="Times New Roman"/>
                <w:sz w:val="20"/>
              </w:rPr>
              <w:t>Rối loạn lưỡng cực</w:t>
            </w:r>
          </w:p>
        </w:tc>
        <w:tc>
          <w:tcPr>
            <w:tcW w:type="dxa" w:w="1344"/>
            <w:tcW w:w="850" w:type="dxa"/>
          </w:tcPr>
          <w:p>
            <w:r>
              <w:rPr>
                <w:rFonts w:ascii="Times New Roman" w:hAnsi="Times New Roman"/>
                <w:sz w:val="20"/>
              </w:rPr>
              <w:t>10,0</w:t>
            </w:r>
          </w:p>
        </w:tc>
        <w:tc>
          <w:tcPr>
            <w:tcW w:type="dxa" w:w="1344"/>
            <w:tcW w:w="850" w:type="dxa"/>
          </w:tcPr>
          <w:p>
            <w:r>
              <w:rPr>
                <w:rFonts w:ascii="Times New Roman" w:hAnsi="Times New Roman"/>
                <w:sz w:val="20"/>
              </w:rPr>
              <w:t>1,3</w:t>
            </w:r>
          </w:p>
        </w:tc>
        <w:tc>
          <w:tcPr>
            <w:tcW w:type="dxa" w:w="1344"/>
            <w:tcW w:w="850" w:type="dxa"/>
          </w:tcPr>
          <w:p>
            <w:r>
              <w:rPr>
                <w:rFonts w:ascii="Times New Roman" w:hAnsi="Times New Roman"/>
                <w:sz w:val="20"/>
              </w:rPr>
              <w:t>0,07</w:t>
            </w:r>
          </w:p>
        </w:tc>
        <w:tc>
          <w:tcPr>
            <w:tcW w:type="dxa" w:w="1344"/>
            <w:tcW w:w="1417" w:type="dxa"/>
          </w:tcPr>
          <w:p>
            <w:r>
              <w:rPr>
                <w:rFonts w:ascii="Times New Roman" w:hAnsi="Times New Roman"/>
                <w:sz w:val="20"/>
              </w:rPr>
              <w:t>0,06–0,09</w:t>
            </w:r>
          </w:p>
        </w:tc>
        <w:tc>
          <w:tcPr>
            <w:tcW w:type="dxa" w:w="1344"/>
            <w:tcW w:w="850" w:type="dxa"/>
          </w:tcPr>
          <w:p>
            <w:r>
              <w:rPr>
                <w:rFonts w:ascii="Times New Roman" w:hAnsi="Times New Roman"/>
                <w:sz w:val="20"/>
              </w:rPr>
              <w:t>&lt;0,001</w:t>
            </w:r>
          </w:p>
        </w:tc>
        <w:tc>
          <w:tcPr>
            <w:tcW w:type="dxa" w:w="1344"/>
            <w:tcW w:w="1701" w:type="dxa"/>
          </w:tcPr>
          <w:p>
            <w:r>
              <w:rPr>
                <w:rFonts w:ascii="Times New Roman" w:hAnsi="Times New Roman"/>
                <w:sz w:val="20"/>
              </w:rPr>
              <w:t>↓ GIẢM 8 LẦN</w:t>
            </w:r>
          </w:p>
        </w:tc>
      </w:tr>
      <w:tr>
        <w:tc>
          <w:tcPr>
            <w:tcW w:type="dxa" w:w="1344"/>
            <w:tcW w:w="1984" w:type="dxa"/>
          </w:tcPr>
          <w:p>
            <w:r>
              <w:rPr>
                <w:rFonts w:ascii="Times New Roman" w:hAnsi="Times New Roman"/>
                <w:sz w:val="20"/>
              </w:rPr>
              <w:t>Rối loạn hành vi</w:t>
            </w:r>
          </w:p>
        </w:tc>
        <w:tc>
          <w:tcPr>
            <w:tcW w:type="dxa" w:w="1344"/>
            <w:tcW w:w="850" w:type="dxa"/>
          </w:tcPr>
          <w:p>
            <w:r>
              <w:rPr>
                <w:rFonts w:ascii="Times New Roman" w:hAnsi="Times New Roman"/>
                <w:sz w:val="20"/>
              </w:rPr>
              <w:t>9,7</w:t>
            </w:r>
          </w:p>
        </w:tc>
        <w:tc>
          <w:tcPr>
            <w:tcW w:type="dxa" w:w="1344"/>
            <w:tcW w:w="850" w:type="dxa"/>
          </w:tcPr>
          <w:p>
            <w:r>
              <w:rPr>
                <w:rFonts w:ascii="Times New Roman" w:hAnsi="Times New Roman"/>
                <w:sz w:val="20"/>
              </w:rPr>
              <w:t>4,4</w:t>
            </w:r>
          </w:p>
        </w:tc>
        <w:tc>
          <w:tcPr>
            <w:tcW w:type="dxa" w:w="1344"/>
            <w:tcW w:w="850" w:type="dxa"/>
          </w:tcPr>
          <w:p>
            <w:r>
              <w:rPr>
                <w:rFonts w:ascii="Times New Roman" w:hAnsi="Times New Roman"/>
                <w:sz w:val="20"/>
              </w:rPr>
              <w:t>0,42</w:t>
            </w:r>
          </w:p>
        </w:tc>
        <w:tc>
          <w:tcPr>
            <w:tcW w:type="dxa" w:w="1344"/>
            <w:tcW w:w="1417" w:type="dxa"/>
          </w:tcPr>
          <w:p>
            <w:r>
              <w:rPr>
                <w:rFonts w:ascii="Times New Roman" w:hAnsi="Times New Roman"/>
                <w:sz w:val="20"/>
              </w:rPr>
              <w:t>0,33–0,55</w:t>
            </w:r>
          </w:p>
        </w:tc>
        <w:tc>
          <w:tcPr>
            <w:tcW w:type="dxa" w:w="1344"/>
            <w:tcW w:w="850" w:type="dxa"/>
          </w:tcPr>
          <w:p>
            <w:r>
              <w:rPr>
                <w:rFonts w:ascii="Times New Roman" w:hAnsi="Times New Roman"/>
                <w:sz w:val="20"/>
              </w:rPr>
              <w:t>&lt;0,001</w:t>
            </w:r>
          </w:p>
        </w:tc>
        <w:tc>
          <w:tcPr>
            <w:tcW w:type="dxa" w:w="1344"/>
            <w:tcW w:w="1701" w:type="dxa"/>
          </w:tcPr>
          <w:p>
            <w:r>
              <w:rPr>
                <w:rFonts w:ascii="Times New Roman" w:hAnsi="Times New Roman"/>
                <w:sz w:val="20"/>
              </w:rPr>
              <w:t>↓ Giảm mạnh</w:t>
            </w:r>
          </w:p>
        </w:tc>
      </w:tr>
      <w:tr>
        <w:tc>
          <w:tcPr>
            <w:tcW w:type="dxa" w:w="1344"/>
            <w:tcW w:w="1984" w:type="dxa"/>
          </w:tcPr>
          <w:p>
            <w:r>
              <w:rPr>
                <w:rFonts w:ascii="Times New Roman" w:hAnsi="Times New Roman"/>
                <w:sz w:val="20"/>
              </w:rPr>
              <w:t>Rối loạn chống đối</w:t>
            </w:r>
          </w:p>
        </w:tc>
        <w:tc>
          <w:tcPr>
            <w:tcW w:type="dxa" w:w="1344"/>
            <w:tcW w:w="850" w:type="dxa"/>
          </w:tcPr>
          <w:p>
            <w:r>
              <w:rPr>
                <w:rFonts w:ascii="Times New Roman" w:hAnsi="Times New Roman"/>
                <w:sz w:val="20"/>
              </w:rPr>
              <w:t>11,1</w:t>
            </w:r>
          </w:p>
        </w:tc>
        <w:tc>
          <w:tcPr>
            <w:tcW w:type="dxa" w:w="1344"/>
            <w:tcW w:w="850" w:type="dxa"/>
          </w:tcPr>
          <w:p>
            <w:r>
              <w:rPr>
                <w:rFonts w:ascii="Times New Roman" w:hAnsi="Times New Roman"/>
                <w:sz w:val="20"/>
              </w:rPr>
              <w:t>7,8</w:t>
            </w:r>
          </w:p>
        </w:tc>
        <w:tc>
          <w:tcPr>
            <w:tcW w:type="dxa" w:w="1344"/>
            <w:tcW w:w="850" w:type="dxa"/>
          </w:tcPr>
          <w:p>
            <w:r>
              <w:rPr>
                <w:rFonts w:ascii="Times New Roman" w:hAnsi="Times New Roman"/>
                <w:sz w:val="20"/>
              </w:rPr>
              <w:t>0,79</w:t>
            </w:r>
          </w:p>
        </w:tc>
        <w:tc>
          <w:tcPr>
            <w:tcW w:type="dxa" w:w="1344"/>
            <w:tcW w:w="1417" w:type="dxa"/>
          </w:tcPr>
          <w:p>
            <w:r>
              <w:rPr>
                <w:rFonts w:ascii="Times New Roman" w:hAnsi="Times New Roman"/>
                <w:sz w:val="20"/>
              </w:rPr>
              <w:t>0,65–0,98</w:t>
            </w:r>
          </w:p>
        </w:tc>
        <w:tc>
          <w:tcPr>
            <w:tcW w:type="dxa" w:w="1344"/>
            <w:tcW w:w="850" w:type="dxa"/>
          </w:tcPr>
          <w:p>
            <w:r>
              <w:rPr>
                <w:rFonts w:ascii="Times New Roman" w:hAnsi="Times New Roman"/>
                <w:sz w:val="20"/>
              </w:rPr>
              <w:t>0,029</w:t>
            </w:r>
          </w:p>
        </w:tc>
        <w:tc>
          <w:tcPr>
            <w:tcW w:type="dxa" w:w="1344"/>
            <w:tcW w:w="1701" w:type="dxa"/>
          </w:tcPr>
          <w:p>
            <w:r>
              <w:rPr>
                <w:rFonts w:ascii="Times New Roman" w:hAnsi="Times New Roman"/>
                <w:sz w:val="20"/>
              </w:rPr>
              <w:t>↓ Giảm</w:t>
            </w:r>
          </w:p>
        </w:tc>
      </w:tr>
      <w:tr>
        <w:tc>
          <w:tcPr>
            <w:tcW w:type="dxa" w:w="1344"/>
            <w:tcW w:w="1984" w:type="dxa"/>
          </w:tcPr>
          <w:p>
            <w:r>
              <w:rPr>
                <w:rFonts w:ascii="Times New Roman" w:hAnsi="Times New Roman"/>
                <w:sz w:val="20"/>
              </w:rPr>
              <w:t>Rối loạn PT tổng quát</w:t>
            </w:r>
          </w:p>
        </w:tc>
        <w:tc>
          <w:tcPr>
            <w:tcW w:type="dxa" w:w="1344"/>
            <w:tcW w:w="850" w:type="dxa"/>
          </w:tcPr>
          <w:p>
            <w:r>
              <w:rPr>
                <w:rFonts w:ascii="Times New Roman" w:hAnsi="Times New Roman"/>
                <w:sz w:val="20"/>
              </w:rPr>
              <w:t>3,8</w:t>
            </w:r>
          </w:p>
        </w:tc>
        <w:tc>
          <w:tcPr>
            <w:tcW w:type="dxa" w:w="1344"/>
            <w:tcW w:w="850" w:type="dxa"/>
          </w:tcPr>
          <w:p>
            <w:r>
              <w:rPr>
                <w:rFonts w:ascii="Times New Roman" w:hAnsi="Times New Roman"/>
                <w:sz w:val="20"/>
              </w:rPr>
              <w:t>3,8</w:t>
            </w:r>
          </w:p>
        </w:tc>
        <w:tc>
          <w:tcPr>
            <w:tcW w:type="dxa" w:w="1344"/>
            <w:tcW w:w="850" w:type="dxa"/>
          </w:tcPr>
          <w:p>
            <w:r>
              <w:rPr>
                <w:rFonts w:ascii="Times New Roman" w:hAnsi="Times New Roman"/>
                <w:sz w:val="20"/>
              </w:rPr>
              <w:t>0,98</w:t>
            </w:r>
          </w:p>
        </w:tc>
        <w:tc>
          <w:tcPr>
            <w:tcW w:type="dxa" w:w="1344"/>
            <w:tcW w:w="1417" w:type="dxa"/>
          </w:tcPr>
          <w:p>
            <w:r>
              <w:rPr>
                <w:rFonts w:ascii="Times New Roman" w:hAnsi="Times New Roman"/>
                <w:sz w:val="20"/>
              </w:rPr>
              <w:t>0,48–1,99</w:t>
            </w:r>
          </w:p>
        </w:tc>
        <w:tc>
          <w:tcPr>
            <w:tcW w:type="dxa" w:w="1344"/>
            <w:tcW w:w="850" w:type="dxa"/>
          </w:tcPr>
          <w:p>
            <w:r>
              <w:rPr>
                <w:rFonts w:ascii="Times New Roman" w:hAnsi="Times New Roman"/>
                <w:sz w:val="20"/>
              </w:rPr>
              <w:t>0,949</w:t>
            </w:r>
          </w:p>
        </w:tc>
        <w:tc>
          <w:tcPr>
            <w:tcW w:type="dxa" w:w="1344"/>
            <w:tcW w:w="1701" w:type="dxa"/>
          </w:tcPr>
          <w:p>
            <w:r>
              <w:rPr>
                <w:rFonts w:ascii="Times New Roman" w:hAnsi="Times New Roman"/>
                <w:sz w:val="20"/>
              </w:rPr>
              <w:t>— Ổn định</w:t>
            </w:r>
          </w:p>
        </w:tc>
      </w:tr>
    </w:tbl>
    <w:p>
      <w:r>
        <w:rPr>
          <w:rFonts w:ascii="Times New Roman" w:hAnsi="Times New Roman"/>
          <w:b w:val="0"/>
          <w:i/>
          <w:sz w:val="18"/>
        </w:rPr>
        <w:t>Ghi chú: AOR điều chỉnh cho tuổi, giới, chủng tộc/dân tộc. Clustering theo tiểu bang. Chỉ tính chương trình cộng đồng tương tự.</w:t>
      </w:r>
    </w:p>
    <w:p>
      <w:pPr>
        <w:jc w:val="center"/>
      </w:pPr>
      <w:r>
        <w:drawing>
          <wp:inline xmlns:a="http://schemas.openxmlformats.org/drawingml/2006/main" xmlns:pic="http://schemas.openxmlformats.org/drawingml/2006/picture">
            <wp:extent cx="5400000" cy="4768119"/>
            <wp:docPr id="1" name="Picture 1"/>
            <wp:cNvGraphicFramePr>
              <a:graphicFrameLocks noChangeAspect="1"/>
            </wp:cNvGraphicFramePr>
            <a:graphic>
              <a:graphicData uri="http://schemas.openxmlformats.org/drawingml/2006/picture">
                <pic:pic>
                  <pic:nvPicPr>
                    <pic:cNvPr id="0" name="JAACAP_Fig1_trends.png"/>
                    <pic:cNvPicPr/>
                  </pic:nvPicPr>
                  <pic:blipFill>
                    <a:blip r:embed="rId9"/>
                    <a:stretch>
                      <a:fillRect/>
                    </a:stretch>
                  </pic:blipFill>
                  <pic:spPr>
                    <a:xfrm>
                      <a:off x="0" y="0"/>
                      <a:ext cx="5400000" cy="4768119"/>
                    </a:xfrm>
                    <a:prstGeom prst="rect"/>
                  </pic:spPr>
                </pic:pic>
              </a:graphicData>
            </a:graphic>
          </wp:inline>
        </w:drawing>
      </w:r>
    </w:p>
    <w:p>
      <w:pPr>
        <w:jc w:val="center"/>
      </w:pPr>
      <w:r>
        <w:rPr>
          <w:rFonts w:ascii="Times New Roman" w:hAnsi="Times New Roman"/>
          <w:i/>
          <w:sz w:val="18"/>
        </w:rPr>
        <w:t>Hình 1. Xu hướng tỷ lệ các rối loạn tâm thần ở trẻ em/VTN. (A) Rối loạn lo âu, trầm cảm, lưỡng cực, sang chấn/stress. (B) ADHD, ODD, rối loạn hành vi, PDD. Phân tích dựa trên MH-CLD, 2013–2021. (Figure 1. Prevalence Trends of Child and Adolescent Psychiatric Disorders.)</w:t>
      </w:r>
    </w:p>
    <w:p>
      <w:r>
        <w:rPr>
          <w:rFonts w:ascii="Times New Roman" w:hAnsi="Times New Roman"/>
          <w:b/>
          <w:i w:val="0"/>
          <w:sz w:val="24"/>
        </w:rPr>
        <w:t>3.3. Xu hướng theo TUỔI</w:t>
      </w:r>
    </w:p>
    <w:p>
      <w:pPr>
        <w:pStyle w:val="Heading3"/>
      </w:pPr>
      <w:r>
        <w:rPr>
          <w:rFonts w:ascii="Times New Roman" w:hAnsi="Times New Roman"/>
          <w:color w:val="000000"/>
        </w:rPr>
        <w:t>Bảng 3. Xu hướng rối loạn lo âu theo nhóm tuổi (chương trình cộng đồng)</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701" w:type="dxa"/>
            <w:shd w:fill="D9E2F3" w:val="clear"/>
          </w:tcPr>
          <w:p>
            <w:pPr>
              <w:jc w:val="center"/>
            </w:pPr>
            <w:r>
              <w:rPr>
                <w:rFonts w:ascii="Times New Roman" w:hAnsi="Times New Roman"/>
                <w:b/>
                <w:sz w:val="20"/>
              </w:rPr>
              <w:t>Nhóm tuổi</w:t>
            </w:r>
          </w:p>
        </w:tc>
        <w:tc>
          <w:tcPr>
            <w:tcW w:type="dxa" w:w="1344"/>
            <w:tcW w:w="1134" w:type="dxa"/>
            <w:shd w:fill="D9E2F3" w:val="clear"/>
          </w:tcPr>
          <w:p>
            <w:pPr>
              <w:jc w:val="center"/>
            </w:pPr>
            <w:r>
              <w:rPr>
                <w:rFonts w:ascii="Times New Roman" w:hAnsi="Times New Roman"/>
                <w:b/>
                <w:sz w:val="20"/>
              </w:rPr>
              <w:t>2013 (%)</w:t>
            </w:r>
          </w:p>
        </w:tc>
        <w:tc>
          <w:tcPr>
            <w:tcW w:type="dxa" w:w="1344"/>
            <w:tcW w:w="1134" w:type="dxa"/>
            <w:shd w:fill="D9E2F3" w:val="clear"/>
          </w:tcPr>
          <w:p>
            <w:pPr>
              <w:jc w:val="center"/>
            </w:pPr>
            <w:r>
              <w:rPr>
                <w:rFonts w:ascii="Times New Roman" w:hAnsi="Times New Roman"/>
                <w:b/>
                <w:sz w:val="20"/>
              </w:rPr>
              <w:t>2021 (%)</w:t>
            </w:r>
          </w:p>
        </w:tc>
        <w:tc>
          <w:tcPr>
            <w:tcW w:type="dxa" w:w="1344"/>
            <w:tcW w:w="1134" w:type="dxa"/>
            <w:shd w:fill="D9E2F3" w:val="clear"/>
          </w:tcPr>
          <w:p>
            <w:pPr>
              <w:jc w:val="center"/>
            </w:pPr>
            <w:r>
              <w:rPr>
                <w:rFonts w:ascii="Times New Roman" w:hAnsi="Times New Roman"/>
                <w:b/>
                <w:sz w:val="20"/>
              </w:rPr>
              <w:t>AOR</w:t>
            </w:r>
          </w:p>
        </w:tc>
        <w:tc>
          <w:tcPr>
            <w:tcW w:type="dxa" w:w="1344"/>
            <w:tcW w:w="1417" w:type="dxa"/>
            <w:shd w:fill="D9E2F3" w:val="clear"/>
          </w:tcPr>
          <w:p>
            <w:pPr>
              <w:jc w:val="center"/>
            </w:pPr>
            <w:r>
              <w:rPr>
                <w:rFonts w:ascii="Times New Roman" w:hAnsi="Times New Roman"/>
                <w:b/>
                <w:sz w:val="20"/>
              </w:rPr>
              <w:t>KTC 95%</w:t>
            </w:r>
          </w:p>
        </w:tc>
        <w:tc>
          <w:tcPr>
            <w:tcW w:type="dxa" w:w="1344"/>
            <w:tcW w:w="1134" w:type="dxa"/>
            <w:shd w:fill="D9E2F3" w:val="clear"/>
          </w:tcPr>
          <w:p>
            <w:pPr>
              <w:jc w:val="center"/>
            </w:pPr>
            <w:r>
              <w:rPr>
                <w:rFonts w:ascii="Times New Roman" w:hAnsi="Times New Roman"/>
                <w:b/>
                <w:sz w:val="20"/>
              </w:rPr>
              <w:t>p</w:t>
            </w:r>
          </w:p>
        </w:tc>
        <w:tc>
          <w:tcPr>
            <w:tcW w:type="dxa" w:w="1344"/>
            <w:tcW w:w="1134" w:type="dxa"/>
            <w:shd w:fill="D9E2F3" w:val="clear"/>
          </w:tcPr>
          <w:p>
            <w:pPr>
              <w:jc w:val="center"/>
            </w:pPr>
            <w:r>
              <w:rPr>
                <w:rFonts w:ascii="Times New Roman" w:hAnsi="Times New Roman"/>
                <w:b/>
                <w:sz w:val="20"/>
              </w:rPr>
              <w:t>Tương tác p</w:t>
            </w:r>
          </w:p>
        </w:tc>
      </w:tr>
      <w:tr>
        <w:tc>
          <w:tcPr>
            <w:tcW w:type="dxa" w:w="1344"/>
            <w:tcW w:w="1701" w:type="dxa"/>
          </w:tcPr>
          <w:p>
            <w:r>
              <w:rPr>
                <w:rFonts w:ascii="Times New Roman" w:hAnsi="Times New Roman"/>
                <w:sz w:val="20"/>
              </w:rPr>
              <w:t>&lt;12 tuổi</w:t>
            </w:r>
          </w:p>
        </w:tc>
        <w:tc>
          <w:tcPr>
            <w:tcW w:type="dxa" w:w="1344"/>
            <w:tcW w:w="1134" w:type="dxa"/>
          </w:tcPr>
          <w:p>
            <w:r>
              <w:rPr>
                <w:rFonts w:ascii="Times New Roman" w:hAnsi="Times New Roman"/>
                <w:sz w:val="20"/>
              </w:rPr>
              <w:t>9,3</w:t>
            </w:r>
          </w:p>
        </w:tc>
        <w:tc>
          <w:tcPr>
            <w:tcW w:type="dxa" w:w="1344"/>
            <w:tcW w:w="1134" w:type="dxa"/>
          </w:tcPr>
          <w:p>
            <w:r>
              <w:rPr>
                <w:rFonts w:ascii="Times New Roman" w:hAnsi="Times New Roman"/>
                <w:sz w:val="20"/>
              </w:rPr>
              <w:t>14,6</w:t>
            </w:r>
          </w:p>
        </w:tc>
        <w:tc>
          <w:tcPr>
            <w:tcW w:type="dxa" w:w="1344"/>
            <w:tcW w:w="1134" w:type="dxa"/>
          </w:tcPr>
          <w:p>
            <w:r>
              <w:rPr>
                <w:rFonts w:ascii="Times New Roman" w:hAnsi="Times New Roman"/>
                <w:sz w:val="20"/>
              </w:rPr>
              <w:t>1,66</w:t>
            </w:r>
          </w:p>
        </w:tc>
        <w:tc>
          <w:tcPr>
            <w:tcW w:type="dxa" w:w="1344"/>
            <w:tcW w:w="1417" w:type="dxa"/>
          </w:tcPr>
          <w:p>
            <w:r>
              <w:rPr>
                <w:rFonts w:ascii="Times New Roman" w:hAnsi="Times New Roman"/>
                <w:sz w:val="20"/>
              </w:rPr>
              <w:t>1,37–2,02</w:t>
            </w:r>
          </w:p>
        </w:tc>
        <w:tc>
          <w:tcPr>
            <w:tcW w:type="dxa" w:w="1344"/>
            <w:tcW w:w="1134" w:type="dxa"/>
          </w:tcPr>
          <w:p>
            <w:r>
              <w:rPr>
                <w:rFonts w:ascii="Times New Roman" w:hAnsi="Times New Roman"/>
                <w:sz w:val="20"/>
              </w:rPr>
              <w:t>&lt;0,001</w:t>
            </w:r>
          </w:p>
        </w:tc>
        <w:tc>
          <w:tcPr>
            <w:tcW w:type="dxa" w:w="1344"/>
            <w:tcW w:w="1134" w:type="dxa"/>
          </w:tcPr>
          <w:p>
            <w:r>
              <w:rPr>
                <w:rFonts w:ascii="Times New Roman" w:hAnsi="Times New Roman"/>
                <w:sz w:val="20"/>
              </w:rPr>
              <w:t>Reference</w:t>
            </w:r>
          </w:p>
        </w:tc>
      </w:tr>
      <w:tr>
        <w:tc>
          <w:tcPr>
            <w:tcW w:type="dxa" w:w="1344"/>
            <w:tcW w:w="1701" w:type="dxa"/>
          </w:tcPr>
          <w:p>
            <w:r>
              <w:rPr>
                <w:rFonts w:ascii="Times New Roman" w:hAnsi="Times New Roman"/>
                <w:sz w:val="20"/>
              </w:rPr>
              <w:t>12–14 tuổi</w:t>
            </w:r>
          </w:p>
        </w:tc>
        <w:tc>
          <w:tcPr>
            <w:tcW w:type="dxa" w:w="1344"/>
            <w:tcW w:w="1134" w:type="dxa"/>
          </w:tcPr>
          <w:p>
            <w:r>
              <w:rPr>
                <w:rFonts w:ascii="Times New Roman" w:hAnsi="Times New Roman"/>
                <w:sz w:val="20"/>
              </w:rPr>
              <w:t>9,7</w:t>
            </w:r>
          </w:p>
        </w:tc>
        <w:tc>
          <w:tcPr>
            <w:tcW w:type="dxa" w:w="1344"/>
            <w:tcW w:w="1134" w:type="dxa"/>
          </w:tcPr>
          <w:p>
            <w:r>
              <w:rPr>
                <w:rFonts w:ascii="Times New Roman" w:hAnsi="Times New Roman"/>
                <w:sz w:val="20"/>
              </w:rPr>
              <w:t>21,1</w:t>
            </w:r>
          </w:p>
        </w:tc>
        <w:tc>
          <w:tcPr>
            <w:tcW w:type="dxa" w:w="1344"/>
            <w:tcW w:w="1134" w:type="dxa"/>
          </w:tcPr>
          <w:p>
            <w:r>
              <w:rPr>
                <w:rFonts w:ascii="Times New Roman" w:hAnsi="Times New Roman"/>
                <w:sz w:val="20"/>
              </w:rPr>
              <w:t>2,38</w:t>
            </w:r>
          </w:p>
        </w:tc>
        <w:tc>
          <w:tcPr>
            <w:tcW w:type="dxa" w:w="1344"/>
            <w:tcW w:w="1417" w:type="dxa"/>
          </w:tcPr>
          <w:p>
            <w:r>
              <w:rPr>
                <w:rFonts w:ascii="Times New Roman" w:hAnsi="Times New Roman"/>
                <w:sz w:val="20"/>
              </w:rPr>
              <w:t>2,03–2,80</w:t>
            </w:r>
          </w:p>
        </w:tc>
        <w:tc>
          <w:tcPr>
            <w:tcW w:type="dxa" w:w="1344"/>
            <w:tcW w:w="1134" w:type="dxa"/>
          </w:tcPr>
          <w:p>
            <w:r>
              <w:rPr>
                <w:rFonts w:ascii="Times New Roman" w:hAnsi="Times New Roman"/>
                <w:sz w:val="20"/>
              </w:rPr>
              <w:t>&lt;0,001</w:t>
            </w:r>
          </w:p>
        </w:tc>
        <w:tc>
          <w:tcPr>
            <w:tcW w:type="dxa" w:w="1344"/>
            <w:tcW w:w="1134" w:type="dxa"/>
          </w:tcPr>
          <w:p>
            <w:r>
              <w:rPr>
                <w:rFonts w:ascii="Times New Roman" w:hAnsi="Times New Roman"/>
                <w:sz w:val="20"/>
              </w:rPr>
              <w:t>&lt;0,001</w:t>
            </w:r>
          </w:p>
        </w:tc>
      </w:tr>
      <w:tr>
        <w:tc>
          <w:tcPr>
            <w:tcW w:type="dxa" w:w="1344"/>
            <w:tcW w:w="1701" w:type="dxa"/>
          </w:tcPr>
          <w:p>
            <w:r>
              <w:rPr>
                <w:rFonts w:ascii="Times New Roman" w:hAnsi="Times New Roman"/>
                <w:sz w:val="20"/>
              </w:rPr>
              <w:t>15–17 tuổi</w:t>
            </w:r>
          </w:p>
        </w:tc>
        <w:tc>
          <w:tcPr>
            <w:tcW w:type="dxa" w:w="1344"/>
            <w:tcW w:w="1134" w:type="dxa"/>
          </w:tcPr>
          <w:p>
            <w:r>
              <w:rPr>
                <w:rFonts w:ascii="Times New Roman" w:hAnsi="Times New Roman"/>
                <w:sz w:val="20"/>
              </w:rPr>
              <w:t>10,1</w:t>
            </w:r>
          </w:p>
        </w:tc>
        <w:tc>
          <w:tcPr>
            <w:tcW w:type="dxa" w:w="1344"/>
            <w:tcW w:w="1134" w:type="dxa"/>
          </w:tcPr>
          <w:p>
            <w:r>
              <w:rPr>
                <w:rFonts w:ascii="Times New Roman" w:hAnsi="Times New Roman"/>
                <w:sz w:val="20"/>
              </w:rPr>
              <w:t>25,4</w:t>
            </w:r>
          </w:p>
        </w:tc>
        <w:tc>
          <w:tcPr>
            <w:tcW w:type="dxa" w:w="1344"/>
            <w:tcW w:w="1134" w:type="dxa"/>
          </w:tcPr>
          <w:p>
            <w:r>
              <w:rPr>
                <w:rFonts w:ascii="Times New Roman" w:hAnsi="Times New Roman"/>
                <w:sz w:val="20"/>
              </w:rPr>
              <w:t>2,93</w:t>
            </w:r>
          </w:p>
        </w:tc>
        <w:tc>
          <w:tcPr>
            <w:tcW w:type="dxa" w:w="1344"/>
            <w:tcW w:w="1417" w:type="dxa"/>
          </w:tcPr>
          <w:p>
            <w:r>
              <w:rPr>
                <w:rFonts w:ascii="Times New Roman" w:hAnsi="Times New Roman"/>
                <w:sz w:val="20"/>
              </w:rPr>
              <w:t>2,51–3,41</w:t>
            </w:r>
          </w:p>
        </w:tc>
        <w:tc>
          <w:tcPr>
            <w:tcW w:type="dxa" w:w="1344"/>
            <w:tcW w:w="1134" w:type="dxa"/>
          </w:tcPr>
          <w:p>
            <w:r>
              <w:rPr>
                <w:rFonts w:ascii="Times New Roman" w:hAnsi="Times New Roman"/>
                <w:sz w:val="20"/>
              </w:rPr>
              <w:t>&lt;0,001</w:t>
            </w:r>
          </w:p>
        </w:tc>
        <w:tc>
          <w:tcPr>
            <w:tcW w:type="dxa" w:w="1344"/>
            <w:tcW w:w="1134" w:type="dxa"/>
          </w:tcPr>
          <w:p>
            <w:r>
              <w:rPr>
                <w:rFonts w:ascii="Times New Roman" w:hAnsi="Times New Roman"/>
                <w:sz w:val="20"/>
              </w:rPr>
              <w:t>&lt;0,001</w:t>
            </w:r>
          </w:p>
        </w:tc>
      </w:tr>
    </w:tbl>
    <w:p>
      <w:r>
        <w:rPr>
          <w:rFonts w:ascii="Times New Roman" w:hAnsi="Times New Roman"/>
          <w:b w:val="0"/>
          <w:i/>
          <w:sz w:val="18"/>
        </w:rPr>
        <w:t>Ghi chú: Lo âu tăng mạnh nhất ở 15–17 tuổi (AOR = 2,93 — gần GẤP BA). Tương tác tuổi × thời gian có ý nghĩa (p &lt; 0,001).</w:t>
      </w:r>
    </w:p>
    <w:p>
      <w:r>
        <w:rPr>
          <w:rFonts w:ascii="Times New Roman" w:hAnsi="Times New Roman"/>
          <w:b/>
          <w:i w:val="0"/>
          <w:sz w:val="24"/>
        </w:rPr>
        <w:t>3.4. Xu hướng theo GIỚI TÍNH</w:t>
      </w:r>
    </w:p>
    <w:p>
      <w:r>
        <w:rPr>
          <w:rFonts w:ascii="Times New Roman" w:hAnsi="Times New Roman"/>
          <w:b w:val="0"/>
          <w:i w:val="0"/>
          <w:sz w:val="24"/>
        </w:rPr>
        <w:t>Xu hướng tăng lo âu và trầm cảm rõ rệt hơn ở NỮ so với nam. Xu hướng giảm rối loạn hành vi và chống đối chủ yếu ở NAM hoặc không có ý nghĩa ở nữ.</w:t>
      </w:r>
    </w:p>
    <w:p>
      <w:pPr>
        <w:pStyle w:val="Heading3"/>
      </w:pPr>
      <w:r>
        <w:rPr>
          <w:rFonts w:ascii="Times New Roman" w:hAnsi="Times New Roman"/>
          <w:color w:val="000000"/>
        </w:rPr>
        <w:t>Bảng 4. Xu hướng rối loạn lo âu theo giới tính</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1417" w:type="dxa"/>
            <w:shd w:fill="D9E2F3" w:val="clear"/>
          </w:tcPr>
          <w:p>
            <w:pPr>
              <w:jc w:val="center"/>
            </w:pPr>
            <w:r>
              <w:rPr>
                <w:rFonts w:ascii="Times New Roman" w:hAnsi="Times New Roman"/>
                <w:b/>
                <w:sz w:val="20"/>
              </w:rPr>
              <w:t>Giới</w:t>
            </w:r>
          </w:p>
        </w:tc>
        <w:tc>
          <w:tcPr>
            <w:tcW w:type="dxa" w:w="1881"/>
            <w:tcW w:w="1134" w:type="dxa"/>
            <w:shd w:fill="D9E2F3" w:val="clear"/>
          </w:tcPr>
          <w:p>
            <w:pPr>
              <w:jc w:val="center"/>
            </w:pPr>
            <w:r>
              <w:rPr>
                <w:rFonts w:ascii="Times New Roman" w:hAnsi="Times New Roman"/>
                <w:b/>
                <w:sz w:val="20"/>
              </w:rPr>
              <w:t>2013 (%)</w:t>
            </w:r>
          </w:p>
        </w:tc>
        <w:tc>
          <w:tcPr>
            <w:tcW w:type="dxa" w:w="1881"/>
            <w:tcW w:w="1134" w:type="dxa"/>
            <w:shd w:fill="D9E2F3" w:val="clear"/>
          </w:tcPr>
          <w:p>
            <w:pPr>
              <w:jc w:val="center"/>
            </w:pPr>
            <w:r>
              <w:rPr>
                <w:rFonts w:ascii="Times New Roman" w:hAnsi="Times New Roman"/>
                <w:b/>
                <w:sz w:val="20"/>
              </w:rPr>
              <w:t>2021 (%)</w:t>
            </w:r>
          </w:p>
        </w:tc>
        <w:tc>
          <w:tcPr>
            <w:tcW w:type="dxa" w:w="1881"/>
            <w:tcW w:w="1134" w:type="dxa"/>
            <w:shd w:fill="D9E2F3" w:val="clear"/>
          </w:tcPr>
          <w:p>
            <w:pPr>
              <w:jc w:val="center"/>
            </w:pPr>
            <w:r>
              <w:rPr>
                <w:rFonts w:ascii="Times New Roman" w:hAnsi="Times New Roman"/>
                <w:b/>
                <w:sz w:val="20"/>
              </w:rPr>
              <w:t>AOR</w:t>
            </w:r>
          </w:p>
        </w:tc>
        <w:tc>
          <w:tcPr>
            <w:tcW w:type="dxa" w:w="1881"/>
            <w:tcW w:w="3402" w:type="dxa"/>
            <w:shd w:fill="D9E2F3" w:val="clear"/>
          </w:tcPr>
          <w:p>
            <w:pPr>
              <w:jc w:val="center"/>
            </w:pPr>
            <w:r>
              <w:rPr>
                <w:rFonts w:ascii="Times New Roman" w:hAnsi="Times New Roman"/>
                <w:b/>
                <w:sz w:val="20"/>
              </w:rPr>
              <w:t>Tương tác p</w:t>
            </w:r>
          </w:p>
        </w:tc>
      </w:tr>
      <w:tr>
        <w:tc>
          <w:tcPr>
            <w:tcW w:type="dxa" w:w="1881"/>
            <w:tcW w:w="1417" w:type="dxa"/>
          </w:tcPr>
          <w:p>
            <w:r>
              <w:rPr>
                <w:rFonts w:ascii="Times New Roman" w:hAnsi="Times New Roman"/>
                <w:sz w:val="20"/>
              </w:rPr>
              <w:t>Nữ</w:t>
            </w:r>
          </w:p>
        </w:tc>
        <w:tc>
          <w:tcPr>
            <w:tcW w:type="dxa" w:w="1881"/>
            <w:tcW w:w="1134" w:type="dxa"/>
          </w:tcPr>
          <w:p>
            <w:r>
              <w:rPr>
                <w:rFonts w:ascii="Times New Roman" w:hAnsi="Times New Roman"/>
                <w:sz w:val="20"/>
              </w:rPr>
              <w:t>11,3</w:t>
            </w:r>
          </w:p>
        </w:tc>
        <w:tc>
          <w:tcPr>
            <w:tcW w:type="dxa" w:w="1881"/>
            <w:tcW w:w="1134" w:type="dxa"/>
          </w:tcPr>
          <w:p>
            <w:r>
              <w:rPr>
                <w:rFonts w:ascii="Times New Roman" w:hAnsi="Times New Roman"/>
                <w:sz w:val="20"/>
              </w:rPr>
              <w:t>22,3</w:t>
            </w:r>
          </w:p>
        </w:tc>
        <w:tc>
          <w:tcPr>
            <w:tcW w:type="dxa" w:w="1881"/>
            <w:tcW w:w="1134" w:type="dxa"/>
          </w:tcPr>
          <w:p>
            <w:r>
              <w:rPr>
                <w:rFonts w:ascii="Times New Roman" w:hAnsi="Times New Roman"/>
                <w:sz w:val="20"/>
              </w:rPr>
              <w:t>2,24</w:t>
            </w:r>
          </w:p>
        </w:tc>
        <w:tc>
          <w:tcPr>
            <w:tcW w:type="dxa" w:w="1881"/>
            <w:tcW w:w="3402" w:type="dxa"/>
          </w:tcPr>
          <w:p>
            <w:r>
              <w:rPr>
                <w:rFonts w:ascii="Times New Roman" w:hAnsi="Times New Roman"/>
                <w:sz w:val="20"/>
              </w:rPr>
              <w:t>Reference</w:t>
            </w:r>
          </w:p>
        </w:tc>
      </w:tr>
      <w:tr>
        <w:tc>
          <w:tcPr>
            <w:tcW w:type="dxa" w:w="1881"/>
            <w:tcW w:w="1417" w:type="dxa"/>
          </w:tcPr>
          <w:p>
            <w:r>
              <w:rPr>
                <w:rFonts w:ascii="Times New Roman" w:hAnsi="Times New Roman"/>
                <w:sz w:val="20"/>
              </w:rPr>
              <w:t>Nam</w:t>
            </w:r>
          </w:p>
        </w:tc>
        <w:tc>
          <w:tcPr>
            <w:tcW w:type="dxa" w:w="1881"/>
            <w:tcW w:w="1134" w:type="dxa"/>
          </w:tcPr>
          <w:p>
            <w:r>
              <w:rPr>
                <w:rFonts w:ascii="Times New Roman" w:hAnsi="Times New Roman"/>
                <w:sz w:val="20"/>
              </w:rPr>
              <w:t>8,5</w:t>
            </w:r>
          </w:p>
        </w:tc>
        <w:tc>
          <w:tcPr>
            <w:tcW w:type="dxa" w:w="1881"/>
            <w:tcW w:w="1134" w:type="dxa"/>
          </w:tcPr>
          <w:p>
            <w:r>
              <w:rPr>
                <w:rFonts w:ascii="Times New Roman" w:hAnsi="Times New Roman"/>
                <w:sz w:val="20"/>
              </w:rPr>
              <w:t>16,5</w:t>
            </w:r>
          </w:p>
        </w:tc>
        <w:tc>
          <w:tcPr>
            <w:tcW w:type="dxa" w:w="1881"/>
            <w:tcW w:w="1134" w:type="dxa"/>
          </w:tcPr>
          <w:p>
            <w:r>
              <w:rPr>
                <w:rFonts w:ascii="Times New Roman" w:hAnsi="Times New Roman"/>
                <w:sz w:val="20"/>
              </w:rPr>
              <w:t>2,14</w:t>
            </w:r>
          </w:p>
        </w:tc>
        <w:tc>
          <w:tcPr>
            <w:tcW w:type="dxa" w:w="1881"/>
            <w:tcW w:w="3402" w:type="dxa"/>
          </w:tcPr>
          <w:p>
            <w:r>
              <w:rPr>
                <w:rFonts w:ascii="Times New Roman" w:hAnsi="Times New Roman"/>
                <w:sz w:val="20"/>
              </w:rPr>
              <w:t>0,207 (không khác biệt đáng kể)</w:t>
            </w:r>
          </w:p>
        </w:tc>
      </w:tr>
    </w:tbl>
    <w:p>
      <w:r>
        <w:rPr>
          <w:rFonts w:ascii="Times New Roman" w:hAnsi="Times New Roman"/>
          <w:b/>
          <w:i w:val="0"/>
          <w:sz w:val="24"/>
        </w:rPr>
        <w:t>3.5. Xu hướng theo CHỦNG TỘC/DÂN TỘC</w:t>
      </w:r>
    </w:p>
    <w:p>
      <w:r>
        <w:rPr>
          <w:rFonts w:ascii="Times New Roman" w:hAnsi="Times New Roman"/>
          <w:b w:val="0"/>
          <w:i w:val="0"/>
          <w:sz w:val="24"/>
        </w:rPr>
        <w:t>Lo âu tăng ở tất cả nhóm: Trắng không Hispanic (11,1% → 23,5%, AOR = 2,41), Da đen (5,1% → 10,8%, AOR = 2,28), Hispanic (11,0% → 17,8%, AOR = 1,64). Đáng chú ý: tỷ lệ lo âu ở trẻ Da đen thấp nhất nhưng tăng nhanh nhất (AOR = 2,28).</w:t>
      </w:r>
    </w:p>
    <w:p>
      <w:r>
        <w:rPr>
          <w:rFonts w:ascii="Times New Roman" w:hAnsi="Times New Roman"/>
          <w:b/>
          <w:i w:val="0"/>
          <w:sz w:val="24"/>
        </w:rPr>
        <w:t>3.6. Tác động COVID-19</w:t>
      </w:r>
    </w:p>
    <w:p>
      <w:r>
        <w:rPr>
          <w:rFonts w:ascii="Times New Roman" w:hAnsi="Times New Roman"/>
          <w:b w:val="0"/>
          <w:i w:val="0"/>
          <w:sz w:val="24"/>
        </w:rPr>
        <w:t>Phân tích linear splines cho thấy xu hướng tăng lo âu đã diễn ra TRƯỚC COVID (2013–2019). COVID không tạo ra "bước nhảy" đột ngột mà tiếp tục xu hướng có sẵn. Tuy nhiên, lưỡng cực giảm mạnh nhất sau 2016 — có thể liên quan DSM-5 (2013) với DMDD thay thế.</w:t>
      </w:r>
    </w:p>
    <w:p>
      <w:r>
        <w:rPr>
          <w:rFonts w:ascii="Times New Roman" w:hAnsi="Times New Roman"/>
          <w:i/>
          <w:color w:val="808080"/>
          <w:sz w:val="18"/>
        </w:rPr>
        <w:t>--- Trang 8–14, JAACAP, Vol. 64(8), 2025 ---</w:t>
      </w:r>
    </w:p>
    <w:p>
      <w:pPr>
        <w:pStyle w:val="Heading2"/>
      </w:pPr>
      <w:r>
        <w:rPr>
          <w:rFonts w:ascii="Times New Roman" w:hAnsi="Times New Roman"/>
          <w:color w:val="000000"/>
        </w:rPr>
        <w:t>4. THẢO LUẬN</w:t>
      </w:r>
    </w:p>
    <w:p>
      <w:r>
        <w:rPr>
          <w:rFonts w:ascii="Times New Roman" w:hAnsi="Times New Roman"/>
          <w:b w:val="0"/>
          <w:i w:val="0"/>
          <w:sz w:val="24"/>
        </w:rPr>
        <w:t>Phát hiện nổi bật nhất: rối loạn lo âu TĂNG GẤP ĐÔI trong 8 năm (AOR = 2,17) — xu hướng mạnh nhất và nhất quán nhất qua tất cả phân tầng (tuổi, giới, chủng tộc, cơ sở). Lo âu đã vượt qua trầm cảm để trở thành rối loạn tăng nhanh nhất trong hệ thống SKTT trẻ em/VTN Mỹ.</w:t>
      </w:r>
    </w:p>
    <w:p>
      <w:r>
        <w:rPr>
          <w:rFonts w:ascii="Times New Roman" w:hAnsi="Times New Roman"/>
          <w:b w:val="0"/>
          <w:i w:val="0"/>
          <w:sz w:val="24"/>
        </w:rPr>
        <w:t>Tăng lo âu có thể phản ánh nhiều yếu tố: tăng thực sự trong tỷ lệ dân số (song song với dữ liệu cộng đồng), tăng nhận thức và phát hiện (khuyến nghị sàng lọc USPSTF 2022), và có thể tăng stress xã hội (MXH, COVID). Không thể tách riêng các yếu tố này bằng dữ liệu hành chính.</w:t>
      </w:r>
    </w:p>
    <w:p>
      <w:r>
        <w:rPr>
          <w:rFonts w:ascii="Times New Roman" w:hAnsi="Times New Roman"/>
          <w:b/>
          <w:i w:val="0"/>
          <w:sz w:val="24"/>
        </w:rPr>
        <w:t>Giảm lưỡng cực gần 8 lần:</w:t>
      </w:r>
    </w:p>
    <w:p>
      <w:r>
        <w:rPr>
          <w:rFonts w:ascii="Times New Roman" w:hAnsi="Times New Roman"/>
          <w:b w:val="0"/>
          <w:i w:val="0"/>
          <w:sz w:val="24"/>
        </w:rPr>
        <w:t>Xu hướng giảm nhất quán nhất qua tất cả phân tầng. Phản ánh thay đổi thực hành chẩn đoán: tỷ lệ chẩn đoán lưỡng cực ở trẻ em tăng 40 lần giữa 1994–2003, gây lo ngại về chẩn đoán quá mức. DSM-5 (2013) giới thiệu Rối loạn Rối loạn Điều hòa Tâm trạng (DMDD — Disruptive Mood Dysregulation Disorder) nhằm giảm chẩn đoán sai lưỡng cực ở trẻ em.</w:t>
      </w:r>
    </w:p>
    <w:p>
      <w:r>
        <w:rPr>
          <w:rFonts w:ascii="Times New Roman" w:hAnsi="Times New Roman"/>
          <w:b/>
          <w:i w:val="0"/>
          <w:sz w:val="24"/>
        </w:rPr>
        <w:t>Tăng sang chấn/stress:</w:t>
      </w:r>
    </w:p>
    <w:p>
      <w:r>
        <w:rPr>
          <w:rFonts w:ascii="Times New Roman" w:hAnsi="Times New Roman"/>
          <w:b w:val="0"/>
          <w:i w:val="0"/>
          <w:sz w:val="24"/>
        </w:rPr>
        <w:t>Tăng rối loạn liên quan sang chấn/stress (AOR = 1,31) đáng ngạc nhiên vì nhiều trải nghiệm bất lợi thời thơ ấu (ACEs) giảm trong những năm gần đây. Có thể phản ánh tăng nhận thức và sàng lọc sang chấn, cùng với tác động COVID.</w:t>
      </w:r>
    </w:p>
    <w:p>
      <w:r>
        <w:rPr>
          <w:rFonts w:ascii="Times New Roman" w:hAnsi="Times New Roman"/>
          <w:b/>
          <w:i w:val="0"/>
          <w:sz w:val="24"/>
        </w:rPr>
        <w:t>Giảm rối loạn hành vi và chống đối:</w:t>
      </w:r>
    </w:p>
    <w:p>
      <w:r>
        <w:rPr>
          <w:rFonts w:ascii="Times New Roman" w:hAnsi="Times New Roman"/>
          <w:b w:val="0"/>
          <w:i w:val="0"/>
          <w:sz w:val="24"/>
        </w:rPr>
        <w:t>Phản ánh chuyển dịch từ "ngoại hóa" sang "nội hóa" — cả trong thực tế và trong thực hành chẩn đoán. Trẻ em trước đây có thể được chẩn đoán rối loạn hành vi nay được chẩn đoán lo âu hoặc sang chấn.</w:t>
      </w:r>
    </w:p>
    <w:p>
      <w:r>
        <w:rPr>
          <w:rFonts w:ascii="Times New Roman" w:hAnsi="Times New Roman"/>
          <w:b/>
          <w:i w:val="0"/>
          <w:sz w:val="24"/>
        </w:rPr>
        <w:t>Hạn chế nghiên cứu:</w:t>
      </w:r>
    </w:p>
    <w:p>
      <w:r>
        <w:rPr>
          <w:rFonts w:ascii="Times New Roman" w:hAnsi="Times New Roman"/>
          <w:b w:val="0"/>
          <w:i w:val="0"/>
          <w:sz w:val="24"/>
        </w:rPr>
        <w:t>• Chỉ trẻ đang nhận điều trị trong hệ thống công — thiên lệch chọn. Không bao gồm trẻ chưa chẩn đoán, trẻ hệ thống bảo hiểm tư nhân, hoặc trẻ không tiếp cận dịch vụ.</w:t>
      </w:r>
    </w:p>
    <w:p>
      <w:r>
        <w:rPr>
          <w:rFonts w:ascii="Times New Roman" w:hAnsi="Times New Roman"/>
          <w:b w:val="0"/>
          <w:i w:val="0"/>
          <w:sz w:val="24"/>
        </w:rPr>
        <w:t>• Không thể phân biệt tăng thực sự vs tăng phát hiện/thay đổi thực hành chẩn đoán.</w:t>
      </w:r>
    </w:p>
    <w:p>
      <w:r>
        <w:rPr>
          <w:rFonts w:ascii="Times New Roman" w:hAnsi="Times New Roman"/>
          <w:b w:val="0"/>
          <w:i w:val="0"/>
          <w:sz w:val="24"/>
        </w:rPr>
        <w:t>• Dữ liệu hành chính — chất lượng chẩn đoán khác nhau giữa tiểu bang.</w:t>
      </w:r>
    </w:p>
    <w:p>
      <w:r>
        <w:rPr>
          <w:rFonts w:ascii="Times New Roman" w:hAnsi="Times New Roman"/>
          <w:b w:val="0"/>
          <w:i w:val="0"/>
          <w:sz w:val="24"/>
        </w:rPr>
        <w:t>• Trẻ có thể xuất hiện nhiều lần trong cùng năm hoặc qua nhiều năm — không phải mẫu cá nhân độc lập.</w:t>
      </w:r>
    </w:p>
    <w:p>
      <w:r>
        <w:rPr>
          <w:rFonts w:ascii="Times New Roman" w:hAnsi="Times New Roman"/>
          <w:b w:val="0"/>
          <w:i w:val="0"/>
          <w:sz w:val="24"/>
        </w:rPr>
        <w:t>• Giới hạn 3 chẩn đoán đầu tiên — có thể bỏ sót chẩn đoán phụ.</w:t>
      </w:r>
    </w:p>
    <w:p>
      <w:pPr>
        <w:pStyle w:val="Heading2"/>
      </w:pPr>
      <w:r>
        <w:rPr>
          <w:rFonts w:ascii="Times New Roman" w:hAnsi="Times New Roman"/>
          <w:color w:val="000000"/>
        </w:rPr>
        <w:t>5. KẾT LUẬN</w:t>
      </w:r>
    </w:p>
    <w:p>
      <w:r>
        <w:rPr>
          <w:rFonts w:ascii="Times New Roman" w:hAnsi="Times New Roman"/>
          <w:b w:val="0"/>
          <w:i w:val="0"/>
          <w:sz w:val="24"/>
        </w:rPr>
        <w:t>Cấu trúc chẩn đoán tâm thần ở trẻ em trong hệ thống SKTT công thay đổi đáng kể trong thập kỷ qua. Một số xu hướng có thể phản ánh thay đổi trong thực hành chẩn đoán, nhưng tăng rối loạn lo âu và trầm cảm song song với xu hướng dân số chung — nhấn mạnh nhu cầu ngày càng tăng trong việc xác định và điều trị hiệu quả các rối loạn này ở trẻ em/VTN. Kết quả nhấn mạnh tầm quan trọng của đào tạo lực lượng SKTT trẻ em công trong đánh giá và quản lý rối loạn lo âu, trầm cảm, và sang chấn ngày càng phổ biến.</w:t>
      </w:r>
    </w:p>
    <w:p>
      <w:pPr>
        <w:pStyle w:val="Heading2"/>
      </w:pPr>
      <w:r>
        <w:rPr>
          <w:rFonts w:ascii="Times New Roman" w:hAnsi="Times New Roman"/>
          <w:color w:val="000000"/>
        </w:rPr>
        <w:t>TÀI LIỆU THAM KHẢO</w:t>
      </w:r>
    </w:p>
    <w:p>
      <w:r>
        <w:rPr>
          <w:rFonts w:ascii="Times New Roman" w:hAnsi="Times New Roman"/>
          <w:b w:val="0"/>
          <w:i w:val="0"/>
          <w:sz w:val="20"/>
        </w:rPr>
        <w:t>Mojtabai, R. &amp; Olfson, M. (2024). Trends in Mental Disorders in Children and Adolescents Receiving Treatment in the State Mental Health System. JAACAP, 64(8).</w:t>
      </w:r>
    </w:p>
    <w:p>
      <w:r>
        <w:rPr>
          <w:rFonts w:ascii="Times New Roman" w:hAnsi="Times New Roman"/>
          <w:b w:val="0"/>
          <w:i w:val="0"/>
          <w:sz w:val="20"/>
        </w:rPr>
        <w:t>Mojtabai, R., et al. (2016). National trends in the prevalence and treatment of depression in adolescents and young adults. Pediatrics, 138(6), e2016-1878.</w:t>
      </w:r>
    </w:p>
    <w:p>
      <w:r>
        <w:rPr>
          <w:rFonts w:ascii="Times New Roman" w:hAnsi="Times New Roman"/>
          <w:b w:val="0"/>
          <w:i w:val="0"/>
          <w:sz w:val="20"/>
        </w:rPr>
        <w:t>Twenge, J.M., et al. (2019). Age, period, and cohort trends in mood disorder indicators. J Abnorm Psychol, 128(3), 185–199.</w:t>
      </w:r>
    </w:p>
    <w:p>
      <w:r>
        <w:rPr>
          <w:rFonts w:ascii="Times New Roman" w:hAnsi="Times New Roman"/>
          <w:b w:val="0"/>
          <w:i w:val="0"/>
          <w:sz w:val="20"/>
        </w:rPr>
        <w:t>Bommersbach, T.J., et al. (2023). National trends in mental health-related emergency department visits among youth, 2011–2020. JAMA, 329(17), 1469–1477.</w:t>
      </w:r>
    </w:p>
    <w:p>
      <w:r>
        <w:rPr>
          <w:rFonts w:ascii="Times New Roman" w:hAnsi="Times New Roman"/>
          <w:b w:val="0"/>
          <w:i w:val="0"/>
          <w:sz w:val="20"/>
        </w:rPr>
        <w:t>Bitsko, R.H., et al. (2022). Mental health surveillance among children — United States, 2013–2019. MMWR Suppl, 71(2), 1–42.</w:t>
      </w:r>
    </w:p>
    <w:p>
      <w:r>
        <w:rPr>
          <w:rFonts w:ascii="Times New Roman" w:hAnsi="Times New Roman"/>
          <w:b w:val="0"/>
          <w:i/>
          <w:sz w:val="20"/>
        </w:rPr>
        <w:t>(Xem danh mục đầy đủ trong bài gốc — 41 tài liệu tham khảo)</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MH-CLD</w:t>
            </w:r>
          </w:p>
        </w:tc>
        <w:tc>
          <w:tcPr>
            <w:tcW w:type="dxa" w:w="4702"/>
            <w:tcW w:w="7371" w:type="dxa"/>
          </w:tcPr>
          <w:p>
            <w:r>
              <w:rPr>
                <w:rFonts w:ascii="Times New Roman" w:hAnsi="Times New Roman"/>
                <w:sz w:val="20"/>
              </w:rPr>
              <w:t>Mental Health Client-Level Data — Dữ liệu Cấp Khách hàng Sức khỏe Tâm thần</w:t>
            </w:r>
          </w:p>
        </w:tc>
      </w:tr>
      <w:tr>
        <w:tc>
          <w:tcPr>
            <w:tcW w:type="dxa" w:w="4702"/>
            <w:tcW w:w="1701" w:type="dxa"/>
          </w:tcPr>
          <w:p>
            <w:r>
              <w:rPr>
                <w:rFonts w:ascii="Times New Roman" w:hAnsi="Times New Roman"/>
                <w:sz w:val="20"/>
              </w:rPr>
              <w:t>SAMHSA</w:t>
            </w:r>
          </w:p>
        </w:tc>
        <w:tc>
          <w:tcPr>
            <w:tcW w:type="dxa" w:w="4702"/>
            <w:tcW w:w="7371" w:type="dxa"/>
          </w:tcPr>
          <w:p>
            <w:r>
              <w:rPr>
                <w:rFonts w:ascii="Times New Roman" w:hAnsi="Times New Roman"/>
                <w:sz w:val="20"/>
              </w:rPr>
              <w:t>Substance Abuse and Mental Health Services Administration — Cơ quan Dịch vụ Lạm dụng Chất và SKTT</w:t>
            </w:r>
          </w:p>
        </w:tc>
      </w:tr>
      <w:tr>
        <w:tc>
          <w:tcPr>
            <w:tcW w:type="dxa" w:w="4702"/>
            <w:tcW w:w="1701" w:type="dxa"/>
          </w:tcPr>
          <w:p>
            <w:r>
              <w:rPr>
                <w:rFonts w:ascii="Times New Roman" w:hAnsi="Times New Roman"/>
                <w:sz w:val="20"/>
              </w:rPr>
              <w:t>SMHA</w:t>
            </w:r>
          </w:p>
        </w:tc>
        <w:tc>
          <w:tcPr>
            <w:tcW w:type="dxa" w:w="4702"/>
            <w:tcW w:w="7371" w:type="dxa"/>
          </w:tcPr>
          <w:p>
            <w:r>
              <w:rPr>
                <w:rFonts w:ascii="Times New Roman" w:hAnsi="Times New Roman"/>
                <w:sz w:val="20"/>
              </w:rPr>
              <w:t>State Mental Health Agency — Cơ quan SKTT Tiểu bang</w:t>
            </w:r>
          </w:p>
        </w:tc>
      </w:tr>
      <w:tr>
        <w:tc>
          <w:tcPr>
            <w:tcW w:type="dxa" w:w="4702"/>
            <w:tcW w:w="1701" w:type="dxa"/>
          </w:tcPr>
          <w:p>
            <w:r>
              <w:rPr>
                <w:rFonts w:ascii="Times New Roman" w:hAnsi="Times New Roman"/>
                <w:sz w:val="20"/>
              </w:rPr>
              <w:t>AOR</w:t>
            </w:r>
          </w:p>
        </w:tc>
        <w:tc>
          <w:tcPr>
            <w:tcW w:type="dxa" w:w="4702"/>
            <w:tcW w:w="7371" w:type="dxa"/>
          </w:tcPr>
          <w:p>
            <w:r>
              <w:rPr>
                <w:rFonts w:ascii="Times New Roman" w:hAnsi="Times New Roman"/>
                <w:sz w:val="20"/>
              </w:rPr>
              <w:t>Adjusted Odds Ratio — Tỷ số chênh điều chỉnh</w:t>
            </w:r>
          </w:p>
        </w:tc>
      </w:tr>
      <w:tr>
        <w:tc>
          <w:tcPr>
            <w:tcW w:type="dxa" w:w="4702"/>
            <w:tcW w:w="1701" w:type="dxa"/>
          </w:tcPr>
          <w:p>
            <w:r>
              <w:rPr>
                <w:rFonts w:ascii="Times New Roman" w:hAnsi="Times New Roman"/>
                <w:sz w:val="20"/>
              </w:rPr>
              <w:t>ADHD</w:t>
            </w:r>
          </w:p>
        </w:tc>
        <w:tc>
          <w:tcPr>
            <w:tcW w:type="dxa" w:w="4702"/>
            <w:tcW w:w="7371" w:type="dxa"/>
          </w:tcPr>
          <w:p>
            <w:r>
              <w:rPr>
                <w:rFonts w:ascii="Times New Roman" w:hAnsi="Times New Roman"/>
                <w:sz w:val="20"/>
              </w:rPr>
              <w:t>Attention-Deficit/Hyperactivity Disorder — Rối loạn Tăng động Giảm chú ý</w:t>
            </w:r>
          </w:p>
        </w:tc>
      </w:tr>
      <w:tr>
        <w:tc>
          <w:tcPr>
            <w:tcW w:type="dxa" w:w="4702"/>
            <w:tcW w:w="1701" w:type="dxa"/>
          </w:tcPr>
          <w:p>
            <w:r>
              <w:rPr>
                <w:rFonts w:ascii="Times New Roman" w:hAnsi="Times New Roman"/>
                <w:sz w:val="20"/>
              </w:rPr>
              <w:t>ODD</w:t>
            </w:r>
          </w:p>
        </w:tc>
        <w:tc>
          <w:tcPr>
            <w:tcW w:type="dxa" w:w="4702"/>
            <w:tcW w:w="7371" w:type="dxa"/>
          </w:tcPr>
          <w:p>
            <w:r>
              <w:rPr>
                <w:rFonts w:ascii="Times New Roman" w:hAnsi="Times New Roman"/>
                <w:sz w:val="20"/>
              </w:rPr>
              <w:t>Oppositional Defiant Disorder — Rối loạn Chống đối</w:t>
            </w:r>
          </w:p>
        </w:tc>
      </w:tr>
      <w:tr>
        <w:tc>
          <w:tcPr>
            <w:tcW w:type="dxa" w:w="4702"/>
            <w:tcW w:w="1701" w:type="dxa"/>
          </w:tcPr>
          <w:p>
            <w:r>
              <w:rPr>
                <w:rFonts w:ascii="Times New Roman" w:hAnsi="Times New Roman"/>
                <w:sz w:val="20"/>
              </w:rPr>
              <w:t>DMDD</w:t>
            </w:r>
          </w:p>
        </w:tc>
        <w:tc>
          <w:tcPr>
            <w:tcW w:type="dxa" w:w="4702"/>
            <w:tcW w:w="7371" w:type="dxa"/>
          </w:tcPr>
          <w:p>
            <w:r>
              <w:rPr>
                <w:rFonts w:ascii="Times New Roman" w:hAnsi="Times New Roman"/>
                <w:sz w:val="20"/>
              </w:rPr>
              <w:t>Disruptive Mood Dysregulation Disorder — Rối loạn Rối loạn Điều hòa Tâm trạng</w:t>
            </w:r>
          </w:p>
        </w:tc>
      </w:tr>
      <w:tr>
        <w:tc>
          <w:tcPr>
            <w:tcW w:type="dxa" w:w="4702"/>
            <w:tcW w:w="1701" w:type="dxa"/>
          </w:tcPr>
          <w:p>
            <w:r>
              <w:rPr>
                <w:rFonts w:ascii="Times New Roman" w:hAnsi="Times New Roman"/>
                <w:sz w:val="20"/>
              </w:rPr>
              <w:t>PDD</w:t>
            </w:r>
          </w:p>
        </w:tc>
        <w:tc>
          <w:tcPr>
            <w:tcW w:type="dxa" w:w="4702"/>
            <w:tcW w:w="7371" w:type="dxa"/>
          </w:tcPr>
          <w:p>
            <w:r>
              <w:rPr>
                <w:rFonts w:ascii="Times New Roman" w:hAnsi="Times New Roman"/>
                <w:sz w:val="20"/>
              </w:rPr>
              <w:t>Pervasive Developmental Disorders — Rối loạn Phát triển Tổng quát</w:t>
            </w:r>
          </w:p>
        </w:tc>
      </w:tr>
      <w:tr>
        <w:tc>
          <w:tcPr>
            <w:tcW w:type="dxa" w:w="4702"/>
            <w:tcW w:w="1701" w:type="dxa"/>
          </w:tcPr>
          <w:p>
            <w:r>
              <w:rPr>
                <w:rFonts w:ascii="Times New Roman" w:hAnsi="Times New Roman"/>
                <w:sz w:val="20"/>
              </w:rPr>
              <w:t>DSM-5</w:t>
            </w:r>
          </w:p>
        </w:tc>
        <w:tc>
          <w:tcPr>
            <w:tcW w:type="dxa" w:w="4702"/>
            <w:tcW w:w="7371" w:type="dxa"/>
          </w:tcPr>
          <w:p>
            <w:r>
              <w:rPr>
                <w:rFonts w:ascii="Times New Roman" w:hAnsi="Times New Roman"/>
                <w:sz w:val="20"/>
              </w:rPr>
              <w:t>Diagnostic and Statistical Manual of Mental Disorders, 5th Edition</w:t>
            </w:r>
          </w:p>
        </w:tc>
      </w:tr>
      <w:tr>
        <w:tc>
          <w:tcPr>
            <w:tcW w:type="dxa" w:w="4702"/>
            <w:tcW w:w="1701" w:type="dxa"/>
          </w:tcPr>
          <w:p>
            <w:r>
              <w:rPr>
                <w:rFonts w:ascii="Times New Roman" w:hAnsi="Times New Roman"/>
                <w:sz w:val="20"/>
              </w:rPr>
              <w:t>USPSTF</w:t>
            </w:r>
          </w:p>
        </w:tc>
        <w:tc>
          <w:tcPr>
            <w:tcW w:type="dxa" w:w="4702"/>
            <w:tcW w:w="7371" w:type="dxa"/>
          </w:tcPr>
          <w:p>
            <w:r>
              <w:rPr>
                <w:rFonts w:ascii="Times New Roman" w:hAnsi="Times New Roman"/>
                <w:sz w:val="20"/>
              </w:rPr>
              <w:t>US Preventive Services Task Force — Lực lượng Dịch vụ Phòng ngừa Hoa Kỳ</w:t>
            </w:r>
          </w:p>
        </w:tc>
      </w:tr>
      <w:tr>
        <w:tc>
          <w:tcPr>
            <w:tcW w:type="dxa" w:w="4702"/>
            <w:tcW w:w="1701" w:type="dxa"/>
          </w:tcPr>
          <w:p>
            <w:r>
              <w:rPr>
                <w:rFonts w:ascii="Times New Roman" w:hAnsi="Times New Roman"/>
                <w:sz w:val="20"/>
              </w:rPr>
              <w:t>ACEs</w:t>
            </w:r>
          </w:p>
        </w:tc>
        <w:tc>
          <w:tcPr>
            <w:tcW w:type="dxa" w:w="4702"/>
            <w:tcW w:w="7371" w:type="dxa"/>
          </w:tcPr>
          <w:p>
            <w:r>
              <w:rPr>
                <w:rFonts w:ascii="Times New Roman" w:hAnsi="Times New Roman"/>
                <w:sz w:val="20"/>
              </w:rPr>
              <w:t>Adverse Childhood Experiences — Trải nghiệm Bất lợi Thời thơ ấu</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(thanh thiếu niên)</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JAACAP Q1 IF ≈ 11 — tạp chí hàng đầu thế giới về tâm thần trẻ em.</w:t>
      </w:r>
    </w:p>
    <w:p>
      <w:r>
        <w:rPr>
          <w:rFonts w:ascii="Times New Roman" w:hAnsi="Times New Roman"/>
          <w:b w:val="0"/>
          <w:color w:val="FF0000"/>
          <w:sz w:val="24"/>
        </w:rPr>
        <w:t>• Mẫu cực lớn: 13,7 TRIỆU hồ sơ — lớn nhất trong tất cả NC của Đề tài.</w:t>
      </w:r>
    </w:p>
    <w:p>
      <w:r>
        <w:rPr>
          <w:rFonts w:ascii="Times New Roman" w:hAnsi="Times New Roman"/>
          <w:b w:val="0"/>
          <w:color w:val="FF0000"/>
          <w:sz w:val="24"/>
        </w:rPr>
        <w:t>• Dữ liệu CHẨN ĐOÁN LÂM SÀNG (không phải sàng lọc) — phản ánh thực tế dịch vụ.</w:t>
      </w:r>
    </w:p>
    <w:p>
      <w:r>
        <w:rPr>
          <w:rFonts w:ascii="Times New Roman" w:hAnsi="Times New Roman"/>
          <w:b w:val="0"/>
          <w:color w:val="FF0000"/>
          <w:sz w:val="24"/>
        </w:rPr>
        <w:t>• Xu hướng 8 năm liên tục (2013–2021) — đủ dài để xác định xu hướng ổn định.</w:t>
      </w:r>
    </w:p>
    <w:p>
      <w:r>
        <w:rPr>
          <w:rFonts w:ascii="Times New Roman" w:hAnsi="Times New Roman"/>
          <w:b w:val="0"/>
          <w:color w:val="FF0000"/>
          <w:sz w:val="24"/>
        </w:rPr>
        <w:t>• Phân tầng theo tuổi, giới, chủng tộc — phân tích rất chi tiết, cho phép so sánh tiểu nhóm.</w:t>
      </w:r>
    </w:p>
    <w:p>
      <w:r>
        <w:rPr>
          <w:rFonts w:ascii="Times New Roman" w:hAnsi="Times New Roman"/>
          <w:b/>
          <w:color w:val="FF0000"/>
          <w:sz w:val="24"/>
        </w:rPr>
        <w:t>Hạn chế chi tiết:</w:t>
      </w:r>
    </w:p>
    <w:p>
      <w:r>
        <w:rPr>
          <w:rFonts w:ascii="Times New Roman" w:hAnsi="Times New Roman"/>
          <w:b w:val="0"/>
          <w:color w:val="FF0000"/>
          <w:sz w:val="24"/>
        </w:rPr>
        <w:t>• THIÊN LỆCH CHỌN LỚN: chỉ trẻ đang nhận điều trị trong hệ thống công. Trẻ chưa chẩn đoán, hệ thống tư nhân, không tiếp cận → bị loại.</w:t>
      </w:r>
    </w:p>
    <w:p>
      <w:r>
        <w:rPr>
          <w:rFonts w:ascii="Times New Roman" w:hAnsi="Times New Roman"/>
          <w:b w:val="0"/>
          <w:color w:val="FF0000"/>
          <w:sz w:val="24"/>
        </w:rPr>
        <w:t>• Không tách được: tăng thực sự vs tăng phát hiện vs thay đổi thực hành chẩn đoán. Ba yếu tố xảy ra đồng thời.</w:t>
      </w:r>
    </w:p>
    <w:p>
      <w:r>
        <w:rPr>
          <w:rFonts w:ascii="Times New Roman" w:hAnsi="Times New Roman"/>
          <w:b w:val="0"/>
          <w:color w:val="FF0000"/>
          <w:sz w:val="24"/>
        </w:rPr>
        <w:t>• Chỉ Mỹ — hệ thống SKTT phát triển nhất thế giới. Tại VN nơi chỉ 8,4% tiếp cận dịch vụ, xu hướng có thể hoàn toàn khác.</w:t>
      </w:r>
    </w:p>
    <w:p>
      <w:r>
        <w:rPr>
          <w:rFonts w:ascii="Times New Roman" w:hAnsi="Times New Roman"/>
          <w:b w:val="0"/>
          <w:color w:val="FF0000"/>
          <w:sz w:val="24"/>
        </w:rPr>
        <w:t>• Dữ liệu hành chính: chất lượng chẩn đoán phụ thuộc thực hành lâm sàng tại từng tiểu bang — không chuẩn hóa.</w:t>
      </w:r>
    </w:p>
    <w:p>
      <w:r>
        <w:rPr>
          <w:rFonts w:ascii="Times New Roman" w:hAnsi="Times New Roman"/>
          <w:b w:val="0"/>
          <w:color w:val="FF0000"/>
          <w:sz w:val="24"/>
        </w:rPr>
        <w:t>• Trẻ xuất hiện nhiều lần (cùng trẻ qua nhiều năm hoặc nhiều lần/năm) — vi phạm giả định mẫu độc lập.</w:t>
      </w:r>
    </w:p>
    <w:p>
      <w:r>
        <w:rPr>
          <w:rFonts w:ascii="Times New Roman" w:hAnsi="Times New Roman"/>
          <w:b w:val="0"/>
          <w:color w:val="FF0000"/>
          <w:sz w:val="24"/>
        </w:rPr>
        <w:t>• Không có thông tin về SES, screen time, MXH, stress — chỉ mô tả xu hướng, KHÔNG giải thích nguyên nhân.</w:t>
      </w:r>
    </w:p>
    <w:p>
      <w:r>
        <w:rPr>
          <w:rFonts w:ascii="Times New Roman" w:hAnsi="Times New Roman"/>
          <w:b w:val="0"/>
          <w:color w:val="FF0000"/>
          <w:sz w:val="24"/>
        </w:rPr>
        <w:t>• Giới hạn 3 chẩn đoán đầu tiên — có thể bỏ sót rối loạn đi kèm (comorbidity).</w:t>
      </w:r>
    </w:p>
    <w:p>
      <w:r>
        <w:rPr>
          <w:rFonts w:ascii="Times New Roman" w:hAnsi="Times New Roman"/>
          <w:b/>
          <w:color w:val="FF0000"/>
          <w:sz w:val="24"/>
        </w:rPr>
        <w:t>Khoảng trống nghiên cứu / Research Gap:</w:t>
      </w:r>
    </w:p>
    <w:p>
      <w:r>
        <w:rPr>
          <w:rFonts w:ascii="Times New Roman" w:hAnsi="Times New Roman"/>
          <w:b w:val="0"/>
          <w:color w:val="FF0000"/>
          <w:sz w:val="24"/>
        </w:rPr>
        <w:t>• VN CHƯA CÓ phân tích xu hướng chẩn đoán tâm thần từ dữ liệu bệnh viện. Bệnh viện Nhi TW có dữ liệu nhưng chưa được phân tích hệ thống.</w:t>
      </w:r>
    </w:p>
    <w:p>
      <w:r>
        <w:rPr>
          <w:rFonts w:ascii="Times New Roman" w:hAnsi="Times New Roman"/>
          <w:b w:val="0"/>
          <w:color w:val="FF0000"/>
          <w:sz w:val="24"/>
        </w:rPr>
        <w:t>• So sánh khoảng cách tiếp cận: Mỹ 82,6% vs VN 8,4% (V-NAMHS 2022) — tỷ lệ thực ở VN có thể cao hơn nhiều so với báo cáo.</w:t>
      </w:r>
    </w:p>
    <w:p>
      <w:r>
        <w:rPr>
          <w:rFonts w:ascii="Times New Roman" w:hAnsi="Times New Roman"/>
          <w:b w:val="0"/>
          <w:color w:val="FF0000"/>
          <w:sz w:val="24"/>
        </w:rPr>
        <w:t>• Cần NC đánh giá: xu hướng tăng ở VN có phải do tăng nhận thức hay tăng thực sự?</w:t>
      </w:r>
    </w:p>
    <w:p>
      <w:r>
        <w:rPr>
          <w:rFonts w:ascii="Times New Roman" w:hAnsi="Times New Roman"/>
          <w:b w:val="0"/>
          <w:color w:val="FF0000"/>
          <w:sz w:val="24"/>
        </w:rPr>
        <w:t>• Bài này + Norway 2025 + GBD 2025 + Korea 2024 → bằng chứng mạnh rằng lo âu tăng TOÀN CẦU — nhưng VN chưa có dữ liệu xu hướng dài hạn.</w:t>
      </w:r>
    </w:p>
    <w:p>
      <w:r>
        <w:rPr>
          <w:rFonts w:ascii="Times New Roman" w:hAnsi="Times New Roman"/>
          <w:b w:val="0"/>
          <w:color w:val="FF0000"/>
          <w:sz w:val="24"/>
        </w:rPr>
        <w:t>• Giảm lưỡng cực ở Mỹ do DSM-5/DMDD — VN có mô hình tương tự không? Thực hành chẩn đoán ở VN có bị ảnh hưởng bởi DSM-5?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