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https://doi.org/10.1016/j.lanepe.2025.101262</w:t>
      </w:r>
    </w:p>
    <w:p>
      <w:pPr>
        <w:pStyle w:val="Heading1"/>
      </w:pPr>
      <w:r>
        <w:rPr>
          <w:rFonts w:ascii="Times New Roman" w:hAnsi="Times New Roman"/>
          <w:color w:val="000000"/>
        </w:rPr>
        <w:t>Sức khỏe tâm thần của trẻ em và thanh niên trong khu vực WHO châu Âu</w:t>
      </w:r>
    </w:p>
    <w:p>
      <w:r>
        <w:rPr>
          <w:rFonts w:ascii="Times New Roman" w:hAnsi="Times New Roman"/>
          <w:i/>
          <w:sz w:val="26"/>
        </w:rPr>
        <w:t>Mental Health of Children and Young People in the WHO Europe Region</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of Children and Young People in the WHO Europe Region</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Sức khỏe tâm thần của trẻ em và thanh niên trong khu vực WHO châu Âu</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Anna Tarasenko, Gisel Josy, Hellen Minnis, Jennifer Hall, Andrea Danese, Jennifer Y.F. Lau, Samuele Cortese, Argyris Stringaris, Cassie Redlich, Dennis Ougrin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UNODC Kyiv; Đại học Glasgow; WHO Athens &amp; Copenhagen; King's College London; Queen Mary &amp; UCL London; Đại học Southampton</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The Lancet Regional Health — Europe (Q1, IF ≈ 15,0)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2025, 13 trang, Series: Transforming Mental Health in Europe</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10.1016/j.lanepe.2025.101262</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Tổng quan chính sách (policy review / Series paper) — KHÔNG phải nghiên cứu gốc</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Khu vực WHO châu Âu (53 quốc gia thành viên, bao gồm cả Trung Á)</w:t>
            </w:r>
          </w:p>
        </w:tc>
      </w:tr>
    </w:tbl>
    <w:p>
      <w:r>
        <w:rPr>
          <w:rFonts w:ascii="Times New Roman" w:hAnsi="Times New Roman"/>
          <w:i/>
          <w:color w:val="808080"/>
          <w:sz w:val="18"/>
        </w:rPr>
        <w:t>--- Trang 1–13, Lancet Regional Health Europe, 2025 ---</w:t>
      </w:r>
    </w:p>
    <w:p>
      <w:pPr>
        <w:pStyle w:val="Heading2"/>
      </w:pPr>
      <w:r>
        <w:rPr>
          <w:rFonts w:ascii="Times New Roman" w:hAnsi="Times New Roman"/>
          <w:color w:val="000000"/>
        </w:rPr>
        <w:t>TÓM TẮT</w:t>
      </w:r>
    </w:p>
    <w:p>
      <w:r>
        <w:rPr>
          <w:rFonts w:ascii="Times New Roman" w:hAnsi="Times New Roman"/>
          <w:color w:val="CC0000"/>
          <w:sz w:val="24"/>
        </w:rPr>
        <w:t>Phần lớn rối loạn sức khỏe tâm thần bắt đầu trước tuổi trưởng thành. Chúng có tỷ lệ cao, gây tàn phế và thường có thể điều trị được. Bài Series này thảo luận các vấn đề hiện tại đóng góp vào cuộc khủng hoảng SKTT trẻ em, VTN và thanh niên ngày càng tăng tại châu Âu. Bao gồm: tác động đại dịch COVID-19, xung đột quân sự leo thang, khủng hoảng khí hậu, và môi trường số không được kiểm soát. Các vấn đề SKTT ở giới trẻ càng phức tạp hơn bởi sự thay đổi trong cách trẻ em tương tác với thế giới, chăm sóc sức khỏe và các dịch vụ khác.</w:t>
      </w:r>
    </w:p>
    <w:p>
      <w:r>
        <w:rPr>
          <w:rFonts w:ascii="Times New Roman" w:hAnsi="Times New Roman"/>
          <w:b w:val="0"/>
          <w:i w:val="0"/>
          <w:sz w:val="24"/>
        </w:rPr>
        <w:t>Bài viết đưa ra danh sách toàn diện các khuyến nghị để giải quyết vấn đề SKTT thông qua: tích hợp phòng ngừa sáng tạo và phương pháp điều trị với sự hỗ trợ của dịch vụ cộng đồng và hệ thống hỗ trợ, cùng với chiến lược nghiên cứu và triển khai mạnh mẽ để đảm bảo chăm sóc dựa trên bằng chứng, hiệu quả chi phí.</w:t>
      </w:r>
    </w:p>
    <w:p>
      <w:r>
        <w:rPr>
          <w:rFonts w:ascii="Times New Roman" w:hAnsi="Times New Roman"/>
          <w:b w:val="0"/>
          <w:i w:val="0"/>
          <w:sz w:val="24"/>
        </w:rPr>
        <w:t>Từ khóa: Sức khỏe tâm thần toàn cầu; Trẻ em và thanh niên; Tổng quan.</w:t>
      </w:r>
    </w:p>
    <w:p>
      <w:pPr>
        <w:pStyle w:val="Heading2"/>
      </w:pPr>
      <w:r>
        <w:rPr>
          <w:rFonts w:ascii="Times New Roman" w:hAnsi="Times New Roman"/>
          <w:color w:val="000000"/>
        </w:rPr>
        <w:t>TÓM TẮT ĐÁNH GIÁ NHANH</w:t>
      </w:r>
    </w:p>
    <w:p>
      <w:r>
        <w:rPr>
          <w:rFonts w:ascii="Times New Roman" w:hAnsi="Times New Roman"/>
          <w:b w:val="0"/>
          <w:i w:val="0"/>
          <w:sz w:val="24"/>
        </w:rPr>
        <w:t>• Lancet Regional Health Europe Q1 IF ≈ 15 — tạp chí uy tín rất cao.</w:t>
      </w:r>
    </w:p>
    <w:p>
      <w:r>
        <w:rPr>
          <w:rFonts w:ascii="Times New Roman" w:hAnsi="Times New Roman"/>
          <w:b w:val="0"/>
          <w:i w:val="0"/>
          <w:sz w:val="24"/>
        </w:rPr>
        <w:t>• 9 triệu VTN châu Âu (10–19 tuổi) sống với rối loạn SKTT.</w:t>
      </w:r>
    </w:p>
    <w:p>
      <w:r>
        <w:rPr>
          <w:rFonts w:ascii="Times New Roman" w:hAnsi="Times New Roman"/>
          <w:b w:val="0"/>
          <w:i w:val="0"/>
          <w:sz w:val="24"/>
        </w:rPr>
        <w:t>• Lo âu + trầm cảm chiếm &gt;50% tổng ca rối loạn ở VTN châu Âu.</w:t>
      </w:r>
    </w:p>
    <w:p>
      <w:r>
        <w:rPr>
          <w:rFonts w:ascii="Times New Roman" w:hAnsi="Times New Roman"/>
          <w:b w:val="0"/>
          <w:i w:val="0"/>
          <w:sz w:val="24"/>
        </w:rPr>
        <w:t>• Bài Series chính sách — tổng hợp toàn diện thách thức + khuyến nghị cho 53 quốc gia.</w:t>
      </w:r>
    </w:p>
    <w:p>
      <w:r>
        <w:rPr>
          <w:rFonts w:ascii="Times New Roman" w:hAnsi="Times New Roman"/>
          <w:b w:val="0"/>
          <w:i w:val="0"/>
          <w:sz w:val="24"/>
        </w:rPr>
        <w:t>• Đặc biệt nhấn mạnh: tích hợp SKTT vào giáo dục, dịch vụ cộng đồng, và kiểm soát MXH.</w:t>
      </w:r>
    </w:p>
    <w:p>
      <w:r>
        <w:rPr>
          <w:rFonts w:ascii="Times New Roman" w:hAnsi="Times New Roman"/>
          <w:b/>
          <w:i w:val="0"/>
          <w:sz w:val="24"/>
        </w:rPr>
        <w:t>Hạn chế:</w:t>
      </w:r>
    </w:p>
    <w:p>
      <w:r>
        <w:rPr>
          <w:rFonts w:ascii="Times New Roman" w:hAnsi="Times New Roman"/>
          <w:b w:val="0"/>
          <w:i w:val="0"/>
          <w:sz w:val="24"/>
        </w:rPr>
        <w:t>• Tổng quan chính sách — KHÔNG phải nghiên cứu gốc, thiếu dữ liệu tỷ lệ cụ thể từng nước.</w:t>
      </w:r>
    </w:p>
    <w:p>
      <w:r>
        <w:rPr>
          <w:rFonts w:ascii="Times New Roman" w:hAnsi="Times New Roman"/>
          <w:b w:val="0"/>
          <w:i w:val="0"/>
          <w:sz w:val="24"/>
        </w:rPr>
        <w:t>• Bối cảnh châu Âu — hệ thống dịch vụ SKTT phát triển hơn nhiều so với ASEAN/VN.</w:t>
      </w:r>
    </w:p>
    <w:p>
      <w:r>
        <w:rPr>
          <w:rFonts w:ascii="Times New Roman" w:hAnsi="Times New Roman"/>
          <w:b w:val="0"/>
          <w:i w:val="0"/>
          <w:sz w:val="24"/>
        </w:rPr>
        <w:t>• Khuyến nghị rộng — chưa đánh giá cụ thể hiệu quả/chi phí cho từng can thiệp.</w:t>
      </w:r>
    </w:p>
    <w:p>
      <w:r>
        <w:rPr>
          <w:rFonts w:ascii="Times New Roman" w:hAnsi="Times New Roman"/>
          <w:b/>
          <w:i w:val="0"/>
          <w:sz w:val="24"/>
        </w:rPr>
        <w:t>Hướng cải thiện:</w:t>
      </w:r>
    </w:p>
    <w:p>
      <w:r>
        <w:rPr>
          <w:rFonts w:ascii="Times New Roman" w:hAnsi="Times New Roman"/>
          <w:b w:val="0"/>
          <w:i w:val="0"/>
          <w:sz w:val="24"/>
        </w:rPr>
        <w:t>• Tổng quan tương tự cho khu vực ASEAN — đánh giá thực trạng dịch vụ SKTT VTN.</w:t>
      </w:r>
    </w:p>
    <w:p>
      <w:r>
        <w:rPr>
          <w:rFonts w:ascii="Times New Roman" w:hAnsi="Times New Roman"/>
          <w:b w:val="0"/>
          <w:i w:val="0"/>
          <w:sz w:val="24"/>
        </w:rPr>
        <w:t>• So sánh mô hình châu Âu vs VN — khả năng áp dụng.</w:t>
      </w:r>
    </w:p>
    <w:p>
      <w:r>
        <w:rPr>
          <w:rFonts w:ascii="Times New Roman" w:hAnsi="Times New Roman"/>
          <w:b w:val="0"/>
          <w:i w:val="0"/>
          <w:sz w:val="24"/>
        </w:rPr>
        <w:t>• Đánh giá chi phí–hiệu quả can thiệp SKTT trường học cho bối cảnh VN.</w:t>
      </w:r>
    </w:p>
    <w:p>
      <w:r>
        <w:rPr>
          <w:rFonts w:ascii="Times New Roman" w:hAnsi="Times New Roman"/>
          <w:i/>
          <w:color w:val="808080"/>
          <w:sz w:val="18"/>
        </w:rPr>
        <w:t>--- Trang 1–2, Lancet Regional Health Europe, 2025 ---</w:t>
      </w:r>
    </w:p>
    <w:p>
      <w:pPr>
        <w:pStyle w:val="Heading2"/>
      </w:pPr>
      <w:r>
        <w:rPr>
          <w:rFonts w:ascii="Times New Roman" w:hAnsi="Times New Roman"/>
          <w:color w:val="000000"/>
        </w:rPr>
        <w:t>1. GIỚI THIỆU</w:t>
      </w:r>
    </w:p>
    <w:p>
      <w:r>
        <w:rPr>
          <w:rFonts w:ascii="Times New Roman" w:hAnsi="Times New Roman"/>
          <w:b w:val="0"/>
          <w:i w:val="0"/>
          <w:sz w:val="24"/>
        </w:rPr>
        <w:t>Trên toàn cầu, đã có lời kêu gọi khẩn cấp giải quyết cuộc khủng hoảng SKTT trẻ em, VTN và thanh niên ngày càng tăng. Tại cuộc họp đầu tiên của Liên minh SKTT Toàn châu Âu của WHO, cải thiện chất lượng sức khỏe tâm thần của trẻ em và thanh niên được xác định là ưu tiên hàng đầu.</w:t>
      </w:r>
    </w:p>
    <w:p>
      <w:r>
        <w:rPr>
          <w:rFonts w:ascii="Times New Roman" w:hAnsi="Times New Roman"/>
          <w:b w:val="0"/>
          <w:i w:val="0"/>
          <w:sz w:val="24"/>
        </w:rPr>
        <w:t>Khoảng 9 triệu VTN (10–19 tuổi) trong khu vực WHO châu Âu sống với một tình trạng SKTT. Lo âu và trầm cảm chiếm hơn 50% tổng số ca rối loạn — biến chúng thành vấn đề SKTT hàng đầu. Tự tử là nguyên nhân tử vong hàng đầu thứ hai ở nhóm 15–19 tuổi tại nhiều nước.</w:t>
      </w:r>
    </w:p>
    <w:p>
      <w:r>
        <w:rPr>
          <w:rFonts w:ascii="Times New Roman" w:hAnsi="Times New Roman"/>
          <w:b w:val="0"/>
          <w:i w:val="0"/>
          <w:sz w:val="24"/>
        </w:rPr>
        <w:t>Các yếu tố sinh học, tâm lý, xã hội và môi trường đóng góp vào SKTT kém ở VTN. Nghèo đói, phân biệt đối xử, bạo lực, và khuyết tật là yếu tố nguy cơ. Những thay đổi gần đây làm tình hình nghiêm trọng hơn: đại dịch COVID-19, xung đột quân sự, khủng hoảng khí hậu, và môi trường số không kiểm soát.</w:t>
      </w:r>
    </w:p>
    <w:p>
      <w:r>
        <w:rPr>
          <w:rFonts w:ascii="Times New Roman" w:hAnsi="Times New Roman"/>
          <w:i/>
          <w:color w:val="808080"/>
          <w:sz w:val="18"/>
        </w:rPr>
        <w:t>--- Trang 2–4, Lancet Regional Health Europe, 2025 ---</w:t>
      </w:r>
    </w:p>
    <w:p>
      <w:pPr>
        <w:pStyle w:val="Heading2"/>
      </w:pPr>
      <w:r>
        <w:rPr>
          <w:rFonts w:ascii="Times New Roman" w:hAnsi="Times New Roman"/>
          <w:color w:val="000000"/>
        </w:rPr>
        <w:t>2. THÁCH THỨC HIỆN TẠI</w:t>
      </w:r>
    </w:p>
    <w:p>
      <w:r>
        <w:rPr>
          <w:rFonts w:ascii="Times New Roman" w:hAnsi="Times New Roman"/>
          <w:b/>
          <w:i w:val="0"/>
          <w:sz w:val="24"/>
        </w:rPr>
        <w:t>2.1. Tác động đại dịch COVID-19</w:t>
      </w:r>
    </w:p>
    <w:p>
      <w:r>
        <w:rPr>
          <w:rFonts w:ascii="Times New Roman" w:hAnsi="Times New Roman"/>
          <w:b w:val="0"/>
          <w:i w:val="0"/>
          <w:sz w:val="24"/>
        </w:rPr>
        <w:t>Đại dịch gây gián đoạn nghiêm trọng cuộc sống VTN — ảnh hưởng xã hội hóa, giáo dục, SKTT. Phong tỏa, đóng cửa trường, giãn cách xã hội dẫn đến tăng cảm giác cô lập, cô đơn, lo âu và bất an. Số ngày đóng cửa trường khác nhau: 0 ngày (Phần Lan, Thụy Điển) đến 341 ngày (Ý). Nghiên cứu cho thấy tăng chuyển tuyến rối loạn tâm thần sau phong tỏa, bao gồm tăng đáng kể tự gây hại tại khoa cấp cứu.</w:t>
      </w:r>
    </w:p>
    <w:p>
      <w:r>
        <w:rPr>
          <w:rFonts w:ascii="Times New Roman" w:hAnsi="Times New Roman"/>
          <w:b/>
          <w:i w:val="0"/>
          <w:sz w:val="24"/>
        </w:rPr>
        <w:t>2.2. Mạng xã hội và công nghệ số</w:t>
      </w:r>
    </w:p>
    <w:p>
      <w:r>
        <w:rPr>
          <w:rFonts w:ascii="Times New Roman" w:hAnsi="Times New Roman"/>
          <w:b w:val="0"/>
          <w:i w:val="0"/>
          <w:sz w:val="24"/>
        </w:rPr>
        <w:t>Trong khi công nghệ số và MXH cung cấp kênh kết nối, lạm dụng chúng đã được xác lập là yếu tố nguy cơ có thể cho kết quả SKTT kém ở VTN. Tuy nhiên, bằng chứng vẫn lẫn lộn. Lo ngại bao gồm: tiếp xúc quá mức với hình ảnh chiến tranh và nội dung tình dục không phù hợp. Khảo sát HBSC cho thấy 11% VTN 11–15 tuổi sử dụng MXH "có vấn đề" — nhưng định nghĩa "có vấn đề" còn tranh cãi.</w:t>
      </w:r>
    </w:p>
    <w:p>
      <w:r>
        <w:rPr>
          <w:rFonts w:ascii="Times New Roman" w:hAnsi="Times New Roman"/>
          <w:b/>
          <w:i w:val="0"/>
          <w:sz w:val="24"/>
        </w:rPr>
        <w:t>2.3. Xung đột quân sự và di cư</w:t>
      </w:r>
    </w:p>
    <w:p>
      <w:r>
        <w:rPr>
          <w:rFonts w:ascii="Times New Roman" w:hAnsi="Times New Roman"/>
          <w:b w:val="0"/>
          <w:i w:val="0"/>
          <w:sz w:val="24"/>
        </w:rPr>
        <w:t>Xung đột vũ trang tại châu Âu (Ukraine, cùng nhiều vùng khác) gây ảnh hưởng sâu sắc lên SKTT trẻ em — bao gồm PTSD, trầm cảm, lo âu, tang tóc. Trẻ em tị nạn và di cư đặc biệt dễ bị tổn thương do mất ổn định, tách biệt gia đình.</w:t>
      </w:r>
    </w:p>
    <w:p>
      <w:r>
        <w:rPr>
          <w:rFonts w:ascii="Times New Roman" w:hAnsi="Times New Roman"/>
          <w:b/>
          <w:i w:val="0"/>
          <w:sz w:val="24"/>
        </w:rPr>
        <w:t>2.4. Tiếp cận dịch vụ SKTT</w:t>
      </w:r>
    </w:p>
    <w:p>
      <w:r>
        <w:rPr>
          <w:rFonts w:ascii="Times New Roman" w:hAnsi="Times New Roman"/>
          <w:b w:val="0"/>
          <w:i w:val="0"/>
          <w:sz w:val="24"/>
        </w:rPr>
        <w:t>Nhu cầu SKTT VTN tăng nhanh hơn khả năng đáp ứng của hệ thống dịch vụ — dẫn đến thời gian chờ dài hơn, kiệt sức nhân viên, khó tuyển dụng lâm sàng. Ngân sách cho SKTT trẻ em/VTN vẫn eo hẹp trên toàn khu vực. Trong khảo sát 27 nước châu Âu 2017: 16 nước xếp dịch vụ SKTT cộng đồng cho trẻ em/VTN là "thiếu hoặc không đủ". Chỉ 6/28 nước báo cáo có giám sát kết quả điều trị định kỳ.</w:t>
      </w:r>
    </w:p>
    <w:p>
      <w:r>
        <w:rPr>
          <w:rFonts w:ascii="Times New Roman" w:hAnsi="Times New Roman"/>
          <w:b/>
          <w:i w:val="0"/>
          <w:sz w:val="24"/>
        </w:rPr>
        <w:t>2.5. Nghịch cảnh thời thơ ấu</w:t>
      </w:r>
    </w:p>
    <w:p>
      <w:r>
        <w:rPr>
          <w:rFonts w:ascii="Times New Roman" w:hAnsi="Times New Roman"/>
          <w:b w:val="0"/>
          <w:i w:val="0"/>
          <w:sz w:val="24"/>
        </w:rPr>
        <w:t>Lạm dụng thời thơ ấu (thể chất, tình dục, cảm xúc; bỏ mặc) là yếu tố nguy cơ xuyên chẩn đoán (trans-diagnostic) cho rối loạn tâm thần, với bằng chứng nhân quả rõ ràng từ các NC bán thực nghiệm. Lạm dụng không chỉ tăng nguy cơ khởi phát mà còn liên quan đến diễn biến bệnh xấu hơn và đáp ứng điều trị kém hơn.</w:t>
      </w:r>
    </w:p>
    <w:p>
      <w:r>
        <w:rPr>
          <w:rFonts w:ascii="Times New Roman" w:hAnsi="Times New Roman"/>
          <w:i/>
          <w:color w:val="808080"/>
          <w:sz w:val="18"/>
        </w:rPr>
        <w:t>--- Trang 4–8, Lancet Regional Health Europe, 2025 ---</w:t>
      </w:r>
    </w:p>
    <w:p>
      <w:pPr>
        <w:pStyle w:val="Heading2"/>
      </w:pPr>
      <w:r>
        <w:rPr>
          <w:rFonts w:ascii="Times New Roman" w:hAnsi="Times New Roman"/>
          <w:color w:val="000000"/>
        </w:rPr>
        <w:t>3. GIẢI PHÁP ĐỀ XUẤT</w:t>
      </w:r>
    </w:p>
    <w:p>
      <w:r>
        <w:rPr>
          <w:rFonts w:ascii="Times New Roman" w:hAnsi="Times New Roman"/>
          <w:b/>
          <w:i w:val="0"/>
          <w:sz w:val="24"/>
        </w:rPr>
        <w:t>3.1. Chiến lược phòng ngừa</w:t>
      </w:r>
    </w:p>
    <w:p>
      <w:r>
        <w:rPr>
          <w:rFonts w:ascii="Times New Roman" w:hAnsi="Times New Roman"/>
          <w:b w:val="0"/>
          <w:i w:val="0"/>
          <w:sz w:val="24"/>
        </w:rPr>
        <w:t>Phòng ngừa trong SKTT VTN có tiềm năng giảm đáng kể gánh nặng bằng cách giải quyết yếu tố nguy cơ, tăng cường yếu tố bảo vệ, và can thiệp sớm. Ba cấp độ:</w:t>
      </w:r>
    </w:p>
    <w:p>
      <w:r>
        <w:rPr>
          <w:rFonts w:ascii="Times New Roman" w:hAnsi="Times New Roman"/>
          <w:b w:val="0"/>
          <w:i w:val="0"/>
          <w:sz w:val="24"/>
        </w:rPr>
        <w:t>• Phổ quát (universal): Nhắm toàn bộ dân số — ví dụ: chương trình toàn trường phòng tự tử.</w:t>
      </w:r>
    </w:p>
    <w:p>
      <w:r>
        <w:rPr>
          <w:rFonts w:ascii="Times New Roman" w:hAnsi="Times New Roman"/>
          <w:b w:val="0"/>
          <w:i w:val="0"/>
          <w:sz w:val="24"/>
        </w:rPr>
        <w:t>• Chọn lọc (selective): Nhắm nhóm nguy cơ cao — ví dụ: trẻ gia đình thu nhập thấp, trẻ có nghịch cảnh.</w:t>
      </w:r>
    </w:p>
    <w:p>
      <w:r>
        <w:rPr>
          <w:rFonts w:ascii="Times New Roman" w:hAnsi="Times New Roman"/>
          <w:b w:val="0"/>
          <w:i w:val="0"/>
          <w:sz w:val="24"/>
        </w:rPr>
        <w:t>• Chỉ định (indicated): Nhắm cá nhân có dấu hiệu sớm nhưng chưa đạt ngưỡng chẩn đoán.</w:t>
      </w:r>
    </w:p>
    <w:p>
      <w:r>
        <w:rPr>
          <w:rFonts w:ascii="Times New Roman" w:hAnsi="Times New Roman"/>
          <w:b/>
          <w:i w:val="0"/>
          <w:sz w:val="24"/>
        </w:rPr>
        <w:t>3.2. Tích hợp SKTT vào chương trình giáo dục</w:t>
      </w:r>
    </w:p>
    <w:p>
      <w:r>
        <w:rPr>
          <w:rFonts w:ascii="Times New Roman" w:hAnsi="Times New Roman"/>
          <w:b w:val="0"/>
          <w:i w:val="0"/>
          <w:sz w:val="24"/>
        </w:rPr>
        <w:t>Trường học đóng vai trò then chốt trong can thiệp sớm và phòng ngừa. Triển khai chương trình học tập cảm xúc–xã hội phổ quát tại trường có thể giảm kỳ thị, tăng khả năng phục hồi, cung cấp chiến lược ứng phó. Các chương trình dựa trên bằng chứng: MindMatters, SEAL, SPARK Resilience. Tuy nhiên, mức độ ưu tiên SKTT rất khác nhau: 72,8% trường ở Ba Lan vs chỉ 17,8% ở Pháp. Chỉ 15,7% trường ở Pháp có chính sách SKTT riêng so với 78,3% ở Hà Lan.</w:t>
      </w:r>
    </w:p>
    <w:p>
      <w:r>
        <w:rPr>
          <w:rFonts w:ascii="Times New Roman" w:hAnsi="Times New Roman"/>
          <w:b/>
          <w:i w:val="0"/>
          <w:sz w:val="24"/>
        </w:rPr>
        <w:t>3.3. Phát triển dịch vụ cộng đồng</w:t>
      </w:r>
    </w:p>
    <w:p>
      <w:r>
        <w:rPr>
          <w:rFonts w:ascii="Times New Roman" w:hAnsi="Times New Roman"/>
          <w:b w:val="0"/>
          <w:i w:val="0"/>
          <w:sz w:val="24"/>
        </w:rPr>
        <w:t>Cần phát triển dịch vụ SKTT cộng đồng chất lượng cao, bao gồm chăm sóc cộng đồng tập trung thay vì nhập viện. Mô hình "kê đơn xã hội" (social prescribing): giới thiệu trẻ em/thanh niên đến tổ chức địa phương tổ chức hoạt động có lợi cho sức khỏe (nghệ thuật, thể thao, thiên nhiên). Mô hình này giúp trẻ có quyền chủ động, ít kỳ thị hơn điều trị truyền thống.</w:t>
      </w:r>
    </w:p>
    <w:p>
      <w:r>
        <w:rPr>
          <w:rFonts w:ascii="Times New Roman" w:hAnsi="Times New Roman"/>
          <w:b/>
          <w:i w:val="0"/>
          <w:sz w:val="24"/>
        </w:rPr>
        <w:t>3.4. Phát triển điều trị dược lý</w:t>
      </w:r>
    </w:p>
    <w:p>
      <w:r>
        <w:rPr>
          <w:rFonts w:ascii="Times New Roman" w:hAnsi="Times New Roman"/>
          <w:b w:val="0"/>
          <w:i w:val="0"/>
          <w:sz w:val="24"/>
        </w:rPr>
        <w:t>Dữ liệu dịch tễ dược lý cho thấy tăng sử dụng thuốc tâm thần cho trẻ em/VTN trong 20 năm qua. Bằng chứng ngày càng tăng từ RCT và NC quan sát:</w:t>
      </w:r>
    </w:p>
    <w:p>
      <w:pPr>
        <w:pStyle w:val="Heading3"/>
      </w:pPr>
      <w:r>
        <w:rPr>
          <w:rFonts w:ascii="Times New Roman" w:hAnsi="Times New Roman"/>
          <w:color w:val="000000"/>
        </w:rPr>
        <w:t>Bảng 1. Hiệu quả điều trị dược lý cho các rối loạn tâm thần trẻ em/VTN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Rối loạn</w:t>
            </w:r>
          </w:p>
        </w:tc>
        <w:tc>
          <w:tcPr>
            <w:tcW w:type="dxa" w:w="2351"/>
            <w:tcW w:w="2268" w:type="dxa"/>
            <w:shd w:fill="D9E2F3" w:val="clear"/>
          </w:tcPr>
          <w:p>
            <w:pPr>
              <w:jc w:val="center"/>
            </w:pPr>
            <w:r>
              <w:rPr>
                <w:rFonts w:ascii="Times New Roman" w:hAnsi="Times New Roman"/>
                <w:b/>
                <w:sz w:val="20"/>
              </w:rPr>
              <w:t>Thuốc hiệu quả</w:t>
            </w:r>
          </w:p>
        </w:tc>
        <w:tc>
          <w:tcPr>
            <w:tcW w:type="dxa" w:w="2351"/>
            <w:tcW w:w="1417" w:type="dxa"/>
            <w:shd w:fill="D9E2F3" w:val="clear"/>
          </w:tcPr>
          <w:p>
            <w:pPr>
              <w:jc w:val="center"/>
            </w:pPr>
            <w:r>
              <w:rPr>
                <w:rFonts w:ascii="Times New Roman" w:hAnsi="Times New Roman"/>
                <w:b/>
                <w:sz w:val="20"/>
              </w:rPr>
              <w:t>Mức hiệu quả</w:t>
            </w:r>
          </w:p>
        </w:tc>
        <w:tc>
          <w:tcPr>
            <w:tcW w:type="dxa" w:w="2351"/>
            <w:tcW w:w="2268" w:type="dxa"/>
            <w:shd w:fill="D9E2F3" w:val="clear"/>
          </w:tcPr>
          <w:p>
            <w:pPr>
              <w:jc w:val="center"/>
            </w:pPr>
            <w:r>
              <w:rPr>
                <w:rFonts w:ascii="Times New Roman" w:hAnsi="Times New Roman"/>
                <w:b/>
                <w:sz w:val="20"/>
              </w:rPr>
              <w:t>Ghi chú</w:t>
            </w:r>
          </w:p>
        </w:tc>
      </w:tr>
      <w:tr>
        <w:tc>
          <w:tcPr>
            <w:tcW w:type="dxa" w:w="2351"/>
            <w:tcW w:w="1701" w:type="dxa"/>
          </w:tcPr>
          <w:p>
            <w:r>
              <w:rPr>
                <w:rFonts w:ascii="Times New Roman" w:hAnsi="Times New Roman"/>
                <w:sz w:val="20"/>
              </w:rPr>
              <w:t>ADHD</w:t>
            </w:r>
          </w:p>
        </w:tc>
        <w:tc>
          <w:tcPr>
            <w:tcW w:type="dxa" w:w="2351"/>
            <w:tcW w:w="2268" w:type="dxa"/>
          </w:tcPr>
          <w:p>
            <w:r>
              <w:rPr>
                <w:rFonts w:ascii="Times New Roman" w:hAnsi="Times New Roman"/>
                <w:sz w:val="20"/>
              </w:rPr>
              <w:t>Thuốc kích thích (stimulants)</w:t>
            </w:r>
          </w:p>
        </w:tc>
        <w:tc>
          <w:tcPr>
            <w:tcW w:type="dxa" w:w="2351"/>
            <w:tcW w:w="1417" w:type="dxa"/>
          </w:tcPr>
          <w:p>
            <w:r>
              <w:rPr>
                <w:rFonts w:ascii="Times New Roman" w:hAnsi="Times New Roman"/>
                <w:sz w:val="20"/>
              </w:rPr>
              <w:t>Cao nhất</w:t>
            </w:r>
          </w:p>
        </w:tc>
        <w:tc>
          <w:tcPr>
            <w:tcW w:type="dxa" w:w="2351"/>
            <w:tcW w:w="2268" w:type="dxa"/>
          </w:tcPr>
          <w:p>
            <w:r>
              <w:rPr>
                <w:rFonts w:ascii="Times New Roman" w:hAnsi="Times New Roman"/>
                <w:sz w:val="20"/>
              </w:rPr>
              <w:t>Triệu chứng cốt lõi</w:t>
            </w:r>
          </w:p>
        </w:tc>
      </w:tr>
      <w:tr>
        <w:tc>
          <w:tcPr>
            <w:tcW w:type="dxa" w:w="2351"/>
            <w:tcW w:w="1701" w:type="dxa"/>
          </w:tcPr>
          <w:p>
            <w:r>
              <w:rPr>
                <w:rFonts w:ascii="Times New Roman" w:hAnsi="Times New Roman"/>
                <w:sz w:val="20"/>
              </w:rPr>
              <w:t>ASD — kích ứng</w:t>
            </w:r>
          </w:p>
        </w:tc>
        <w:tc>
          <w:tcPr>
            <w:tcW w:type="dxa" w:w="2351"/>
            <w:tcW w:w="2268" w:type="dxa"/>
          </w:tcPr>
          <w:p>
            <w:r>
              <w:rPr>
                <w:rFonts w:ascii="Times New Roman" w:hAnsi="Times New Roman"/>
                <w:sz w:val="20"/>
              </w:rPr>
              <w:t>Aripiprazole, Risperidone</w:t>
            </w:r>
          </w:p>
        </w:tc>
        <w:tc>
          <w:tcPr>
            <w:tcW w:type="dxa" w:w="2351"/>
            <w:tcW w:w="1417" w:type="dxa"/>
          </w:tcPr>
          <w:p>
            <w:r>
              <w:rPr>
                <w:rFonts w:ascii="Times New Roman" w:hAnsi="Times New Roman"/>
                <w:sz w:val="20"/>
              </w:rPr>
              <w:t>Cao</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Trầm cảm</w:t>
            </w:r>
          </w:p>
        </w:tc>
        <w:tc>
          <w:tcPr>
            <w:tcW w:type="dxa" w:w="2351"/>
            <w:tcW w:w="2268" w:type="dxa"/>
          </w:tcPr>
          <w:p>
            <w:r>
              <w:rPr>
                <w:rFonts w:ascii="Times New Roman" w:hAnsi="Times New Roman"/>
                <w:sz w:val="20"/>
              </w:rPr>
              <w:t>Fluoxetine</w:t>
            </w:r>
          </w:p>
        </w:tc>
        <w:tc>
          <w:tcPr>
            <w:tcW w:type="dxa" w:w="2351"/>
            <w:tcW w:w="1417" w:type="dxa"/>
          </w:tcPr>
          <w:p>
            <w:r>
              <w:rPr>
                <w:rFonts w:ascii="Times New Roman" w:hAnsi="Times New Roman"/>
                <w:sz w:val="20"/>
              </w:rPr>
              <w:t>Trung bình</w:t>
            </w:r>
          </w:p>
        </w:tc>
        <w:tc>
          <w:tcPr>
            <w:tcW w:type="dxa" w:w="2351"/>
            <w:tcW w:w="2268" w:type="dxa"/>
          </w:tcPr>
          <w:p>
            <w:r>
              <w:rPr>
                <w:rFonts w:ascii="Times New Roman" w:hAnsi="Times New Roman"/>
                <w:sz w:val="20"/>
              </w:rPr>
              <w:t>Hiệu ứng placebo cao ở trẻ em</w:t>
            </w:r>
          </w:p>
        </w:tc>
      </w:tr>
      <w:tr>
        <w:tc>
          <w:tcPr>
            <w:tcW w:type="dxa" w:w="2351"/>
            <w:tcW w:w="1701" w:type="dxa"/>
          </w:tcPr>
          <w:p>
            <w:r>
              <w:rPr>
                <w:rFonts w:ascii="Times New Roman" w:hAnsi="Times New Roman"/>
                <w:sz w:val="20"/>
              </w:rPr>
              <w:t>OCD</w:t>
            </w:r>
          </w:p>
        </w:tc>
        <w:tc>
          <w:tcPr>
            <w:tcW w:type="dxa" w:w="2351"/>
            <w:tcW w:w="2268" w:type="dxa"/>
          </w:tcPr>
          <w:p>
            <w:r>
              <w:rPr>
                <w:rFonts w:ascii="Times New Roman" w:hAnsi="Times New Roman"/>
                <w:sz w:val="20"/>
              </w:rPr>
              <w:t>SSRI (Fluoxetine)</w:t>
            </w:r>
          </w:p>
        </w:tc>
        <w:tc>
          <w:tcPr>
            <w:tcW w:type="dxa" w:w="2351"/>
            <w:tcW w:w="1417" w:type="dxa"/>
          </w:tcPr>
          <w:p>
            <w:r>
              <w:rPr>
                <w:rFonts w:ascii="Times New Roman" w:hAnsi="Times New Roman"/>
                <w:sz w:val="20"/>
              </w:rPr>
              <w:t>Khá cao</w:t>
            </w:r>
          </w:p>
        </w:tc>
        <w:tc>
          <w:tcPr>
            <w:tcW w:type="dxa" w:w="2351"/>
            <w:tcW w:w="2268" w:type="dxa"/>
          </w:tcPr>
          <w:p>
            <w:r>
              <w:rPr>
                <w:rFonts w:ascii="Times New Roman" w:hAnsi="Times New Roman"/>
                <w:sz w:val="20"/>
              </w:rPr>
              <w:t>Ngoại lệ với placebo</w:t>
            </w:r>
          </w:p>
        </w:tc>
      </w:tr>
      <w:tr>
        <w:tc>
          <w:tcPr>
            <w:tcW w:type="dxa" w:w="2351"/>
            <w:tcW w:w="1701" w:type="dxa"/>
          </w:tcPr>
          <w:p>
            <w:r>
              <w:rPr>
                <w:rFonts w:ascii="Times New Roman" w:hAnsi="Times New Roman"/>
                <w:sz w:val="20"/>
              </w:rPr>
              <w:t>Lo âu</w:t>
            </w:r>
          </w:p>
        </w:tc>
        <w:tc>
          <w:tcPr>
            <w:tcW w:type="dxa" w:w="2351"/>
            <w:tcW w:w="2268" w:type="dxa"/>
          </w:tcPr>
          <w:p>
            <w:r>
              <w:rPr>
                <w:rFonts w:ascii="Times New Roman" w:hAnsi="Times New Roman"/>
                <w:sz w:val="20"/>
              </w:rPr>
              <w:t>SSRI</w:t>
            </w:r>
          </w:p>
        </w:tc>
        <w:tc>
          <w:tcPr>
            <w:tcW w:type="dxa" w:w="2351"/>
            <w:tcW w:w="1417" w:type="dxa"/>
          </w:tcPr>
          <w:p>
            <w:r>
              <w:rPr>
                <w:rFonts w:ascii="Times New Roman" w:hAnsi="Times New Roman"/>
                <w:sz w:val="20"/>
              </w:rPr>
              <w:t>Cao ban đầu</w:t>
            </w:r>
          </w:p>
        </w:tc>
        <w:tc>
          <w:tcPr>
            <w:tcW w:type="dxa" w:w="2351"/>
            <w:tcW w:w="2268" w:type="dxa"/>
          </w:tcPr>
          <w:p>
            <w:r>
              <w:rPr>
                <w:rFonts w:ascii="Times New Roman" w:hAnsi="Times New Roman"/>
                <w:sz w:val="20"/>
              </w:rPr>
              <w:t>Thiếu dữ liệu dài hạn</w:t>
            </w:r>
          </w:p>
        </w:tc>
      </w:tr>
      <w:tr>
        <w:tc>
          <w:tcPr>
            <w:tcW w:type="dxa" w:w="2351"/>
            <w:tcW w:w="1701" w:type="dxa"/>
          </w:tcPr>
          <w:p>
            <w:r>
              <w:rPr>
                <w:rFonts w:ascii="Times New Roman" w:hAnsi="Times New Roman"/>
                <w:sz w:val="20"/>
              </w:rPr>
              <w:t>Rối loạn Tic/Tourette</w:t>
            </w:r>
          </w:p>
        </w:tc>
        <w:tc>
          <w:tcPr>
            <w:tcW w:type="dxa" w:w="2351"/>
            <w:tcW w:w="2268" w:type="dxa"/>
          </w:tcPr>
          <w:p>
            <w:r>
              <w:rPr>
                <w:rFonts w:ascii="Times New Roman" w:hAnsi="Times New Roman"/>
                <w:sz w:val="20"/>
              </w:rPr>
              <w:t>Aripiprazole, Haloperidol</w:t>
            </w:r>
          </w:p>
        </w:tc>
        <w:tc>
          <w:tcPr>
            <w:tcW w:type="dxa" w:w="2351"/>
            <w:tcW w:w="1417" w:type="dxa"/>
          </w:tcPr>
          <w:p>
            <w:r>
              <w:rPr>
                <w:rFonts w:ascii="Times New Roman" w:hAnsi="Times New Roman"/>
                <w:sz w:val="20"/>
              </w:rPr>
              <w:t>Trung bình–Cao</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Tâm thần phân liệt</w:t>
            </w:r>
          </w:p>
        </w:tc>
        <w:tc>
          <w:tcPr>
            <w:tcW w:type="dxa" w:w="2351"/>
            <w:tcW w:w="2268" w:type="dxa"/>
          </w:tcPr>
          <w:p>
            <w:r>
              <w:rPr>
                <w:rFonts w:ascii="Times New Roman" w:hAnsi="Times New Roman"/>
                <w:sz w:val="20"/>
              </w:rPr>
              <w:t>Risperidone, Olanzapine</w:t>
            </w:r>
          </w:p>
        </w:tc>
        <w:tc>
          <w:tcPr>
            <w:tcW w:type="dxa" w:w="2351"/>
            <w:tcW w:w="1417" w:type="dxa"/>
          </w:tcPr>
          <w:p>
            <w:r>
              <w:rPr>
                <w:rFonts w:ascii="Times New Roman" w:hAnsi="Times New Roman"/>
                <w:sz w:val="20"/>
              </w:rPr>
              <w:t>Trung bình–Cao</w:t>
            </w:r>
          </w:p>
        </w:tc>
        <w:tc>
          <w:tcPr>
            <w:tcW w:type="dxa" w:w="2351"/>
            <w:tcW w:w="2268" w:type="dxa"/>
          </w:tcPr>
          <w:p>
            <w:r>
              <w:rPr>
                <w:rFonts w:ascii="Times New Roman" w:hAnsi="Times New Roman"/>
                <w:sz w:val="20"/>
              </w:rPr>
              <w:t>Dữ liệu hạn chế ở trẻ em</w:t>
            </w:r>
          </w:p>
        </w:tc>
      </w:tr>
    </w:tbl>
    <w:p>
      <w:r>
        <w:rPr>
          <w:rFonts w:ascii="Times New Roman" w:hAnsi="Times New Roman"/>
          <w:b w:val="0"/>
          <w:i/>
          <w:sz w:val="18"/>
        </w:rPr>
        <w:t>Ghi chú: Tóm tắt từ Bảng 1 gốc. Hiệu quả dựa trên RCT ngắn hạn. Thiếu dữ liệu an toàn dài hạn cho hầu hết thuốc.</w:t>
      </w:r>
    </w:p>
    <w:p>
      <w:r>
        <w:rPr>
          <w:rFonts w:ascii="Times New Roman" w:hAnsi="Times New Roman"/>
          <w:b/>
          <w:i w:val="0"/>
          <w:sz w:val="24"/>
        </w:rPr>
        <w:t>3.5. Chiến lược nghiên cứu và triển khai mạnh mẽ</w:t>
      </w:r>
    </w:p>
    <w:p>
      <w:r>
        <w:rPr>
          <w:rFonts w:ascii="Times New Roman" w:hAnsi="Times New Roman"/>
          <w:b w:val="0"/>
          <w:i w:val="0"/>
          <w:sz w:val="24"/>
        </w:rPr>
        <w:t>Một số can thiệp phòng ngừa có cơ sở lý thuyết mạnh nhưng tỏ ra không hiệu quả hoặc gây hại. Ví dụ: RCT lớn về chương trình chánh niệm (mindfulness) toàn trường không cho thấy hiệu quả tổng thể và gợi ý có thể gây hại cho một số kết quả. Cần khung đánh giá hại/lợi cho bất kỳ can thiệp nào.</w:t>
      </w:r>
    </w:p>
    <w:p>
      <w:r>
        <w:rPr>
          <w:rFonts w:ascii="Times New Roman" w:hAnsi="Times New Roman"/>
          <w:b/>
          <w:i w:val="0"/>
          <w:sz w:val="24"/>
        </w:rPr>
        <w:t>3.6. Nghiên cứu có sự tham gia của người dùng dịch vụ</w:t>
      </w:r>
    </w:p>
    <w:p>
      <w:r>
        <w:rPr>
          <w:rFonts w:ascii="Times New Roman" w:hAnsi="Times New Roman"/>
          <w:b w:val="0"/>
          <w:i w:val="0"/>
          <w:sz w:val="24"/>
        </w:rPr>
        <w:t>Sự tham gia có ý nghĩa của trẻ em và thanh niên trong nghiên cứu và thiết kế dịch vụ là thiết yếu. Tuy nhiên, thực hành này vẫn chưa phổ biến và thường chỉ mang tính hình thức.</w:t>
      </w:r>
    </w:p>
    <w:p>
      <w:r>
        <w:rPr>
          <w:rFonts w:ascii="Times New Roman" w:hAnsi="Times New Roman"/>
          <w:i/>
          <w:color w:val="808080"/>
          <w:sz w:val="18"/>
        </w:rPr>
        <w:t>--- Trang 8–9, Lancet Regional Health Europe, 2025 ---</w:t>
      </w:r>
    </w:p>
    <w:p>
      <w:pPr>
        <w:pStyle w:val="Heading2"/>
      </w:pPr>
      <w:r>
        <w:rPr>
          <w:rFonts w:ascii="Times New Roman" w:hAnsi="Times New Roman"/>
          <w:color w:val="000000"/>
        </w:rPr>
        <w:t>4. KHUYẾN NGHỊ CHÍNH SÁCH</w:t>
      </w:r>
    </w:p>
    <w:p>
      <w:pPr>
        <w:pStyle w:val="Heading3"/>
      </w:pPr>
      <w:r>
        <w:rPr>
          <w:rFonts w:ascii="Times New Roman" w:hAnsi="Times New Roman"/>
          <w:color w:val="000000"/>
        </w:rPr>
        <w:t>Bảng 2. Tổng hợp khuyến nghị chính cho khu vực WHO châu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417" w:type="dxa"/>
            <w:shd w:fill="D9E2F3" w:val="clear"/>
          </w:tcPr>
          <w:p>
            <w:pPr>
              <w:jc w:val="center"/>
            </w:pPr>
            <w:r>
              <w:rPr>
                <w:rFonts w:ascii="Times New Roman" w:hAnsi="Times New Roman"/>
                <w:b/>
                <w:sz w:val="20"/>
              </w:rPr>
              <w:t>Lĩnh vực</w:t>
            </w:r>
          </w:p>
        </w:tc>
        <w:tc>
          <w:tcPr>
            <w:tcW w:type="dxa" w:w="3135"/>
            <w:tcW w:w="3402" w:type="dxa"/>
            <w:shd w:fill="D9E2F3" w:val="clear"/>
          </w:tcPr>
          <w:p>
            <w:pPr>
              <w:jc w:val="center"/>
            </w:pPr>
            <w:r>
              <w:rPr>
                <w:rFonts w:ascii="Times New Roman" w:hAnsi="Times New Roman"/>
                <w:b/>
                <w:sz w:val="20"/>
              </w:rPr>
              <w:t>Khuyến nghị</w:t>
            </w:r>
          </w:p>
        </w:tc>
        <w:tc>
          <w:tcPr>
            <w:tcW w:type="dxa" w:w="3135"/>
            <w:tcW w:w="2835" w:type="dxa"/>
            <w:shd w:fill="D9E2F3" w:val="clear"/>
          </w:tcPr>
          <w:p>
            <w:pPr>
              <w:jc w:val="center"/>
            </w:pPr>
            <w:r>
              <w:rPr>
                <w:rFonts w:ascii="Times New Roman" w:hAnsi="Times New Roman"/>
                <w:b/>
                <w:sz w:val="20"/>
              </w:rPr>
              <w:t>Ý nghĩa cho VN</w:t>
            </w:r>
          </w:p>
        </w:tc>
      </w:tr>
      <w:tr>
        <w:tc>
          <w:tcPr>
            <w:tcW w:type="dxa" w:w="3135"/>
            <w:tcW w:w="1417" w:type="dxa"/>
          </w:tcPr>
          <w:p>
            <w:r>
              <w:rPr>
                <w:rFonts w:ascii="Times New Roman" w:hAnsi="Times New Roman"/>
                <w:sz w:val="20"/>
              </w:rPr>
              <w:t>Phòng ngừa</w:t>
            </w:r>
          </w:p>
        </w:tc>
        <w:tc>
          <w:tcPr>
            <w:tcW w:type="dxa" w:w="3135"/>
            <w:tcW w:w="3402" w:type="dxa"/>
          </w:tcPr>
          <w:p>
            <w:r>
              <w:rPr>
                <w:rFonts w:ascii="Times New Roman" w:hAnsi="Times New Roman"/>
                <w:sz w:val="20"/>
              </w:rPr>
              <w:t>Triển khai chương trình phòng ngừa phổ quát, chọn lọc và chỉ định</w:t>
            </w:r>
          </w:p>
        </w:tc>
        <w:tc>
          <w:tcPr>
            <w:tcW w:type="dxa" w:w="3135"/>
            <w:tcW w:w="2835" w:type="dxa"/>
          </w:tcPr>
          <w:p>
            <w:r>
              <w:rPr>
                <w:rFonts w:ascii="Times New Roman" w:hAnsi="Times New Roman"/>
                <w:sz w:val="20"/>
              </w:rPr>
              <w:t>VN cần phát triển chương trình tương tự tại trường</w:t>
            </w:r>
          </w:p>
        </w:tc>
      </w:tr>
      <w:tr>
        <w:tc>
          <w:tcPr>
            <w:tcW w:type="dxa" w:w="3135"/>
            <w:tcW w:w="1417" w:type="dxa"/>
          </w:tcPr>
          <w:p>
            <w:r>
              <w:rPr>
                <w:rFonts w:ascii="Times New Roman" w:hAnsi="Times New Roman"/>
                <w:sz w:val="20"/>
              </w:rPr>
              <w:t>Trường học</w:t>
            </w:r>
          </w:p>
        </w:tc>
        <w:tc>
          <w:tcPr>
            <w:tcW w:type="dxa" w:w="3135"/>
            <w:tcW w:w="3402" w:type="dxa"/>
          </w:tcPr>
          <w:p>
            <w:r>
              <w:rPr>
                <w:rFonts w:ascii="Times New Roman" w:hAnsi="Times New Roman"/>
                <w:sz w:val="20"/>
              </w:rPr>
              <w:t>Tích hợp SKTT vào chương trình giáo dục, đào tạo giáo viên nhận biết dấu hiệu</w:t>
            </w:r>
          </w:p>
        </w:tc>
        <w:tc>
          <w:tcPr>
            <w:tcW w:type="dxa" w:w="3135"/>
            <w:tcW w:w="2835" w:type="dxa"/>
          </w:tcPr>
          <w:p>
            <w:r>
              <w:rPr>
                <w:rFonts w:ascii="Times New Roman" w:hAnsi="Times New Roman"/>
                <w:sz w:val="20"/>
              </w:rPr>
              <w:t>Phù hợp với Wen 2020 (hỗ trợ SKTT trường OR = 0,562)</w:t>
            </w:r>
          </w:p>
        </w:tc>
      </w:tr>
      <w:tr>
        <w:tc>
          <w:tcPr>
            <w:tcW w:type="dxa" w:w="3135"/>
            <w:tcW w:w="1417" w:type="dxa"/>
          </w:tcPr>
          <w:p>
            <w:r>
              <w:rPr>
                <w:rFonts w:ascii="Times New Roman" w:hAnsi="Times New Roman"/>
                <w:sz w:val="20"/>
              </w:rPr>
              <w:t>Dịch vụ cộng đồng</w:t>
            </w:r>
          </w:p>
        </w:tc>
        <w:tc>
          <w:tcPr>
            <w:tcW w:type="dxa" w:w="3135"/>
            <w:tcW w:w="3402" w:type="dxa"/>
          </w:tcPr>
          <w:p>
            <w:r>
              <w:rPr>
                <w:rFonts w:ascii="Times New Roman" w:hAnsi="Times New Roman"/>
                <w:sz w:val="20"/>
              </w:rPr>
              <w:t>Phát triển dịch vụ cộng đồng thay vì nhập viện</w:t>
            </w:r>
          </w:p>
        </w:tc>
        <w:tc>
          <w:tcPr>
            <w:tcW w:type="dxa" w:w="3135"/>
            <w:tcW w:w="2835" w:type="dxa"/>
          </w:tcPr>
          <w:p>
            <w:r>
              <w:rPr>
                <w:rFonts w:ascii="Times New Roman" w:hAnsi="Times New Roman"/>
                <w:sz w:val="20"/>
              </w:rPr>
              <w:t>VN mới có 8,4% tiếp cận — cần mở rộng</w:t>
            </w:r>
          </w:p>
        </w:tc>
      </w:tr>
      <w:tr>
        <w:tc>
          <w:tcPr>
            <w:tcW w:type="dxa" w:w="3135"/>
            <w:tcW w:w="1417" w:type="dxa"/>
          </w:tcPr>
          <w:p>
            <w:r>
              <w:rPr>
                <w:rFonts w:ascii="Times New Roman" w:hAnsi="Times New Roman"/>
                <w:sz w:val="20"/>
              </w:rPr>
              <w:t>MXH/số</w:t>
            </w:r>
          </w:p>
        </w:tc>
        <w:tc>
          <w:tcPr>
            <w:tcW w:type="dxa" w:w="3135"/>
            <w:tcW w:w="3402" w:type="dxa"/>
          </w:tcPr>
          <w:p>
            <w:r>
              <w:rPr>
                <w:rFonts w:ascii="Times New Roman" w:hAnsi="Times New Roman"/>
                <w:sz w:val="20"/>
              </w:rPr>
              <w:t>Kiểm soát nội dung, quy định nền tảng, giáo dục kỹ năng số</w:t>
            </w:r>
          </w:p>
        </w:tc>
        <w:tc>
          <w:tcPr>
            <w:tcW w:type="dxa" w:w="3135"/>
            <w:tcW w:w="2835" w:type="dxa"/>
          </w:tcPr>
          <w:p>
            <w:r>
              <w:rPr>
                <w:rFonts w:ascii="Times New Roman" w:hAnsi="Times New Roman"/>
                <w:sz w:val="20"/>
              </w:rPr>
              <w:t>Phù hợp với phát hiện Norway 2025, Chen 2023</w:t>
            </w:r>
          </w:p>
        </w:tc>
      </w:tr>
      <w:tr>
        <w:tc>
          <w:tcPr>
            <w:tcW w:type="dxa" w:w="3135"/>
            <w:tcW w:w="1417" w:type="dxa"/>
          </w:tcPr>
          <w:p>
            <w:r>
              <w:rPr>
                <w:rFonts w:ascii="Times New Roman" w:hAnsi="Times New Roman"/>
                <w:sz w:val="20"/>
              </w:rPr>
              <w:t>Nghiên cứu</w:t>
            </w:r>
          </w:p>
        </w:tc>
        <w:tc>
          <w:tcPr>
            <w:tcW w:type="dxa" w:w="3135"/>
            <w:tcW w:w="3402" w:type="dxa"/>
          </w:tcPr>
          <w:p>
            <w:r>
              <w:rPr>
                <w:rFonts w:ascii="Times New Roman" w:hAnsi="Times New Roman"/>
                <w:sz w:val="20"/>
              </w:rPr>
              <w:t>Đánh giá cả hại lẫn lợi, nghiên cứu triển khai</w:t>
            </w:r>
          </w:p>
        </w:tc>
        <w:tc>
          <w:tcPr>
            <w:tcW w:type="dxa" w:w="3135"/>
            <w:tcW w:w="2835" w:type="dxa"/>
          </w:tcPr>
          <w:p>
            <w:r>
              <w:rPr>
                <w:rFonts w:ascii="Times New Roman" w:hAnsi="Times New Roman"/>
                <w:sz w:val="20"/>
              </w:rPr>
              <w:t>VN cần NC can thiệp + đánh giá hiệu quả</w:t>
            </w:r>
          </w:p>
        </w:tc>
      </w:tr>
      <w:tr>
        <w:tc>
          <w:tcPr>
            <w:tcW w:type="dxa" w:w="3135"/>
            <w:tcW w:w="1417" w:type="dxa"/>
          </w:tcPr>
          <w:p>
            <w:r>
              <w:rPr>
                <w:rFonts w:ascii="Times New Roman" w:hAnsi="Times New Roman"/>
                <w:sz w:val="20"/>
              </w:rPr>
              <w:t>Tham gia</w:t>
            </w:r>
          </w:p>
        </w:tc>
        <w:tc>
          <w:tcPr>
            <w:tcW w:type="dxa" w:w="3135"/>
            <w:tcW w:w="3402" w:type="dxa"/>
          </w:tcPr>
          <w:p>
            <w:r>
              <w:rPr>
                <w:rFonts w:ascii="Times New Roman" w:hAnsi="Times New Roman"/>
                <w:sz w:val="20"/>
              </w:rPr>
              <w:t>Trẻ em/thanh niên tham gia thiết kế dịch vụ</w:t>
            </w:r>
          </w:p>
        </w:tc>
        <w:tc>
          <w:tcPr>
            <w:tcW w:type="dxa" w:w="3135"/>
            <w:tcW w:w="2835" w:type="dxa"/>
          </w:tcPr>
          <w:p>
            <w:r>
              <w:rPr>
                <w:rFonts w:ascii="Times New Roman" w:hAnsi="Times New Roman"/>
                <w:sz w:val="20"/>
              </w:rPr>
              <w:t>Chưa phổ biến ở VN</w:t>
            </w:r>
          </w:p>
        </w:tc>
      </w:tr>
      <w:tr>
        <w:tc>
          <w:tcPr>
            <w:tcW w:type="dxa" w:w="3135"/>
            <w:tcW w:w="1417" w:type="dxa"/>
          </w:tcPr>
          <w:p>
            <w:r>
              <w:rPr>
                <w:rFonts w:ascii="Times New Roman" w:hAnsi="Times New Roman"/>
                <w:sz w:val="20"/>
              </w:rPr>
              <w:t>Dược lý</w:t>
            </w:r>
          </w:p>
        </w:tc>
        <w:tc>
          <w:tcPr>
            <w:tcW w:type="dxa" w:w="3135"/>
            <w:tcW w:w="3402" w:type="dxa"/>
          </w:tcPr>
          <w:p>
            <w:r>
              <w:rPr>
                <w:rFonts w:ascii="Times New Roman" w:hAnsi="Times New Roman"/>
                <w:sz w:val="20"/>
              </w:rPr>
              <w:t>RCT dài hạn, giảm hiệu ứng placebo, tiếp cận chính xác</w:t>
            </w:r>
          </w:p>
        </w:tc>
        <w:tc>
          <w:tcPr>
            <w:tcW w:type="dxa" w:w="3135"/>
            <w:tcW w:w="2835" w:type="dxa"/>
          </w:tcPr>
          <w:p>
            <w:r>
              <w:rPr>
                <w:rFonts w:ascii="Times New Roman" w:hAnsi="Times New Roman"/>
                <w:sz w:val="20"/>
              </w:rPr>
              <w:t>VN thiếu NC dược lý SKTT VTN</w:t>
            </w:r>
          </w:p>
        </w:tc>
      </w:tr>
      <w:tr>
        <w:tc>
          <w:tcPr>
            <w:tcW w:type="dxa" w:w="3135"/>
            <w:tcW w:w="1417" w:type="dxa"/>
          </w:tcPr>
          <w:p>
            <w:r>
              <w:rPr>
                <w:rFonts w:ascii="Times New Roman" w:hAnsi="Times New Roman"/>
                <w:sz w:val="20"/>
              </w:rPr>
              <w:t>Bất bình đẳng</w:t>
            </w:r>
          </w:p>
        </w:tc>
        <w:tc>
          <w:tcPr>
            <w:tcW w:type="dxa" w:w="3135"/>
            <w:tcW w:w="3402" w:type="dxa"/>
          </w:tcPr>
          <w:p>
            <w:r>
              <w:rPr>
                <w:rFonts w:ascii="Times New Roman" w:hAnsi="Times New Roman"/>
                <w:sz w:val="20"/>
              </w:rPr>
              <w:t>Chú ý nhóm dễ bị tổn thương: nghèo, tị nạn, DTTS</w:t>
            </w:r>
          </w:p>
        </w:tc>
        <w:tc>
          <w:tcPr>
            <w:tcW w:type="dxa" w:w="3135"/>
            <w:tcW w:w="2835" w:type="dxa"/>
          </w:tcPr>
          <w:p>
            <w:r>
              <w:rPr>
                <w:rFonts w:ascii="Times New Roman" w:hAnsi="Times New Roman"/>
                <w:sz w:val="20"/>
              </w:rPr>
              <w:t>Phù hợp: VN có DTTS, vùng khó khăn</w:t>
            </w:r>
          </w:p>
        </w:tc>
      </w:tr>
    </w:tbl>
    <w:p>
      <w:r>
        <w:rPr>
          <w:rFonts w:ascii="Times New Roman" w:hAnsi="Times New Roman"/>
          <w:i/>
          <w:color w:val="808080"/>
          <w:sz w:val="18"/>
        </w:rPr>
        <w:t>--- Trang 8–9, Lancet Regional Health Europe, 2025 ---</w:t>
      </w:r>
    </w:p>
    <w:p>
      <w:pPr>
        <w:pStyle w:val="Heading2"/>
      </w:pPr>
      <w:r>
        <w:rPr>
          <w:rFonts w:ascii="Times New Roman" w:hAnsi="Times New Roman"/>
          <w:color w:val="000000"/>
        </w:rPr>
        <w:t>5. THẢO LUẬN</w:t>
      </w:r>
    </w:p>
    <w:p>
      <w:r>
        <w:rPr>
          <w:rFonts w:ascii="Times New Roman" w:hAnsi="Times New Roman"/>
          <w:b w:val="0"/>
          <w:i w:val="0"/>
          <w:sz w:val="24"/>
        </w:rPr>
        <w:t>Phòng ngừa SKTT kém vẫn là ưu tiên; tuy nhiên, có sự khác biệt khu vực trong hệ thống triển khai. Phân tích 38 chính sách/kế hoạch SKTT quốc gia cho thấy sự khác biệt đáng kể: mô hình từ trên xuống phổ biến ở Đông Âu, mô hình từ dưới lên ở Bắc Âu. Chỉ 5 nước có tổ chức đa ngành cho triển khai SKTT.</w:t>
      </w:r>
    </w:p>
    <w:p>
      <w:r>
        <w:rPr>
          <w:rFonts w:ascii="Times New Roman" w:hAnsi="Times New Roman"/>
          <w:b w:val="0"/>
          <w:i w:val="0"/>
          <w:sz w:val="24"/>
        </w:rPr>
        <w:t>Bài viết thừa nhận chủ yếu dựa trên tổng quan hệ thống và phân tích tổng hợp đã công bố — không có dữ liệu gốc mới. Tuy nhiên, không phải lúc nào cũng có bằng chứng hệ thống cho mọi khuyến nghị.</w:t>
      </w:r>
    </w:p>
    <w:p>
      <w:r>
        <w:rPr>
          <w:rFonts w:ascii="Times New Roman" w:hAnsi="Times New Roman"/>
          <w:b w:val="0"/>
          <w:i w:val="0"/>
          <w:sz w:val="24"/>
        </w:rPr>
        <w:t>Cuộc khủng hoảng SKTT VTN tại châu Âu là đa yếu tố: dịch COVID-19, xung đột, biến đổi khí hậu, và yếu tố công nghệ. Giải quyết đòi hỏi cách tiếp cận toàn diện: phòng ngừa tại trường, tiếp cận công bằng dịch vụ SKTT, chấm dứt xung đột, và giải quyết bất bình đẳng kinh tế–xã hội gốc rễ.</w:t>
      </w:r>
    </w:p>
    <w:p>
      <w:pPr>
        <w:pStyle w:val="Heading2"/>
      </w:pPr>
      <w:r>
        <w:rPr>
          <w:rFonts w:ascii="Times New Roman" w:hAnsi="Times New Roman"/>
          <w:color w:val="000000"/>
        </w:rPr>
        <w:t>6. KẾT LUẬN</w:t>
      </w:r>
    </w:p>
    <w:p>
      <w:r>
        <w:rPr>
          <w:rFonts w:ascii="Times New Roman" w:hAnsi="Times New Roman"/>
          <w:b w:val="0"/>
          <w:i w:val="0"/>
          <w:sz w:val="24"/>
        </w:rPr>
        <w:t>Dữ liệu tổng hợp WHO châu Âu cho thấy 9 triệu VTN đang sống với rối loạn SKTT và lo âu chiếm &gt;50% tổng ca. Giải quyết cuộc khủng hoảng đòi hỏi chiến lược toàn diện: phòng ngừa dựa trên bằng chứng, dịch vụ cộng đồng, kiểm soát MXH, và hợp tác xuyên quốc gia. Mặc dù bối cảnh châu Âu (dịch vụ phát triển) khác VN/ASEAN, các nguyên tắc cốt lõi — tích hợp SKTT vào giáo dục, phát triển dịch vụ cộng đồng, can thiệp sớm — hoàn toàn áp dụng được.</w:t>
      </w:r>
    </w:p>
    <w:p>
      <w:pPr>
        <w:pStyle w:val="Heading2"/>
      </w:pPr>
      <w:r>
        <w:rPr>
          <w:rFonts w:ascii="Times New Roman" w:hAnsi="Times New Roman"/>
          <w:color w:val="000000"/>
        </w:rPr>
        <w:t>TÀI LIỆU THAM KHẢO</w:t>
      </w:r>
    </w:p>
    <w:p>
      <w:r>
        <w:rPr>
          <w:rFonts w:ascii="Times New Roman" w:hAnsi="Times New Roman"/>
          <w:b w:val="0"/>
          <w:i w:val="0"/>
          <w:sz w:val="20"/>
        </w:rPr>
        <w:t>Tarasenko, A., et al. (2025). Mental health of children and young people in the WHO Europe region. Lancet Regional Health — Europe.</w:t>
      </w:r>
    </w:p>
    <w:p>
      <w:r>
        <w:rPr>
          <w:rFonts w:ascii="Times New Roman" w:hAnsi="Times New Roman"/>
          <w:b w:val="0"/>
          <w:i w:val="0"/>
          <w:sz w:val="20"/>
        </w:rPr>
        <w:t>UNICEF. (2021). The State of the World's Children: On My Mind — promoting, protecting and caring for children's mental health.</w:t>
      </w:r>
    </w:p>
    <w:p>
      <w:r>
        <w:rPr>
          <w:rFonts w:ascii="Times New Roman" w:hAnsi="Times New Roman"/>
          <w:b w:val="0"/>
          <w:i w:val="0"/>
          <w:sz w:val="20"/>
        </w:rPr>
        <w:t>Cortese, S., et al. (2018). Comparative efficacy and tolerability of medications for ADHD in children, adolescents, and adults. Lancet Psychiatry, 5(9), 727–738.</w:t>
      </w:r>
    </w:p>
    <w:p>
      <w:r>
        <w:rPr>
          <w:rFonts w:ascii="Times New Roman" w:hAnsi="Times New Roman"/>
          <w:b w:val="0"/>
          <w:i w:val="0"/>
          <w:sz w:val="20"/>
        </w:rPr>
        <w:t>Danese, A. &amp; Widom, C.S. (2020). Objective and subjective experiences of child maltreatment and their relationships with psychopathology. Nature Human Behaviour, 4, 811–818.</w:t>
      </w:r>
    </w:p>
    <w:p>
      <w:r>
        <w:rPr>
          <w:rFonts w:ascii="Times New Roman" w:hAnsi="Times New Roman"/>
          <w:b w:val="0"/>
          <w:i w:val="0"/>
          <w:sz w:val="20"/>
        </w:rPr>
        <w:t>Stringaris, A., et al. (2018). Editorial: In search of specificity: anxiety and depression in childhood and adolescence. JCPP, 59, 1263–1266.</w:t>
      </w:r>
    </w:p>
    <w:p>
      <w:r>
        <w:rPr>
          <w:rFonts w:ascii="Times New Roman" w:hAnsi="Times New Roman"/>
          <w:b w:val="0"/>
          <w:i/>
          <w:sz w:val="20"/>
        </w:rPr>
        <w:t>(Xem danh mục đầy đủ trong bài gốc — 110+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World Health Organization — Tổ chức Y tế Thế giới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r>
        <w:tc>
          <w:tcPr>
            <w:tcW w:type="dxa" w:w="4702"/>
            <w:tcW w:w="1701" w:type="dxa"/>
          </w:tcPr>
          <w:p>
            <w:r>
              <w:rPr>
                <w:rFonts w:ascii="Times New Roman" w:hAnsi="Times New Roman"/>
                <w:sz w:val="20"/>
              </w:rPr>
              <w:t>SSRI</w:t>
            </w:r>
          </w:p>
        </w:tc>
        <w:tc>
          <w:tcPr>
            <w:tcW w:type="dxa" w:w="4702"/>
            <w:tcW w:w="7371" w:type="dxa"/>
          </w:tcPr>
          <w:p>
            <w:r>
              <w:rPr>
                <w:rFonts w:ascii="Times New Roman" w:hAnsi="Times New Roman"/>
                <w:sz w:val="20"/>
              </w:rPr>
              <w:t>Selective Serotonin Reuptake Inhibitors — Thuốc ức chế tái hấp thu serotonin chọn lọc</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Attention-Deficit/Hyperactivity Disorder — Rối loạn Tăng động Giảm chú ý</w:t>
            </w:r>
          </w:p>
        </w:tc>
      </w:tr>
      <w:tr>
        <w:tc>
          <w:tcPr>
            <w:tcW w:type="dxa" w:w="4702"/>
            <w:tcW w:w="1701" w:type="dxa"/>
          </w:tcPr>
          <w:p>
            <w:r>
              <w:rPr>
                <w:rFonts w:ascii="Times New Roman" w:hAnsi="Times New Roman"/>
                <w:sz w:val="20"/>
              </w:rPr>
              <w:t>ASD</w:t>
            </w:r>
          </w:p>
        </w:tc>
        <w:tc>
          <w:tcPr>
            <w:tcW w:type="dxa" w:w="4702"/>
            <w:tcW w:w="7371" w:type="dxa"/>
          </w:tcPr>
          <w:p>
            <w:r>
              <w:rPr>
                <w:rFonts w:ascii="Times New Roman" w:hAnsi="Times New Roman"/>
                <w:sz w:val="20"/>
              </w:rPr>
              <w:t>Autism Spectrum Disorder — Rối loạn Phổ tự kỷ</w:t>
            </w:r>
          </w:p>
        </w:tc>
      </w:tr>
      <w:tr>
        <w:tc>
          <w:tcPr>
            <w:tcW w:type="dxa" w:w="4702"/>
            <w:tcW w:w="1701" w:type="dxa"/>
          </w:tcPr>
          <w:p>
            <w:r>
              <w:rPr>
                <w:rFonts w:ascii="Times New Roman" w:hAnsi="Times New Roman"/>
                <w:sz w:val="20"/>
              </w:rPr>
              <w:t>OCD</w:t>
            </w:r>
          </w:p>
        </w:tc>
        <w:tc>
          <w:tcPr>
            <w:tcW w:type="dxa" w:w="4702"/>
            <w:tcW w:w="7371" w:type="dxa"/>
          </w:tcPr>
          <w:p>
            <w:r>
              <w:rPr>
                <w:rFonts w:ascii="Times New Roman" w:hAnsi="Times New Roman"/>
                <w:sz w:val="20"/>
              </w:rPr>
              <w:t>Obsessive-Compulsive Disorder — Rối loạn Ám ảnh Cưỡng chế</w:t>
            </w:r>
          </w:p>
        </w:tc>
      </w:tr>
      <w:tr>
        <w:tc>
          <w:tcPr>
            <w:tcW w:type="dxa" w:w="4702"/>
            <w:tcW w:w="1701" w:type="dxa"/>
          </w:tcPr>
          <w:p>
            <w:r>
              <w:rPr>
                <w:rFonts w:ascii="Times New Roman" w:hAnsi="Times New Roman"/>
                <w:sz w:val="20"/>
              </w:rPr>
              <w:t>PTSD</w:t>
            </w:r>
          </w:p>
        </w:tc>
        <w:tc>
          <w:tcPr>
            <w:tcW w:type="dxa" w:w="4702"/>
            <w:tcW w:w="7371" w:type="dxa"/>
          </w:tcPr>
          <w:p>
            <w:r>
              <w:rPr>
                <w:rFonts w:ascii="Times New Roman" w:hAnsi="Times New Roman"/>
                <w:sz w:val="20"/>
              </w:rPr>
              <w:t>Post-Traumatic Stress Disorder — Rối loạn Stress Sau Sang chấn</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 — Thử nghiệm Ngẫu nhiên Có đối chứng</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r>
        <w:tc>
          <w:tcPr>
            <w:tcW w:type="dxa" w:w="4702"/>
            <w:tcW w:w="1701" w:type="dxa"/>
          </w:tcPr>
          <w:p>
            <w:r>
              <w:rPr>
                <w:rFonts w:ascii="Times New Roman" w:hAnsi="Times New Roman"/>
                <w:sz w:val="20"/>
              </w:rPr>
              <w:t>SEAL</w:t>
            </w:r>
          </w:p>
        </w:tc>
        <w:tc>
          <w:tcPr>
            <w:tcW w:type="dxa" w:w="4702"/>
            <w:tcW w:w="7371" w:type="dxa"/>
          </w:tcPr>
          <w:p>
            <w:r>
              <w:rPr>
                <w:rFonts w:ascii="Times New Roman" w:hAnsi="Times New Roman"/>
                <w:sz w:val="20"/>
              </w:rPr>
              <w:t>Social and Emotional Aspects of Learning — Các khía cạnh Cảm xúc-Xã hội của Học tập</w:t>
            </w:r>
          </w:p>
        </w:tc>
      </w:tr>
      <w:tr>
        <w:tc>
          <w:tcPr>
            <w:tcW w:type="dxa" w:w="4702"/>
            <w:tcW w:w="1701" w:type="dxa"/>
          </w:tcPr>
          <w:p>
            <w:r>
              <w:rPr>
                <w:rFonts w:ascii="Times New Roman" w:hAnsi="Times New Roman"/>
                <w:sz w:val="20"/>
              </w:rPr>
              <w:t>HBSC</w:t>
            </w:r>
          </w:p>
        </w:tc>
        <w:tc>
          <w:tcPr>
            <w:tcW w:type="dxa" w:w="4702"/>
            <w:tcW w:w="7371" w:type="dxa"/>
          </w:tcPr>
          <w:p>
            <w:r>
              <w:rPr>
                <w:rFonts w:ascii="Times New Roman" w:hAnsi="Times New Roman"/>
                <w:sz w:val="20"/>
              </w:rPr>
              <w:t>Health Behaviour in School-aged Children — Hành vi Sức khỏe ở Trẻ em Đi học</w:t>
            </w:r>
          </w:p>
        </w:tc>
      </w:tr>
      <w:tr>
        <w:tc>
          <w:tcPr>
            <w:tcW w:type="dxa" w:w="4702"/>
            <w:tcW w:w="1701" w:type="dxa"/>
          </w:tcPr>
          <w:p>
            <w:r>
              <w:rPr>
                <w:rFonts w:ascii="Times New Roman" w:hAnsi="Times New Roman"/>
                <w:sz w:val="20"/>
              </w:rPr>
              <w:t>DMDD</w:t>
            </w:r>
          </w:p>
        </w:tc>
        <w:tc>
          <w:tcPr>
            <w:tcW w:type="dxa" w:w="4702"/>
            <w:tcW w:w="7371" w:type="dxa"/>
          </w:tcPr>
          <w:p>
            <w:r>
              <w:rPr>
                <w:rFonts w:ascii="Times New Roman" w:hAnsi="Times New Roman"/>
                <w:sz w:val="20"/>
              </w:rPr>
              <w:t>Disruptive Mood Dysregulation Disorder — Rối loạn Rối loạn Điều hòa Tâm trạng</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Lancet Regional Health Europe Q1 IF ≈ 15 — tạp chí uy tín rất cao.</w:t>
      </w:r>
    </w:p>
    <w:p>
      <w:r>
        <w:rPr>
          <w:rFonts w:ascii="Times New Roman" w:hAnsi="Times New Roman"/>
          <w:b w:val="0"/>
          <w:color w:val="FF0000"/>
          <w:sz w:val="24"/>
        </w:rPr>
        <w:t>• Phạm vi toàn diện: 53 quốc gia khu vực WHO châu Âu.</w:t>
      </w:r>
    </w:p>
    <w:p>
      <w:r>
        <w:rPr>
          <w:rFonts w:ascii="Times New Roman" w:hAnsi="Times New Roman"/>
          <w:b w:val="0"/>
          <w:color w:val="FF0000"/>
          <w:sz w:val="24"/>
        </w:rPr>
        <w:t>• Bài Series chính sách — tổng hợp thách thức + giải pháp + khuyến nghị trong một khuôn khổ nhất quán.</w:t>
      </w:r>
    </w:p>
    <w:p>
      <w:r>
        <w:rPr>
          <w:rFonts w:ascii="Times New Roman" w:hAnsi="Times New Roman"/>
          <w:b w:val="0"/>
          <w:color w:val="FF0000"/>
          <w:sz w:val="24"/>
        </w:rPr>
        <w:t>• Đa tác giả từ nhiều tổ chức hàng đầu (WHO, UCL, King's College, Glasgow).</w:t>
      </w:r>
    </w:p>
    <w:p>
      <w:r>
        <w:rPr>
          <w:rFonts w:ascii="Times New Roman" w:hAnsi="Times New Roman"/>
          <w:b w:val="0"/>
          <w:color w:val="FF0000"/>
          <w:sz w:val="24"/>
        </w:rPr>
        <w:t>• Bao gồm góc nhìn người dùng dịch vụ (Gisel Josy — đồng tác giả là service user).</w:t>
      </w:r>
    </w:p>
    <w:p>
      <w:r>
        <w:rPr>
          <w:rFonts w:ascii="Times New Roman" w:hAnsi="Times New Roman"/>
          <w:b/>
          <w:color w:val="FF0000"/>
          <w:sz w:val="24"/>
        </w:rPr>
        <w:t>Hạn chế chi tiết:</w:t>
      </w:r>
    </w:p>
    <w:p>
      <w:r>
        <w:rPr>
          <w:rFonts w:ascii="Times New Roman" w:hAnsi="Times New Roman"/>
          <w:b w:val="0"/>
          <w:color w:val="FF0000"/>
          <w:sz w:val="24"/>
        </w:rPr>
        <w:t>• KHÔNG phải nghiên cứu gốc — tổng quan chính sách/narrative review. Thiếu phương pháp hệ thống (không PRISMA, không tìm kiếm có cấu trúc).</w:t>
      </w:r>
    </w:p>
    <w:p>
      <w:r>
        <w:rPr>
          <w:rFonts w:ascii="Times New Roman" w:hAnsi="Times New Roman"/>
          <w:b w:val="0"/>
          <w:color w:val="FF0000"/>
          <w:sz w:val="24"/>
        </w:rPr>
        <w:t>• Thiếu DỮ LIỆU TỶ LỆ CỤ THỂ từng nước — chỉ có con số tổng (9 triệu, &gt;50%). Khó so sánh chi tiết giữa các nước.</w:t>
      </w:r>
    </w:p>
    <w:p>
      <w:r>
        <w:rPr>
          <w:rFonts w:ascii="Times New Roman" w:hAnsi="Times New Roman"/>
          <w:b w:val="0"/>
          <w:color w:val="FF0000"/>
          <w:sz w:val="24"/>
        </w:rPr>
        <w:t>• Bối cảnh châu Âu — hệ thống SKTT, giáo dục, phúc lợi phát triển rất khác ASEAN/VN. Nhiều khuyến nghị (social prescribing, community services) đòi hỏi hạ tầng mà VN chưa có.</w:t>
      </w:r>
    </w:p>
    <w:p>
      <w:r>
        <w:rPr>
          <w:rFonts w:ascii="Times New Roman" w:hAnsi="Times New Roman"/>
          <w:b w:val="0"/>
          <w:color w:val="FF0000"/>
          <w:sz w:val="24"/>
        </w:rPr>
        <w:t>• Khuyến nghị RẤT RỘNG — không đánh giá cụ thể hiệu quả, chi phí, tính khả thi cho từng bối cảnh.</w:t>
      </w:r>
    </w:p>
    <w:p>
      <w:r>
        <w:rPr>
          <w:rFonts w:ascii="Times New Roman" w:hAnsi="Times New Roman"/>
          <w:b w:val="0"/>
          <w:color w:val="FF0000"/>
          <w:sz w:val="24"/>
        </w:rPr>
        <w:t>• Thừa nhận bằng chứng vẫn lẫn lộn cho MXH — không đưa ra kết luận rõ ràng.</w:t>
      </w:r>
    </w:p>
    <w:p>
      <w:r>
        <w:rPr>
          <w:rFonts w:ascii="Times New Roman" w:hAnsi="Times New Roman"/>
          <w:b w:val="0"/>
          <w:color w:val="FF0000"/>
          <w:sz w:val="24"/>
        </w:rPr>
        <w:t>• Không thảo luận bất bình đẳng thu nhập chi tiết (Korea 2024 đã làm tốt hơn).</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bài tổng quan tương tự cho khu vực ASEAN hoặc Việt Nam — đây là GAP lớn.</w:t>
      </w:r>
    </w:p>
    <w:p>
      <w:r>
        <w:rPr>
          <w:rFonts w:ascii="Times New Roman" w:hAnsi="Times New Roman"/>
          <w:b w:val="0"/>
          <w:color w:val="FF0000"/>
          <w:sz w:val="24"/>
        </w:rPr>
        <w:t>• Cần đánh giá hệ thống dịch vụ SKTT VTN tại VN theo tiêu chuẩn WHO — chỉ 8,4% tiếp cận (V-NAMHS 2022).</w:t>
      </w:r>
    </w:p>
    <w:p>
      <w:r>
        <w:rPr>
          <w:rFonts w:ascii="Times New Roman" w:hAnsi="Times New Roman"/>
          <w:b w:val="0"/>
          <w:color w:val="FF0000"/>
          <w:sz w:val="24"/>
        </w:rPr>
        <w:t>• Can thiệp tại trường (school-based): bài này khuyến nghị mạnh nhưng VN chưa có NC đánh giá hiệu quả can thiệp SKTT trường.</w:t>
      </w:r>
    </w:p>
    <w:p>
      <w:r>
        <w:rPr>
          <w:rFonts w:ascii="Times New Roman" w:hAnsi="Times New Roman"/>
          <w:b w:val="0"/>
          <w:color w:val="FF0000"/>
          <w:sz w:val="24"/>
        </w:rPr>
        <w:t>• So sánh mô hình Đông Âu (top-down) vs Bắc Âu (bottom-up) — VN thuộc mô hình nào? Cần nghiên cứu.</w:t>
      </w:r>
    </w:p>
    <w:p>
      <w:r>
        <w:rPr>
          <w:rFonts w:ascii="Times New Roman" w:hAnsi="Times New Roman"/>
          <w:b w:val="0"/>
          <w:color w:val="FF0000"/>
          <w:sz w:val="24"/>
        </w:rPr>
        <w:t>• Kiểm soát MXH: EU đã có DSA (Digital Services Act) — VN cần đánh giá khung pháp lý bảo vệ VTN trực tuyến.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