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https://doi.org/10.1017/S2045796025000083</w:t>
      </w:r>
    </w:p>
    <w:p>
      <w:pPr>
        <w:pStyle w:val="Heading1"/>
      </w:pPr>
      <w:r>
        <w:rPr>
          <w:rFonts w:ascii="Times New Roman" w:hAnsi="Times New Roman"/>
          <w:color w:val="000000"/>
        </w:rPr>
        <w:t>Sức khỏe tâm thần toàn diện của thanh thiếu niên và người trưởng thành mới nổi tại Úc: Căng thẳng và hạnh phúc qua 3 mẫu cộng đồng đại diện quốc gia</w:t>
      </w:r>
    </w:p>
    <w:p>
      <w:r>
        <w:rPr>
          <w:rFonts w:ascii="Times New Roman" w:hAnsi="Times New Roman"/>
          <w:i/>
          <w:sz w:val="26"/>
        </w:rPr>
        <w:t>The Complete Mental Health of Australia's Adolescents and Emerging Adults: Distress and Wellbeing across 3 Nationally Representative Community Samples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The Complete Mental Health of Australia's Adolescents and Emerging Adults: Distress and Wellbeing across 3 Nationally Representative Community Samples</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Dimity Crisp, Debra Rickwood, Richard Burns, Emily Bariola</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Đại học Canberra; Đại học Quốc gia Úc; Kantar Public, Melbourne</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Epidemiology and Psychiatric Sciences (Q1, IF ≈ 7,0)</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2025, Vol. 34, e16, 11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10.1017/S2045796025000083</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Cắt ngang lặp lại (repeated cross-sectional) — 3 khảo sát quốc gia</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2018: n=3.721; 2020: n=974; 2022: n=961 — VTN và thanh niên 12–25 tuổi, Úc</w:t>
            </w:r>
          </w:p>
        </w:tc>
      </w:tr>
    </w:tbl>
    <w:p>
      <w:r>
        <w:rPr>
          <w:rFonts w:ascii="Times New Roman" w:hAnsi="Times New Roman"/>
          <w:i/>
          <w:color w:val="808080"/>
          <w:sz w:val="18"/>
        </w:rPr>
        <w:t>--- Trang 1–11, Epidemiology and Psychiatric Sciences, Vol. 34, 2025 ---</w:t>
      </w:r>
    </w:p>
    <w:p>
      <w:pPr>
        <w:pStyle w:val="Heading2"/>
      </w:pPr>
      <w:r>
        <w:rPr>
          <w:rFonts w:ascii="Times New Roman" w:hAnsi="Times New Roman"/>
          <w:color w:val="000000"/>
        </w:rPr>
        <w:t>TÓM TẮT</w:t>
      </w:r>
    </w:p>
    <w:p>
      <w:r>
        <w:rPr>
          <w:rFonts w:ascii="Times New Roman" w:hAnsi="Times New Roman"/>
          <w:b w:val="0"/>
          <w:i w:val="0"/>
          <w:sz w:val="24"/>
        </w:rPr>
        <w:t>Mục tiêu: Mức độ căng thẳng tâm lý cao ở giới trẻ là lo ngại ngày càng tăng. Tuy nhiên, ít khảo sát quốc gia mô tả quỹ đạo SKTT và hạnh phúc qua giai đoạn VTN đến trưởng thành sớm. Nghiên cứu hiện tại tập trung không chỉ vào bệnh tật tâm thần mà còn SKTT tích cực, sử dụng khung Sức khỏe Tâm thần Toàn diện (CMH — Complete Mental Health) của Keyes.</w:t>
      </w:r>
    </w:p>
    <w:p>
      <w:r>
        <w:rPr>
          <w:rFonts w:ascii="Times New Roman" w:hAnsi="Times New Roman"/>
          <w:color w:val="CC0000"/>
          <w:sz w:val="24"/>
        </w:rPr>
        <w:t>Phương pháp: Người tham gia hoàn thành Khảo sát SKTT Thanh niên Quốc gia năm 2018 (n=3.832), 2020 (n=974) hoặc 2022 (n=961). Áp dụng khung CMH của Keyes để phân loại SKTT và hạnh phúc, kiểm tra tỷ lệ CMH theo thời gian, tuổi và giới. Đo bằng K10 (căng thẳng) và MHC-SF (hạnh phúc).</w:t>
      </w:r>
    </w:p>
    <w:p>
      <w:r>
        <w:rPr>
          <w:rFonts w:ascii="Times New Roman" w:hAnsi="Times New Roman"/>
          <w:color w:val="CC0000"/>
          <w:sz w:val="24"/>
        </w:rPr>
        <w:t>Kết quả: Khoảng một nửa báo cáo "phát triển tốt" (flourishing — hạnh phúc cao, không bệnh tật). Tỷ lệ flourishing GIẢM từ 53,0% (2018) xuống 44,4% (2022). Tỷ lệ "loạng choạng" (stumbling — hạnh phúc trung bình, có nguy cơ bệnh) TĂNG từ 19,3% lên 27,3%. Flourishing giảm theo tuổi và phổ biến hơn ở nam so với nữ. Khoảng cách giới MỞ RỘNG: nam flourishing 52,2% vs nữ 36,3% năm 2022.</w:t>
      </w:r>
    </w:p>
    <w:p>
      <w:r>
        <w:rPr>
          <w:rFonts w:ascii="Times New Roman" w:hAnsi="Times New Roman"/>
          <w:b w:val="0"/>
          <w:i w:val="0"/>
          <w:sz w:val="24"/>
        </w:rPr>
        <w:t>Kết luận: SKTT giới trẻ Úc đang xấu đi — cả về tăng căng thẳng và giảm hạnh phúc. Tiếp cận CMH toàn diện cung cấp bức tranh đầy đủ hơn chỉ đo bệnh tật.</w:t>
      </w:r>
    </w:p>
    <w:p>
      <w:pPr>
        <w:pStyle w:val="Heading2"/>
      </w:pPr>
      <w:r>
        <w:rPr>
          <w:rFonts w:ascii="Times New Roman" w:hAnsi="Times New Roman"/>
          <w:color w:val="000000"/>
        </w:rPr>
        <w:t>TÓM TẮT ĐÁNH GIÁ NHANH</w:t>
      </w:r>
    </w:p>
    <w:p>
      <w:r>
        <w:rPr>
          <w:rFonts w:ascii="Times New Roman" w:hAnsi="Times New Roman"/>
          <w:b w:val="0"/>
          <w:i w:val="0"/>
          <w:sz w:val="24"/>
        </w:rPr>
        <w:t>• EpiPsychSci Q1 IF≈7 — tạp chí dịch tễ SKTT uy tín.</w:t>
      </w:r>
    </w:p>
    <w:p>
      <w:r>
        <w:rPr>
          <w:rFonts w:ascii="Times New Roman" w:hAnsi="Times New Roman"/>
          <w:b w:val="0"/>
          <w:i w:val="0"/>
          <w:sz w:val="24"/>
        </w:rPr>
        <w:t>• Khung CMH của Keyes — đo CẢ bệnh tật VÀ hạnh phúc, không chỉ pathology.</w:t>
      </w:r>
    </w:p>
    <w:p>
      <w:r>
        <w:rPr>
          <w:rFonts w:ascii="Times New Roman" w:hAnsi="Times New Roman"/>
          <w:b w:val="0"/>
          <w:i w:val="0"/>
          <w:sz w:val="24"/>
        </w:rPr>
        <w:t>• Flourishing giảm 53%→44,4% (2018→2022); stumbling tăng 19,3%→27,3%.</w:t>
      </w:r>
    </w:p>
    <w:p>
      <w:r>
        <w:rPr>
          <w:rFonts w:ascii="Times New Roman" w:hAnsi="Times New Roman"/>
          <w:b w:val="0"/>
          <w:i w:val="0"/>
          <w:sz w:val="24"/>
        </w:rPr>
        <w:t>• Khoảng cách giới mở rộng: nam flourishing 52,2% vs nữ 36,3% (2022).</w:t>
      </w:r>
    </w:p>
    <w:p>
      <w:r>
        <w:rPr>
          <w:rFonts w:ascii="Times New Roman" w:hAnsi="Times New Roman"/>
          <w:b w:val="0"/>
          <w:i w:val="0"/>
          <w:sz w:val="24"/>
        </w:rPr>
        <w:t>• 3 khảo sát quốc gia đại diện — phương pháp nhất quán.</w:t>
      </w:r>
    </w:p>
    <w:p>
      <w:r>
        <w:rPr>
          <w:rFonts w:ascii="Times New Roman" w:hAnsi="Times New Roman"/>
          <w:b/>
          <w:i w:val="0"/>
          <w:sz w:val="24"/>
        </w:rPr>
        <w:t>Hạn chế:</w:t>
      </w:r>
    </w:p>
    <w:p>
      <w:r>
        <w:rPr>
          <w:rFonts w:ascii="Times New Roman" w:hAnsi="Times New Roman"/>
          <w:b w:val="0"/>
          <w:i w:val="0"/>
          <w:sz w:val="24"/>
        </w:rPr>
        <w:t>• Chỉ Úc — khác biệt văn hóa với VN/châu Á.</w:t>
      </w:r>
    </w:p>
    <w:p>
      <w:r>
        <w:rPr>
          <w:rFonts w:ascii="Times New Roman" w:hAnsi="Times New Roman"/>
          <w:b w:val="0"/>
          <w:i w:val="0"/>
          <w:sz w:val="24"/>
        </w:rPr>
        <w:t>• Cắt ngang lặp lại — không theo dõi cùng cá nhân.</w:t>
      </w:r>
    </w:p>
    <w:p>
      <w:r>
        <w:rPr>
          <w:rFonts w:ascii="Times New Roman" w:hAnsi="Times New Roman"/>
          <w:b w:val="0"/>
          <w:i w:val="0"/>
          <w:sz w:val="24"/>
        </w:rPr>
        <w:t>• Mẫu 2020-2022 nhỏ hơn nhiều so với 2018 (974, 961 vs 3.721).</w:t>
      </w:r>
    </w:p>
    <w:p>
      <w:r>
        <w:rPr>
          <w:rFonts w:ascii="Times New Roman" w:hAnsi="Times New Roman"/>
          <w:b w:val="0"/>
          <w:i w:val="0"/>
          <w:sz w:val="24"/>
        </w:rPr>
        <w:t>• K10 và MHC-SF — không tách lo âu riêng.</w:t>
      </w:r>
    </w:p>
    <w:p>
      <w:r>
        <w:rPr>
          <w:rFonts w:ascii="Times New Roman" w:hAnsi="Times New Roman"/>
          <w:i/>
          <w:color w:val="808080"/>
          <w:sz w:val="18"/>
        </w:rPr>
        <w:t>--- Trang 2–4, EpiPsychSci, Vol. 34, 2025 ---</w:t>
      </w:r>
    </w:p>
    <w:p>
      <w:pPr>
        <w:pStyle w:val="Heading2"/>
      </w:pPr>
      <w:r>
        <w:rPr>
          <w:rFonts w:ascii="Times New Roman" w:hAnsi="Times New Roman"/>
          <w:color w:val="000000"/>
        </w:rPr>
        <w:t>1. GIỚI THIỆU</w:t>
      </w:r>
    </w:p>
    <w:p>
      <w:r>
        <w:rPr>
          <w:rFonts w:ascii="Times New Roman" w:hAnsi="Times New Roman"/>
          <w:b w:val="0"/>
          <w:i w:val="0"/>
          <w:sz w:val="24"/>
        </w:rPr>
        <w:t>Tỷ lệ căng thẳng tâm lý cao ở giới trẻ Úc ngày càng tăng. Khảo sát Quốc gia về SKTT và Hạnh phúc (NSMHW) 2020-2022 cho thấy 39,6% trẻ 16–24 tuổi đã trải nghiệm rối loạn tâm thần trong 12 tháng qua. Tuy nhiên, NC hiện tại chủ yếu tập trung vào bệnh tật, ít chú ý đến SKTT tích cực.</w:t>
      </w:r>
    </w:p>
    <w:p>
      <w:r>
        <w:rPr>
          <w:rFonts w:ascii="Times New Roman" w:hAnsi="Times New Roman"/>
          <w:b w:val="0"/>
          <w:i w:val="0"/>
          <w:sz w:val="24"/>
        </w:rPr>
        <w:t>Mô hình Sức khỏe Tâm thần Toàn diện (CMH) của Keyes (2002, 2005) nhận ra bệnh tâm thần và hạnh phúc là HAI CHIỀU KHÁC BIỆT — không phải hai đầu của một thang. Một người có thể có căng thẳng nhưng vẫn hạnh phúc (struggling), hoặc không bệnh nhưng không hạnh phúc (languishing).</w:t>
      </w:r>
    </w:p>
    <w:p>
      <w:r>
        <w:rPr>
          <w:rFonts w:ascii="Times New Roman" w:hAnsi="Times New Roman"/>
          <w:b w:val="0"/>
          <w:i w:val="0"/>
          <w:sz w:val="24"/>
        </w:rPr>
        <w:t>6 trạng thái CMH: Flourishing (hạnh phúc cao + không bệnh), Middling (hạnh phúc trung bình + không bệnh), Languishing (hạnh phúc thấp + không bệnh), Struggling (hạnh phúc cao + có bệnh), Stumbling (hạnh phúc trung bình + có bệnh), Floundering (hạnh phúc thấp + có bệnh).</w:t>
      </w:r>
    </w:p>
    <w:p>
      <w:r>
        <w:rPr>
          <w:rFonts w:ascii="Times New Roman" w:hAnsi="Times New Roman"/>
          <w:i/>
          <w:color w:val="808080"/>
          <w:sz w:val="18"/>
        </w:rPr>
        <w:t>--- Trang 3–4, EpiPsychSci, Vol. 34, 2025 ---</w:t>
      </w:r>
    </w:p>
    <w:p>
      <w:pPr>
        <w:pStyle w:val="Heading2"/>
      </w:pPr>
      <w:r>
        <w:rPr>
          <w:rFonts w:ascii="Times New Roman" w:hAnsi="Times New Roman"/>
          <w:color w:val="000000"/>
        </w:rPr>
        <w:t>2. PHƯƠNG PHÁP</w:t>
      </w:r>
    </w:p>
    <w:p>
      <w:r>
        <w:rPr>
          <w:rFonts w:ascii="Times New Roman" w:hAnsi="Times New Roman"/>
          <w:b w:val="0"/>
          <w:i w:val="0"/>
          <w:sz w:val="24"/>
        </w:rPr>
        <w:t>Thiết kế cắt ngang lặp lại. 3 khảo sát quốc gia: 2018 (n=3.721), 2020 (n=974), 2022 (n=961). Phỏng vấn điện thoại (CATI) qua Kantar Public. Mẫu quota: tuổi, giới, tiểu bang đại diện dân số Úc. Chỉ phân tích dữ liệu CATI (loại online) để nhất quán phương pháp.</w:t>
      </w:r>
    </w:p>
    <w:p>
      <w:r>
        <w:rPr>
          <w:rFonts w:ascii="Times New Roman" w:hAnsi="Times New Roman"/>
          <w:b/>
          <w:i w:val="0"/>
          <w:sz w:val="24"/>
        </w:rPr>
        <w:t>Thang đo:</w:t>
      </w:r>
    </w:p>
    <w:p>
      <w:r>
        <w:rPr>
          <w:rFonts w:ascii="Times New Roman" w:hAnsi="Times New Roman"/>
          <w:b w:val="0"/>
          <w:i w:val="0"/>
          <w:sz w:val="24"/>
        </w:rPr>
        <w:t>• K10 (Kessler-10): 10 mục, đo căng thẳng tâm lý. Phân loại: Thấp (10–15), Trung bình (16–21), Cao (22–29), Rất cao (30–50).</w:t>
      </w:r>
    </w:p>
    <w:p>
      <w:r>
        <w:rPr>
          <w:rFonts w:ascii="Times New Roman" w:hAnsi="Times New Roman"/>
          <w:b w:val="0"/>
          <w:i w:val="0"/>
          <w:sz w:val="24"/>
        </w:rPr>
        <w:t>• MHC-SF (Mental Health Continuum Short Form): 14 mục, đo hạnh phúc chủ quan, tâm lý, xã hội. Phân loại: Thấp, Trung bình, Cao (flourishing).</w:t>
      </w:r>
    </w:p>
    <w:p>
      <w:pPr>
        <w:pStyle w:val="Heading2"/>
      </w:pPr>
      <w:r>
        <w:rPr>
          <w:rFonts w:ascii="Times New Roman" w:hAnsi="Times New Roman"/>
          <w:color w:val="000000"/>
        </w:rPr>
        <w:t>3. KẾT QUẢ</w:t>
      </w:r>
    </w:p>
    <w:p>
      <w:pPr>
        <w:pStyle w:val="Heading3"/>
      </w:pPr>
      <w:r>
        <w:rPr>
          <w:rFonts w:ascii="Times New Roman" w:hAnsi="Times New Roman"/>
          <w:color w:val="000000"/>
        </w:rPr>
        <w:t>Bảng 1. Trạng thái CMH theo năm khảo sát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Trạng thái</w:t>
            </w:r>
          </w:p>
        </w:tc>
        <w:tc>
          <w:tcPr>
            <w:tcW w:type="dxa" w:w="1881"/>
            <w:tcW w:w="1134" w:type="dxa"/>
            <w:shd w:fill="D9E2F3" w:val="clear"/>
          </w:tcPr>
          <w:p>
            <w:pPr>
              <w:jc w:val="center"/>
            </w:pPr>
            <w:r>
              <w:rPr>
                <w:rFonts w:ascii="Times New Roman" w:hAnsi="Times New Roman"/>
                <w:b/>
                <w:sz w:val="20"/>
              </w:rPr>
              <w:t>2018 (%)</w:t>
            </w:r>
          </w:p>
        </w:tc>
        <w:tc>
          <w:tcPr>
            <w:tcW w:type="dxa" w:w="1881"/>
            <w:tcW w:w="1134" w:type="dxa"/>
            <w:shd w:fill="D9E2F3" w:val="clear"/>
          </w:tcPr>
          <w:p>
            <w:pPr>
              <w:jc w:val="center"/>
            </w:pPr>
            <w:r>
              <w:rPr>
                <w:rFonts w:ascii="Times New Roman" w:hAnsi="Times New Roman"/>
                <w:b/>
                <w:sz w:val="20"/>
              </w:rPr>
              <w:t>2020 (%)</w:t>
            </w:r>
          </w:p>
        </w:tc>
        <w:tc>
          <w:tcPr>
            <w:tcW w:type="dxa" w:w="1881"/>
            <w:tcW w:w="1134" w:type="dxa"/>
            <w:shd w:fill="D9E2F3" w:val="clear"/>
          </w:tcPr>
          <w:p>
            <w:pPr>
              <w:jc w:val="center"/>
            </w:pPr>
            <w:r>
              <w:rPr>
                <w:rFonts w:ascii="Times New Roman" w:hAnsi="Times New Roman"/>
                <w:b/>
                <w:sz w:val="20"/>
              </w:rPr>
              <w:t>2022 (%)</w:t>
            </w:r>
          </w:p>
        </w:tc>
        <w:tc>
          <w:tcPr>
            <w:tcW w:type="dxa" w:w="1881"/>
            <w:tcW w:w="1701" w:type="dxa"/>
            <w:shd w:fill="D9E2F3" w:val="clear"/>
          </w:tcPr>
          <w:p>
            <w:pPr>
              <w:jc w:val="center"/>
            </w:pPr>
            <w:r>
              <w:rPr>
                <w:rFonts w:ascii="Times New Roman" w:hAnsi="Times New Roman"/>
                <w:b/>
                <w:sz w:val="20"/>
              </w:rPr>
              <w:t>Xu hướng</w:t>
            </w:r>
          </w:p>
        </w:tc>
      </w:tr>
      <w:tr>
        <w:tc>
          <w:tcPr>
            <w:tcW w:type="dxa" w:w="1881"/>
            <w:tcW w:w="1701" w:type="dxa"/>
          </w:tcPr>
          <w:p>
            <w:r>
              <w:rPr>
                <w:rFonts w:ascii="Times New Roman" w:hAnsi="Times New Roman"/>
                <w:sz w:val="20"/>
              </w:rPr>
              <w:t>Flourishing</w:t>
            </w:r>
          </w:p>
        </w:tc>
        <w:tc>
          <w:tcPr>
            <w:tcW w:type="dxa" w:w="1881"/>
            <w:tcW w:w="1134" w:type="dxa"/>
          </w:tcPr>
          <w:p>
            <w:r>
              <w:rPr>
                <w:rFonts w:ascii="Times New Roman" w:hAnsi="Times New Roman"/>
                <w:sz w:val="20"/>
              </w:rPr>
              <w:t>53,0</w:t>
            </w:r>
          </w:p>
        </w:tc>
        <w:tc>
          <w:tcPr>
            <w:tcW w:type="dxa" w:w="1881"/>
            <w:tcW w:w="1134" w:type="dxa"/>
          </w:tcPr>
          <w:p>
            <w:r>
              <w:rPr>
                <w:rFonts w:ascii="Times New Roman" w:hAnsi="Times New Roman"/>
                <w:sz w:val="20"/>
              </w:rPr>
              <w:t>52,2</w:t>
            </w:r>
          </w:p>
        </w:tc>
        <w:tc>
          <w:tcPr>
            <w:tcW w:type="dxa" w:w="1881"/>
            <w:tcW w:w="1134" w:type="dxa"/>
          </w:tcPr>
          <w:p>
            <w:r>
              <w:rPr>
                <w:rFonts w:ascii="Times New Roman" w:hAnsi="Times New Roman"/>
                <w:sz w:val="20"/>
              </w:rPr>
              <w:t>44,4</w:t>
            </w:r>
          </w:p>
        </w:tc>
        <w:tc>
          <w:tcPr>
            <w:tcW w:type="dxa" w:w="1881"/>
            <w:tcW w:w="1701" w:type="dxa"/>
          </w:tcPr>
          <w:p>
            <w:r>
              <w:rPr>
                <w:rFonts w:ascii="Times New Roman" w:hAnsi="Times New Roman"/>
                <w:sz w:val="20"/>
              </w:rPr>
              <w:t>↓ GIẢM</w:t>
            </w:r>
          </w:p>
        </w:tc>
      </w:tr>
      <w:tr>
        <w:tc>
          <w:tcPr>
            <w:tcW w:type="dxa" w:w="1881"/>
            <w:tcW w:w="1701" w:type="dxa"/>
          </w:tcPr>
          <w:p>
            <w:r>
              <w:rPr>
                <w:rFonts w:ascii="Times New Roman" w:hAnsi="Times New Roman"/>
                <w:sz w:val="20"/>
              </w:rPr>
              <w:t>Middling</w:t>
            </w:r>
          </w:p>
        </w:tc>
        <w:tc>
          <w:tcPr>
            <w:tcW w:type="dxa" w:w="1881"/>
            <w:tcW w:w="1134" w:type="dxa"/>
          </w:tcPr>
          <w:p>
            <w:r>
              <w:rPr>
                <w:rFonts w:ascii="Times New Roman" w:hAnsi="Times New Roman"/>
                <w:sz w:val="20"/>
              </w:rPr>
              <w:t>16,0</w:t>
            </w:r>
          </w:p>
        </w:tc>
        <w:tc>
          <w:tcPr>
            <w:tcW w:type="dxa" w:w="1881"/>
            <w:tcW w:w="1134" w:type="dxa"/>
          </w:tcPr>
          <w:p>
            <w:r>
              <w:rPr>
                <w:rFonts w:ascii="Times New Roman" w:hAnsi="Times New Roman"/>
                <w:sz w:val="20"/>
              </w:rPr>
              <w:t>14,7</w:t>
            </w:r>
          </w:p>
        </w:tc>
        <w:tc>
          <w:tcPr>
            <w:tcW w:type="dxa" w:w="1881"/>
            <w:tcW w:w="1134" w:type="dxa"/>
          </w:tcPr>
          <w:p>
            <w:r>
              <w:rPr>
                <w:rFonts w:ascii="Times New Roman" w:hAnsi="Times New Roman"/>
                <w:sz w:val="20"/>
              </w:rPr>
              <w:t>14,6</w:t>
            </w:r>
          </w:p>
        </w:tc>
        <w:tc>
          <w:tcPr>
            <w:tcW w:type="dxa" w:w="1881"/>
            <w:tcW w:w="1701" w:type="dxa"/>
          </w:tcPr>
          <w:p>
            <w:r>
              <w:rPr>
                <w:rFonts w:ascii="Times New Roman" w:hAnsi="Times New Roman"/>
                <w:sz w:val="20"/>
              </w:rPr>
              <w:t>— Ổn định</w:t>
            </w:r>
          </w:p>
        </w:tc>
      </w:tr>
      <w:tr>
        <w:tc>
          <w:tcPr>
            <w:tcW w:type="dxa" w:w="1881"/>
            <w:tcW w:w="1701" w:type="dxa"/>
          </w:tcPr>
          <w:p>
            <w:r>
              <w:rPr>
                <w:rFonts w:ascii="Times New Roman" w:hAnsi="Times New Roman"/>
                <w:sz w:val="20"/>
              </w:rPr>
              <w:t>Languishing</w:t>
            </w:r>
          </w:p>
        </w:tc>
        <w:tc>
          <w:tcPr>
            <w:tcW w:type="dxa" w:w="1881"/>
            <w:tcW w:w="1134" w:type="dxa"/>
          </w:tcPr>
          <w:p>
            <w:r>
              <w:rPr>
                <w:rFonts w:ascii="Times New Roman" w:hAnsi="Times New Roman"/>
                <w:sz w:val="20"/>
              </w:rPr>
              <w:t>0,3</w:t>
            </w:r>
          </w:p>
        </w:tc>
        <w:tc>
          <w:tcPr>
            <w:tcW w:type="dxa" w:w="1881"/>
            <w:tcW w:w="1134" w:type="dxa"/>
          </w:tcPr>
          <w:p>
            <w:r>
              <w:rPr>
                <w:rFonts w:ascii="Times New Roman" w:hAnsi="Times New Roman"/>
                <w:sz w:val="20"/>
              </w:rPr>
              <w:t>0,4</w:t>
            </w:r>
          </w:p>
        </w:tc>
        <w:tc>
          <w:tcPr>
            <w:tcW w:type="dxa" w:w="1881"/>
            <w:tcW w:w="1134" w:type="dxa"/>
          </w:tcPr>
          <w:p>
            <w:r>
              <w:rPr>
                <w:rFonts w:ascii="Times New Roman" w:hAnsi="Times New Roman"/>
                <w:sz w:val="20"/>
              </w:rPr>
              <w:t>0,3</w:t>
            </w:r>
          </w:p>
        </w:tc>
        <w:tc>
          <w:tcPr>
            <w:tcW w:type="dxa" w:w="1881"/>
            <w:tcW w:w="1701" w:type="dxa"/>
          </w:tcPr>
          <w:p>
            <w:r>
              <w:rPr>
                <w:rFonts w:ascii="Times New Roman" w:hAnsi="Times New Roman"/>
                <w:sz w:val="20"/>
              </w:rPr>
              <w:t>— Rất thấp</w:t>
            </w:r>
          </w:p>
        </w:tc>
      </w:tr>
      <w:tr>
        <w:tc>
          <w:tcPr>
            <w:tcW w:type="dxa" w:w="1881"/>
            <w:tcW w:w="1701" w:type="dxa"/>
          </w:tcPr>
          <w:p>
            <w:r>
              <w:rPr>
                <w:rFonts w:ascii="Times New Roman" w:hAnsi="Times New Roman"/>
                <w:sz w:val="20"/>
              </w:rPr>
              <w:t>Struggling</w:t>
            </w:r>
          </w:p>
        </w:tc>
        <w:tc>
          <w:tcPr>
            <w:tcW w:type="dxa" w:w="1881"/>
            <w:tcW w:w="1134" w:type="dxa"/>
          </w:tcPr>
          <w:p>
            <w:r>
              <w:rPr>
                <w:rFonts w:ascii="Times New Roman" w:hAnsi="Times New Roman"/>
                <w:sz w:val="20"/>
              </w:rPr>
              <w:t>9,1</w:t>
            </w:r>
          </w:p>
        </w:tc>
        <w:tc>
          <w:tcPr>
            <w:tcW w:type="dxa" w:w="1881"/>
            <w:tcW w:w="1134" w:type="dxa"/>
          </w:tcPr>
          <w:p>
            <w:r>
              <w:rPr>
                <w:rFonts w:ascii="Times New Roman" w:hAnsi="Times New Roman"/>
                <w:sz w:val="20"/>
              </w:rPr>
              <w:t>11,3</w:t>
            </w:r>
          </w:p>
        </w:tc>
        <w:tc>
          <w:tcPr>
            <w:tcW w:type="dxa" w:w="1881"/>
            <w:tcW w:w="1134" w:type="dxa"/>
          </w:tcPr>
          <w:p>
            <w:r>
              <w:rPr>
                <w:rFonts w:ascii="Times New Roman" w:hAnsi="Times New Roman"/>
                <w:sz w:val="20"/>
              </w:rPr>
              <w:t>10,2</w:t>
            </w:r>
          </w:p>
        </w:tc>
        <w:tc>
          <w:tcPr>
            <w:tcW w:type="dxa" w:w="1881"/>
            <w:tcW w:w="1701" w:type="dxa"/>
          </w:tcPr>
          <w:p>
            <w:r>
              <w:rPr>
                <w:rFonts w:ascii="Times New Roman" w:hAnsi="Times New Roman"/>
                <w:sz w:val="20"/>
              </w:rPr>
              <w:t>— Ổn định</w:t>
            </w:r>
          </w:p>
        </w:tc>
      </w:tr>
      <w:tr>
        <w:tc>
          <w:tcPr>
            <w:tcW w:type="dxa" w:w="1881"/>
            <w:tcW w:w="1701" w:type="dxa"/>
          </w:tcPr>
          <w:p>
            <w:r>
              <w:rPr>
                <w:rFonts w:ascii="Times New Roman" w:hAnsi="Times New Roman"/>
                <w:sz w:val="20"/>
              </w:rPr>
              <w:t>Stumbling</w:t>
            </w:r>
          </w:p>
        </w:tc>
        <w:tc>
          <w:tcPr>
            <w:tcW w:type="dxa" w:w="1881"/>
            <w:tcW w:w="1134" w:type="dxa"/>
          </w:tcPr>
          <w:p>
            <w:r>
              <w:rPr>
                <w:rFonts w:ascii="Times New Roman" w:hAnsi="Times New Roman"/>
                <w:sz w:val="20"/>
              </w:rPr>
              <w:t>19,3</w:t>
            </w:r>
          </w:p>
        </w:tc>
        <w:tc>
          <w:tcPr>
            <w:tcW w:type="dxa" w:w="1881"/>
            <w:tcW w:w="1134" w:type="dxa"/>
          </w:tcPr>
          <w:p>
            <w:r>
              <w:rPr>
                <w:rFonts w:ascii="Times New Roman" w:hAnsi="Times New Roman"/>
                <w:sz w:val="20"/>
              </w:rPr>
              <w:t>19,0</w:t>
            </w:r>
          </w:p>
        </w:tc>
        <w:tc>
          <w:tcPr>
            <w:tcW w:type="dxa" w:w="1881"/>
            <w:tcW w:w="1134" w:type="dxa"/>
          </w:tcPr>
          <w:p>
            <w:r>
              <w:rPr>
                <w:rFonts w:ascii="Times New Roman" w:hAnsi="Times New Roman"/>
                <w:sz w:val="20"/>
              </w:rPr>
              <w:t>27,3</w:t>
            </w:r>
          </w:p>
        </w:tc>
        <w:tc>
          <w:tcPr>
            <w:tcW w:type="dxa" w:w="1881"/>
            <w:tcW w:w="1701" w:type="dxa"/>
          </w:tcPr>
          <w:p>
            <w:r>
              <w:rPr>
                <w:rFonts w:ascii="Times New Roman" w:hAnsi="Times New Roman"/>
                <w:sz w:val="20"/>
              </w:rPr>
              <w:t>↑ TĂNG MẠNH</w:t>
            </w:r>
          </w:p>
        </w:tc>
      </w:tr>
      <w:tr>
        <w:tc>
          <w:tcPr>
            <w:tcW w:type="dxa" w:w="1881"/>
            <w:tcW w:w="1701" w:type="dxa"/>
          </w:tcPr>
          <w:p>
            <w:r>
              <w:rPr>
                <w:rFonts w:ascii="Times New Roman" w:hAnsi="Times New Roman"/>
                <w:sz w:val="20"/>
              </w:rPr>
              <w:t>Floundering</w:t>
            </w:r>
          </w:p>
        </w:tc>
        <w:tc>
          <w:tcPr>
            <w:tcW w:type="dxa" w:w="1881"/>
            <w:tcW w:w="1134" w:type="dxa"/>
          </w:tcPr>
          <w:p>
            <w:r>
              <w:rPr>
                <w:rFonts w:ascii="Times New Roman" w:hAnsi="Times New Roman"/>
                <w:sz w:val="20"/>
              </w:rPr>
              <w:t>2,4</w:t>
            </w:r>
          </w:p>
        </w:tc>
        <w:tc>
          <w:tcPr>
            <w:tcW w:type="dxa" w:w="1881"/>
            <w:tcW w:w="1134" w:type="dxa"/>
          </w:tcPr>
          <w:p>
            <w:r>
              <w:rPr>
                <w:rFonts w:ascii="Times New Roman" w:hAnsi="Times New Roman"/>
                <w:sz w:val="20"/>
              </w:rPr>
              <w:t>2,5</w:t>
            </w:r>
          </w:p>
        </w:tc>
        <w:tc>
          <w:tcPr>
            <w:tcW w:type="dxa" w:w="1881"/>
            <w:tcW w:w="1134" w:type="dxa"/>
          </w:tcPr>
          <w:p>
            <w:r>
              <w:rPr>
                <w:rFonts w:ascii="Times New Roman" w:hAnsi="Times New Roman"/>
                <w:sz w:val="20"/>
              </w:rPr>
              <w:t>3,2</w:t>
            </w:r>
          </w:p>
        </w:tc>
        <w:tc>
          <w:tcPr>
            <w:tcW w:type="dxa" w:w="1881"/>
            <w:tcW w:w="1701" w:type="dxa"/>
          </w:tcPr>
          <w:p>
            <w:r>
              <w:rPr>
                <w:rFonts w:ascii="Times New Roman" w:hAnsi="Times New Roman"/>
                <w:sz w:val="20"/>
              </w:rPr>
              <w:t>↑ Tăng nhẹ</w:t>
            </w:r>
          </w:p>
        </w:tc>
      </w:tr>
    </w:tbl>
    <w:p>
      <w:r>
        <w:rPr>
          <w:rFonts w:ascii="Times New Roman" w:hAnsi="Times New Roman"/>
          <w:b w:val="0"/>
          <w:i/>
          <w:sz w:val="18"/>
        </w:rPr>
        <w:t>χ²(10) = 44,59; p &lt; 0,001. Flourishing 2022 thấp hơn 2018 (z = 4,76, p &lt; 0,001) và 2020 (z = 3,41, p = 0,001).</w:t>
      </w:r>
    </w:p>
    <w:p>
      <w:pPr>
        <w:pStyle w:val="Heading3"/>
      </w:pPr>
      <w:r>
        <w:rPr>
          <w:rFonts w:ascii="Times New Roman" w:hAnsi="Times New Roman"/>
          <w:color w:val="000000"/>
        </w:rPr>
        <w:t>Bảng 2. Flourishing theo giới tính và năm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134" w:type="dxa"/>
            <w:shd w:fill="D9E2F3" w:val="clear"/>
          </w:tcPr>
          <w:p>
            <w:pPr>
              <w:jc w:val="center"/>
            </w:pPr>
            <w:r>
              <w:rPr>
                <w:rFonts w:ascii="Times New Roman" w:hAnsi="Times New Roman"/>
                <w:b/>
                <w:sz w:val="20"/>
              </w:rPr>
              <w:t>Năm</w:t>
            </w:r>
          </w:p>
        </w:tc>
        <w:tc>
          <w:tcPr>
            <w:tcW w:type="dxa" w:w="1881"/>
            <w:tcW w:w="1701" w:type="dxa"/>
            <w:shd w:fill="D9E2F3" w:val="clear"/>
          </w:tcPr>
          <w:p>
            <w:pPr>
              <w:jc w:val="center"/>
            </w:pPr>
            <w:r>
              <w:rPr>
                <w:rFonts w:ascii="Times New Roman" w:hAnsi="Times New Roman"/>
                <w:b/>
                <w:sz w:val="20"/>
              </w:rPr>
              <w:t>Nam Flourishing</w:t>
            </w:r>
          </w:p>
        </w:tc>
        <w:tc>
          <w:tcPr>
            <w:tcW w:type="dxa" w:w="1881"/>
            <w:tcW w:w="1701" w:type="dxa"/>
            <w:shd w:fill="D9E2F3" w:val="clear"/>
          </w:tcPr>
          <w:p>
            <w:pPr>
              <w:jc w:val="center"/>
            </w:pPr>
            <w:r>
              <w:rPr>
                <w:rFonts w:ascii="Times New Roman" w:hAnsi="Times New Roman"/>
                <w:b/>
                <w:sz w:val="20"/>
              </w:rPr>
              <w:t>Nữ Flourishing</w:t>
            </w:r>
          </w:p>
        </w:tc>
        <w:tc>
          <w:tcPr>
            <w:tcW w:type="dxa" w:w="1881"/>
            <w:tcW w:w="1701" w:type="dxa"/>
            <w:shd w:fill="D9E2F3" w:val="clear"/>
          </w:tcPr>
          <w:p>
            <w:pPr>
              <w:jc w:val="center"/>
            </w:pPr>
            <w:r>
              <w:rPr>
                <w:rFonts w:ascii="Times New Roman" w:hAnsi="Times New Roman"/>
                <w:b/>
                <w:sz w:val="20"/>
              </w:rPr>
              <w:t>Chênh lệch</w:t>
            </w:r>
          </w:p>
        </w:tc>
        <w:tc>
          <w:tcPr>
            <w:tcW w:type="dxa" w:w="1881"/>
            <w:tcW w:w="1134" w:type="dxa"/>
            <w:shd w:fill="D9E2F3" w:val="clear"/>
          </w:tcPr>
          <w:p>
            <w:pPr>
              <w:jc w:val="center"/>
            </w:pPr>
            <w:r>
              <w:rPr>
                <w:rFonts w:ascii="Times New Roman" w:hAnsi="Times New Roman"/>
                <w:b/>
                <w:sz w:val="20"/>
              </w:rPr>
              <w:t>p</w:t>
            </w:r>
          </w:p>
        </w:tc>
      </w:tr>
      <w:tr>
        <w:tc>
          <w:tcPr>
            <w:tcW w:type="dxa" w:w="1881"/>
            <w:tcW w:w="1134" w:type="dxa"/>
          </w:tcPr>
          <w:p>
            <w:r>
              <w:rPr>
                <w:rFonts w:ascii="Times New Roman" w:hAnsi="Times New Roman"/>
                <w:sz w:val="20"/>
              </w:rPr>
              <w:t>2018</w:t>
            </w:r>
          </w:p>
        </w:tc>
        <w:tc>
          <w:tcPr>
            <w:tcW w:type="dxa" w:w="1881"/>
            <w:tcW w:w="1701" w:type="dxa"/>
          </w:tcPr>
          <w:p>
            <w:r>
              <w:rPr>
                <w:rFonts w:ascii="Times New Roman" w:hAnsi="Times New Roman"/>
                <w:sz w:val="20"/>
              </w:rPr>
              <w:t>58,3%</w:t>
            </w:r>
          </w:p>
        </w:tc>
        <w:tc>
          <w:tcPr>
            <w:tcW w:type="dxa" w:w="1881"/>
            <w:tcW w:w="1701" w:type="dxa"/>
          </w:tcPr>
          <w:p>
            <w:r>
              <w:rPr>
                <w:rFonts w:ascii="Times New Roman" w:hAnsi="Times New Roman"/>
                <w:sz w:val="20"/>
              </w:rPr>
              <w:t>47,9%</w:t>
            </w:r>
          </w:p>
        </w:tc>
        <w:tc>
          <w:tcPr>
            <w:tcW w:type="dxa" w:w="1881"/>
            <w:tcW w:w="1701" w:type="dxa"/>
          </w:tcPr>
          <w:p>
            <w:r>
              <w:rPr>
                <w:rFonts w:ascii="Times New Roman" w:hAnsi="Times New Roman"/>
                <w:sz w:val="20"/>
              </w:rPr>
              <w:t>10,4 điểm</w:t>
            </w:r>
          </w:p>
        </w:tc>
        <w:tc>
          <w:tcPr>
            <w:tcW w:type="dxa" w:w="1881"/>
            <w:tcW w:w="1134" w:type="dxa"/>
          </w:tcPr>
          <w:p>
            <w:r>
              <w:rPr>
                <w:rFonts w:ascii="Times New Roman" w:hAnsi="Times New Roman"/>
                <w:sz w:val="20"/>
              </w:rPr>
              <w:t>&lt;0,001</w:t>
            </w:r>
          </w:p>
        </w:tc>
      </w:tr>
      <w:tr>
        <w:tc>
          <w:tcPr>
            <w:tcW w:type="dxa" w:w="1881"/>
            <w:tcW w:w="1134" w:type="dxa"/>
          </w:tcPr>
          <w:p>
            <w:r>
              <w:rPr>
                <w:rFonts w:ascii="Times New Roman" w:hAnsi="Times New Roman"/>
                <w:sz w:val="20"/>
              </w:rPr>
              <w:t>2020</w:t>
            </w:r>
          </w:p>
        </w:tc>
        <w:tc>
          <w:tcPr>
            <w:tcW w:type="dxa" w:w="1881"/>
            <w:tcW w:w="1701" w:type="dxa"/>
          </w:tcPr>
          <w:p>
            <w:r>
              <w:rPr>
                <w:rFonts w:ascii="Times New Roman" w:hAnsi="Times New Roman"/>
                <w:sz w:val="20"/>
              </w:rPr>
              <w:t>57,6%</w:t>
            </w:r>
          </w:p>
        </w:tc>
        <w:tc>
          <w:tcPr>
            <w:tcW w:type="dxa" w:w="1881"/>
            <w:tcW w:w="1701" w:type="dxa"/>
          </w:tcPr>
          <w:p>
            <w:r>
              <w:rPr>
                <w:rFonts w:ascii="Times New Roman" w:hAnsi="Times New Roman"/>
                <w:sz w:val="20"/>
              </w:rPr>
              <w:t>46,7%</w:t>
            </w:r>
          </w:p>
        </w:tc>
        <w:tc>
          <w:tcPr>
            <w:tcW w:type="dxa" w:w="1881"/>
            <w:tcW w:w="1701" w:type="dxa"/>
          </w:tcPr>
          <w:p>
            <w:r>
              <w:rPr>
                <w:rFonts w:ascii="Times New Roman" w:hAnsi="Times New Roman"/>
                <w:sz w:val="20"/>
              </w:rPr>
              <w:t>10,9 điểm</w:t>
            </w:r>
          </w:p>
        </w:tc>
        <w:tc>
          <w:tcPr>
            <w:tcW w:type="dxa" w:w="1881"/>
            <w:tcW w:w="1134" w:type="dxa"/>
          </w:tcPr>
          <w:p>
            <w:r>
              <w:rPr>
                <w:rFonts w:ascii="Times New Roman" w:hAnsi="Times New Roman"/>
                <w:sz w:val="20"/>
              </w:rPr>
              <w:t>0,001</w:t>
            </w:r>
          </w:p>
        </w:tc>
      </w:tr>
      <w:tr>
        <w:tc>
          <w:tcPr>
            <w:tcW w:type="dxa" w:w="1881"/>
            <w:tcW w:w="1134" w:type="dxa"/>
          </w:tcPr>
          <w:p>
            <w:r>
              <w:rPr>
                <w:rFonts w:ascii="Times New Roman" w:hAnsi="Times New Roman"/>
                <w:sz w:val="20"/>
              </w:rPr>
              <w:t>2022</w:t>
            </w:r>
          </w:p>
        </w:tc>
        <w:tc>
          <w:tcPr>
            <w:tcW w:type="dxa" w:w="1881"/>
            <w:tcW w:w="1701" w:type="dxa"/>
          </w:tcPr>
          <w:p>
            <w:r>
              <w:rPr>
                <w:rFonts w:ascii="Times New Roman" w:hAnsi="Times New Roman"/>
                <w:sz w:val="20"/>
              </w:rPr>
              <w:t>52,2%</w:t>
            </w:r>
          </w:p>
        </w:tc>
        <w:tc>
          <w:tcPr>
            <w:tcW w:type="dxa" w:w="1881"/>
            <w:tcW w:w="1701" w:type="dxa"/>
          </w:tcPr>
          <w:p>
            <w:r>
              <w:rPr>
                <w:rFonts w:ascii="Times New Roman" w:hAnsi="Times New Roman"/>
                <w:sz w:val="20"/>
              </w:rPr>
              <w:t>36,3%</w:t>
            </w:r>
          </w:p>
        </w:tc>
        <w:tc>
          <w:tcPr>
            <w:tcW w:type="dxa" w:w="1881"/>
            <w:tcW w:w="1701" w:type="dxa"/>
          </w:tcPr>
          <w:p>
            <w:r>
              <w:rPr>
                <w:rFonts w:ascii="Times New Roman" w:hAnsi="Times New Roman"/>
                <w:sz w:val="20"/>
              </w:rPr>
              <w:t>15,9 điểm</w:t>
            </w:r>
          </w:p>
        </w:tc>
        <w:tc>
          <w:tcPr>
            <w:tcW w:type="dxa" w:w="1881"/>
            <w:tcW w:w="1134" w:type="dxa"/>
          </w:tcPr>
          <w:p>
            <w:r>
              <w:rPr>
                <w:rFonts w:ascii="Times New Roman" w:hAnsi="Times New Roman"/>
                <w:sz w:val="20"/>
              </w:rPr>
              <w:t>0,001</w:t>
            </w:r>
          </w:p>
        </w:tc>
      </w:tr>
    </w:tbl>
    <w:p>
      <w:r>
        <w:rPr>
          <w:rFonts w:ascii="Times New Roman" w:hAnsi="Times New Roman"/>
          <w:b w:val="0"/>
          <w:i/>
          <w:sz w:val="18"/>
        </w:rPr>
        <w:t>Khoảng cách giới MỞ RỘNG: từ 10,4 điểm (2018) lên 15,9 điểm (2022).</w:t>
      </w:r>
    </w:p>
    <w:p>
      <w:pPr>
        <w:pStyle w:val="Heading3"/>
      </w:pPr>
      <w:r>
        <w:rPr>
          <w:rFonts w:ascii="Times New Roman" w:hAnsi="Times New Roman"/>
          <w:color w:val="000000"/>
        </w:rPr>
        <w:t>Bảng 3. Flourishing theo nhóm tuổi (2018, n=3.721)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Nhóm tuổi</w:t>
            </w:r>
          </w:p>
        </w:tc>
        <w:tc>
          <w:tcPr>
            <w:tcW w:type="dxa" w:w="2351"/>
            <w:tcW w:w="1701" w:type="dxa"/>
            <w:shd w:fill="D9E2F3" w:val="clear"/>
          </w:tcPr>
          <w:p>
            <w:pPr>
              <w:jc w:val="center"/>
            </w:pPr>
            <w:r>
              <w:rPr>
                <w:rFonts w:ascii="Times New Roman" w:hAnsi="Times New Roman"/>
                <w:b/>
                <w:sz w:val="20"/>
              </w:rPr>
              <w:t>Flourishing %</w:t>
            </w:r>
          </w:p>
        </w:tc>
        <w:tc>
          <w:tcPr>
            <w:tcW w:type="dxa" w:w="2351"/>
            <w:tcW w:w="1701" w:type="dxa"/>
            <w:shd w:fill="D9E2F3" w:val="clear"/>
          </w:tcPr>
          <w:p>
            <w:pPr>
              <w:jc w:val="center"/>
            </w:pPr>
            <w:r>
              <w:rPr>
                <w:rFonts w:ascii="Times New Roman" w:hAnsi="Times New Roman"/>
                <w:b/>
                <w:sz w:val="20"/>
              </w:rPr>
              <w:t>Stumbling %</w:t>
            </w:r>
          </w:p>
        </w:tc>
        <w:tc>
          <w:tcPr>
            <w:tcW w:type="dxa" w:w="2351"/>
            <w:tcW w:w="1701" w:type="dxa"/>
            <w:shd w:fill="D9E2F3" w:val="clear"/>
          </w:tcPr>
          <w:p>
            <w:pPr>
              <w:jc w:val="center"/>
            </w:pPr>
            <w:r>
              <w:rPr>
                <w:rFonts w:ascii="Times New Roman" w:hAnsi="Times New Roman"/>
                <w:b/>
                <w:sz w:val="20"/>
              </w:rPr>
              <w:t>So với 12–14</w:t>
            </w:r>
          </w:p>
        </w:tc>
      </w:tr>
      <w:tr>
        <w:tc>
          <w:tcPr>
            <w:tcW w:type="dxa" w:w="2351"/>
            <w:tcW w:w="1701" w:type="dxa"/>
          </w:tcPr>
          <w:p>
            <w:r>
              <w:rPr>
                <w:rFonts w:ascii="Times New Roman" w:hAnsi="Times New Roman"/>
                <w:sz w:val="20"/>
              </w:rPr>
              <w:t>12–14</w:t>
            </w:r>
          </w:p>
        </w:tc>
        <w:tc>
          <w:tcPr>
            <w:tcW w:type="dxa" w:w="2351"/>
            <w:tcW w:w="1701" w:type="dxa"/>
          </w:tcPr>
          <w:p>
            <w:r>
              <w:rPr>
                <w:rFonts w:ascii="Times New Roman" w:hAnsi="Times New Roman"/>
                <w:sz w:val="20"/>
              </w:rPr>
              <w:t>70,7</w:t>
            </w:r>
          </w:p>
        </w:tc>
        <w:tc>
          <w:tcPr>
            <w:tcW w:type="dxa" w:w="2351"/>
            <w:tcW w:w="1701" w:type="dxa"/>
          </w:tcPr>
          <w:p>
            <w:r>
              <w:rPr>
                <w:rFonts w:ascii="Times New Roman" w:hAnsi="Times New Roman"/>
                <w:sz w:val="20"/>
              </w:rPr>
              <w:t>9,4</w:t>
            </w:r>
          </w:p>
        </w:tc>
        <w:tc>
          <w:tcPr>
            <w:tcW w:type="dxa" w:w="2351"/>
            <w:tcW w:w="1701" w:type="dxa"/>
          </w:tcPr>
          <w:p>
            <w:r>
              <w:rPr>
                <w:rFonts w:ascii="Times New Roman" w:hAnsi="Times New Roman"/>
                <w:sz w:val="20"/>
              </w:rPr>
              <w:t>Reference</w:t>
            </w:r>
          </w:p>
        </w:tc>
      </w:tr>
      <w:tr>
        <w:tc>
          <w:tcPr>
            <w:tcW w:type="dxa" w:w="2351"/>
            <w:tcW w:w="1701" w:type="dxa"/>
          </w:tcPr>
          <w:p>
            <w:r>
              <w:rPr>
                <w:rFonts w:ascii="Times New Roman" w:hAnsi="Times New Roman"/>
                <w:sz w:val="20"/>
              </w:rPr>
              <w:t>15–17</w:t>
            </w:r>
          </w:p>
        </w:tc>
        <w:tc>
          <w:tcPr>
            <w:tcW w:type="dxa" w:w="2351"/>
            <w:tcW w:w="1701" w:type="dxa"/>
          </w:tcPr>
          <w:p>
            <w:r>
              <w:rPr>
                <w:rFonts w:ascii="Times New Roman" w:hAnsi="Times New Roman"/>
                <w:sz w:val="20"/>
              </w:rPr>
              <w:t>51,9</w:t>
            </w:r>
          </w:p>
        </w:tc>
        <w:tc>
          <w:tcPr>
            <w:tcW w:type="dxa" w:w="2351"/>
            <w:tcW w:w="1701" w:type="dxa"/>
          </w:tcPr>
          <w:p>
            <w:r>
              <w:rPr>
                <w:rFonts w:ascii="Times New Roman" w:hAnsi="Times New Roman"/>
                <w:sz w:val="20"/>
              </w:rPr>
              <w:t>20,3</w:t>
            </w:r>
          </w:p>
        </w:tc>
        <w:tc>
          <w:tcPr>
            <w:tcW w:type="dxa" w:w="2351"/>
            <w:tcW w:w="1701" w:type="dxa"/>
          </w:tcPr>
          <w:p>
            <w:r>
              <w:rPr>
                <w:rFonts w:ascii="Times New Roman" w:hAnsi="Times New Roman"/>
                <w:sz w:val="20"/>
              </w:rPr>
              <w:t>p &lt; 0,001</w:t>
            </w:r>
          </w:p>
        </w:tc>
      </w:tr>
      <w:tr>
        <w:tc>
          <w:tcPr>
            <w:tcW w:type="dxa" w:w="2351"/>
            <w:tcW w:w="1701" w:type="dxa"/>
          </w:tcPr>
          <w:p>
            <w:r>
              <w:rPr>
                <w:rFonts w:ascii="Times New Roman" w:hAnsi="Times New Roman"/>
                <w:sz w:val="20"/>
              </w:rPr>
              <w:t>18–21</w:t>
            </w:r>
          </w:p>
        </w:tc>
        <w:tc>
          <w:tcPr>
            <w:tcW w:type="dxa" w:w="2351"/>
            <w:tcW w:w="1701" w:type="dxa"/>
          </w:tcPr>
          <w:p>
            <w:r>
              <w:rPr>
                <w:rFonts w:ascii="Times New Roman" w:hAnsi="Times New Roman"/>
                <w:sz w:val="20"/>
              </w:rPr>
              <w:t>43,3</w:t>
            </w:r>
          </w:p>
        </w:tc>
        <w:tc>
          <w:tcPr>
            <w:tcW w:type="dxa" w:w="2351"/>
            <w:tcW w:w="1701" w:type="dxa"/>
          </w:tcPr>
          <w:p>
            <w:r>
              <w:rPr>
                <w:rFonts w:ascii="Times New Roman" w:hAnsi="Times New Roman"/>
                <w:sz w:val="20"/>
              </w:rPr>
              <w:t>24,4</w:t>
            </w:r>
          </w:p>
        </w:tc>
        <w:tc>
          <w:tcPr>
            <w:tcW w:type="dxa" w:w="2351"/>
            <w:tcW w:w="1701" w:type="dxa"/>
          </w:tcPr>
          <w:p>
            <w:r>
              <w:rPr>
                <w:rFonts w:ascii="Times New Roman" w:hAnsi="Times New Roman"/>
                <w:sz w:val="20"/>
              </w:rPr>
              <w:t>p &lt; 0,001</w:t>
            </w:r>
          </w:p>
        </w:tc>
      </w:tr>
      <w:tr>
        <w:tc>
          <w:tcPr>
            <w:tcW w:type="dxa" w:w="2351"/>
            <w:tcW w:w="1701" w:type="dxa"/>
          </w:tcPr>
          <w:p>
            <w:r>
              <w:rPr>
                <w:rFonts w:ascii="Times New Roman" w:hAnsi="Times New Roman"/>
                <w:sz w:val="20"/>
              </w:rPr>
              <w:t>22–25</w:t>
            </w:r>
          </w:p>
        </w:tc>
        <w:tc>
          <w:tcPr>
            <w:tcW w:type="dxa" w:w="2351"/>
            <w:tcW w:w="1701" w:type="dxa"/>
          </w:tcPr>
          <w:p>
            <w:r>
              <w:rPr>
                <w:rFonts w:ascii="Times New Roman" w:hAnsi="Times New Roman"/>
                <w:sz w:val="20"/>
              </w:rPr>
              <w:t>47,9</w:t>
            </w:r>
          </w:p>
        </w:tc>
        <w:tc>
          <w:tcPr>
            <w:tcW w:type="dxa" w:w="2351"/>
            <w:tcW w:w="1701" w:type="dxa"/>
          </w:tcPr>
          <w:p>
            <w:r>
              <w:rPr>
                <w:rFonts w:ascii="Times New Roman" w:hAnsi="Times New Roman"/>
                <w:sz w:val="20"/>
              </w:rPr>
              <w:t>22,2</w:t>
            </w:r>
          </w:p>
        </w:tc>
        <w:tc>
          <w:tcPr>
            <w:tcW w:type="dxa" w:w="2351"/>
            <w:tcW w:w="1701" w:type="dxa"/>
          </w:tcPr>
          <w:p>
            <w:r>
              <w:rPr>
                <w:rFonts w:ascii="Times New Roman" w:hAnsi="Times New Roman"/>
                <w:sz w:val="20"/>
              </w:rPr>
              <w:t>p &lt; 0,001</w:t>
            </w:r>
          </w:p>
        </w:tc>
      </w:tr>
    </w:tbl>
    <w:p>
      <w:r>
        <w:rPr>
          <w:rFonts w:ascii="Times New Roman" w:hAnsi="Times New Roman"/>
          <w:b w:val="0"/>
          <w:i/>
          <w:sz w:val="18"/>
        </w:rPr>
        <w:t>Flourishing GIẢM mạnh từ 12–14 tuổi (70,7%) đến 18–21 tuổi (43,3%), sau đó tăng nhẹ ở 22–25 (47,9%).</w:t>
      </w:r>
    </w:p>
    <w:p>
      <w:r>
        <w:rPr>
          <w:rFonts w:ascii="Times New Roman" w:hAnsi="Times New Roman"/>
          <w:b/>
          <w:i w:val="0"/>
          <w:sz w:val="24"/>
        </w:rPr>
        <w:t>K10 cao/rất cao:</w:t>
      </w:r>
    </w:p>
    <w:p>
      <w:r>
        <w:rPr>
          <w:rFonts w:ascii="Times New Roman" w:hAnsi="Times New Roman"/>
          <w:b w:val="0"/>
          <w:i w:val="0"/>
          <w:sz w:val="24"/>
        </w:rPr>
        <w:t>• 2018: 30,7% (cao 20,7% + rất cao 10,0%)</w:t>
      </w:r>
    </w:p>
    <w:p>
      <w:r>
        <w:rPr>
          <w:rFonts w:ascii="Times New Roman" w:hAnsi="Times New Roman"/>
          <w:b w:val="0"/>
          <w:i w:val="0"/>
          <w:sz w:val="24"/>
        </w:rPr>
        <w:t>• 2020: 32,7% (24,0% + 8,7%)</w:t>
      </w:r>
    </w:p>
    <w:p>
      <w:r>
        <w:rPr>
          <w:rFonts w:ascii="Times New Roman" w:hAnsi="Times New Roman"/>
          <w:b w:val="0"/>
          <w:i w:val="0"/>
          <w:sz w:val="24"/>
        </w:rPr>
        <w:t>• 2022: 40,7% (27,2% + 13,5%) — TĂNG RÕ RỆT</w:t>
      </w:r>
    </w:p>
    <w:p>
      <w:pPr>
        <w:pStyle w:val="Heading2"/>
      </w:pPr>
      <w:r>
        <w:rPr>
          <w:rFonts w:ascii="Times New Roman" w:hAnsi="Times New Roman"/>
          <w:color w:val="000000"/>
        </w:rPr>
        <w:t>4. THẢO LUẬN</w:t>
      </w:r>
    </w:p>
    <w:p>
      <w:r>
        <w:rPr>
          <w:rFonts w:ascii="Times New Roman" w:hAnsi="Times New Roman"/>
          <w:b w:val="0"/>
          <w:i w:val="0"/>
          <w:sz w:val="24"/>
        </w:rPr>
        <w:t>SKTT giới trẻ Úc đang xấu đi: flourishing giảm, stumbling tăng, K10 cao/rất cao tăng từ 30,7% lên 40,7%. Khoảng cách giới mở rộng — nữ bị ảnh hưởng nặng hơn. Mô hình CMH cho thấy bức tranh phức tạp hơn chỉ đo bệnh: nhiều người "struggling" (có bệnh nhưng vẫn hạnh phúc) — gợi ý hạnh phúc có thể là yếu tố bảo vệ.</w:t>
      </w:r>
    </w:p>
    <w:p>
      <w:pPr>
        <w:pStyle w:val="Heading2"/>
      </w:pPr>
      <w:r>
        <w:rPr>
          <w:rFonts w:ascii="Times New Roman" w:hAnsi="Times New Roman"/>
          <w:color w:val="000000"/>
        </w:rPr>
        <w:t>5. KẾT LUẬN</w:t>
      </w:r>
    </w:p>
    <w:p>
      <w:r>
        <w:rPr>
          <w:rFonts w:ascii="Times New Roman" w:hAnsi="Times New Roman"/>
          <w:b w:val="0"/>
          <w:i w:val="0"/>
          <w:sz w:val="24"/>
        </w:rPr>
        <w:t>Dữ liệu 3 khảo sát quốc gia Úc cho thấy SKTT toàn diện của giới trẻ xấu đi đáng kể từ 2018 đến 2022, với flourishing giảm từ 53% xuống 44,4% và căng thẳng cao/rất cao tăng lên 40,7%, gợi ý rằng cần tiếp cận CMH toàn diện (đo cả bệnh tật và hạnh phúc) thay vì chỉ tập trung vào pathology.</w:t>
      </w:r>
    </w:p>
    <w:p>
      <w:pPr>
        <w:pStyle w:val="Heading2"/>
      </w:pPr>
      <w:r>
        <w:rPr>
          <w:rFonts w:ascii="Times New Roman" w:hAnsi="Times New Roman"/>
          <w:color w:val="000000"/>
        </w:rPr>
        <w:t>TÀI LIỆU THAM KHẢO</w:t>
      </w:r>
    </w:p>
    <w:p>
      <w:r>
        <w:rPr>
          <w:rFonts w:ascii="Times New Roman" w:hAnsi="Times New Roman"/>
          <w:b w:val="0"/>
          <w:i w:val="0"/>
          <w:sz w:val="20"/>
        </w:rPr>
        <w:t>Crisp, D. et al. (2025). The complete mental health of Australia's adolescents and emerging adults. EpiPsychSci, 34, e16.</w:t>
      </w:r>
    </w:p>
    <w:p>
      <w:r>
        <w:rPr>
          <w:rFonts w:ascii="Times New Roman" w:hAnsi="Times New Roman"/>
          <w:b w:val="0"/>
          <w:i w:val="0"/>
          <w:sz w:val="20"/>
        </w:rPr>
        <w:t>Keyes, C.L.M. (2002). The mental health continuum. Journal of Health and Social Behavior, 43, 207–222.</w:t>
      </w:r>
    </w:p>
    <w:p>
      <w:r>
        <w:rPr>
          <w:rFonts w:ascii="Times New Roman" w:hAnsi="Times New Roman"/>
          <w:b w:val="0"/>
          <w:i/>
          <w:sz w:val="20"/>
        </w:rPr>
        <w:t>(Xem đầy đủ trong bài gốc — 40+ TLTK)</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K10</w:t>
            </w:r>
          </w:p>
        </w:tc>
        <w:tc>
          <w:tcPr>
            <w:tcW w:type="dxa" w:w="4702"/>
            <w:tcW w:w="7371" w:type="dxa"/>
          </w:tcPr>
          <w:p>
            <w:r>
              <w:rPr>
                <w:rFonts w:ascii="Times New Roman" w:hAnsi="Times New Roman"/>
                <w:sz w:val="20"/>
              </w:rPr>
              <w:t>Kessler-10 — Thang Căng thẳng Tâm lý 10 mục</w:t>
            </w:r>
          </w:p>
        </w:tc>
      </w:tr>
      <w:tr>
        <w:tc>
          <w:tcPr>
            <w:tcW w:type="dxa" w:w="4702"/>
            <w:tcW w:w="1701" w:type="dxa"/>
          </w:tcPr>
          <w:p>
            <w:r>
              <w:rPr>
                <w:rFonts w:ascii="Times New Roman" w:hAnsi="Times New Roman"/>
                <w:sz w:val="20"/>
              </w:rPr>
              <w:t>MHC-SF</w:t>
            </w:r>
          </w:p>
        </w:tc>
        <w:tc>
          <w:tcPr>
            <w:tcW w:type="dxa" w:w="4702"/>
            <w:tcW w:w="7371" w:type="dxa"/>
          </w:tcPr>
          <w:p>
            <w:r>
              <w:rPr>
                <w:rFonts w:ascii="Times New Roman" w:hAnsi="Times New Roman"/>
                <w:sz w:val="20"/>
              </w:rPr>
              <w:t>Mental Health Continuum Short Form — Thang Liên tục SKTT Rút gọn</w:t>
            </w:r>
          </w:p>
        </w:tc>
      </w:tr>
      <w:tr>
        <w:tc>
          <w:tcPr>
            <w:tcW w:type="dxa" w:w="4702"/>
            <w:tcW w:w="1701" w:type="dxa"/>
          </w:tcPr>
          <w:p>
            <w:r>
              <w:rPr>
                <w:rFonts w:ascii="Times New Roman" w:hAnsi="Times New Roman"/>
                <w:sz w:val="20"/>
              </w:rPr>
              <w:t>CMH</w:t>
            </w:r>
          </w:p>
        </w:tc>
        <w:tc>
          <w:tcPr>
            <w:tcW w:type="dxa" w:w="4702"/>
            <w:tcW w:w="7371" w:type="dxa"/>
          </w:tcPr>
          <w:p>
            <w:r>
              <w:rPr>
                <w:rFonts w:ascii="Times New Roman" w:hAnsi="Times New Roman"/>
                <w:sz w:val="20"/>
              </w:rPr>
              <w:t>Complete Mental Health — Sức khỏe Tâm thần Toàn diện</w:t>
            </w:r>
          </w:p>
        </w:tc>
      </w:tr>
      <w:tr>
        <w:tc>
          <w:tcPr>
            <w:tcW w:type="dxa" w:w="4702"/>
            <w:tcW w:w="1701" w:type="dxa"/>
          </w:tcPr>
          <w:p>
            <w:r>
              <w:rPr>
                <w:rFonts w:ascii="Times New Roman" w:hAnsi="Times New Roman"/>
                <w:sz w:val="20"/>
              </w:rPr>
              <w:t>CATI</w:t>
            </w:r>
          </w:p>
        </w:tc>
        <w:tc>
          <w:tcPr>
            <w:tcW w:type="dxa" w:w="4702"/>
            <w:tcW w:w="7371" w:type="dxa"/>
          </w:tcPr>
          <w:p>
            <w:r>
              <w:rPr>
                <w:rFonts w:ascii="Times New Roman" w:hAnsi="Times New Roman"/>
                <w:sz w:val="20"/>
              </w:rPr>
              <w:t>Computer Assisted Telephone Interview — Phỏng vấn Điện thoại Hỗ trợ Máy tính</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EpiPsychSci Q1 IF≈7. Khung CMH toàn diện — đo cả bệnh VÀ hạnh phúc.</w:t>
      </w:r>
    </w:p>
    <w:p>
      <w:r>
        <w:rPr>
          <w:rFonts w:ascii="Times New Roman" w:hAnsi="Times New Roman"/>
          <w:b w:val="0"/>
          <w:color w:val="FF0000"/>
          <w:sz w:val="24"/>
        </w:rPr>
        <w:t>• 3 khảo sát quốc gia (2018-2022), phương pháp nhất quán.</w:t>
      </w:r>
    </w:p>
    <w:p>
      <w:r>
        <w:rPr>
          <w:rFonts w:ascii="Times New Roman" w:hAnsi="Times New Roman"/>
          <w:b w:val="0"/>
          <w:color w:val="FF0000"/>
          <w:sz w:val="24"/>
        </w:rPr>
        <w:t>• Phân tích theo tuổi, giới, trạng thái CMH — rất chi tiết.</w:t>
      </w:r>
    </w:p>
    <w:p>
      <w:r>
        <w:rPr>
          <w:rFonts w:ascii="Times New Roman" w:hAnsi="Times New Roman"/>
          <w:b w:val="0"/>
          <w:color w:val="FF0000"/>
          <w:sz w:val="24"/>
        </w:rPr>
        <w:t>• Phát hiện khoảng cách giới mở rộng — nữ bị ảnh hưởng nặng hơn theo thời gian.</w:t>
      </w:r>
    </w:p>
    <w:p>
      <w:r>
        <w:rPr>
          <w:rFonts w:ascii="Times New Roman" w:hAnsi="Times New Roman"/>
          <w:b/>
          <w:color w:val="FF0000"/>
          <w:sz w:val="24"/>
        </w:rPr>
        <w:t>Hạn chế chi tiết:</w:t>
      </w:r>
    </w:p>
    <w:p>
      <w:r>
        <w:rPr>
          <w:rFonts w:ascii="Times New Roman" w:hAnsi="Times New Roman"/>
          <w:b w:val="0"/>
          <w:color w:val="FF0000"/>
          <w:sz w:val="24"/>
        </w:rPr>
        <w:t>• Chỉ Úc — quốc gia phương Tây phát triển, khác VN.</w:t>
      </w:r>
    </w:p>
    <w:p>
      <w:r>
        <w:rPr>
          <w:rFonts w:ascii="Times New Roman" w:hAnsi="Times New Roman"/>
          <w:b w:val="0"/>
          <w:color w:val="FF0000"/>
          <w:sz w:val="24"/>
        </w:rPr>
        <w:t>• Mẫu 2020 và 2022 nhỏ hơn nhiều (974, 961 vs 3.721) — sức mạnh thống kê giảm.</w:t>
      </w:r>
    </w:p>
    <w:p>
      <w:r>
        <w:rPr>
          <w:rFonts w:ascii="Times New Roman" w:hAnsi="Times New Roman"/>
          <w:b w:val="0"/>
          <w:color w:val="FF0000"/>
          <w:sz w:val="24"/>
        </w:rPr>
        <w:t>• K10 đo căng thẳng chung — không tách lo âu riêng.</w:t>
      </w:r>
    </w:p>
    <w:p>
      <w:r>
        <w:rPr>
          <w:rFonts w:ascii="Times New Roman" w:hAnsi="Times New Roman"/>
          <w:b w:val="0"/>
          <w:color w:val="FF0000"/>
          <w:sz w:val="24"/>
        </w:rPr>
        <w:t>• CATI (phỏng vấn điện thoại) — có thể thiên lệch so với online.</w:t>
      </w:r>
    </w:p>
    <w:p>
      <w:r>
        <w:rPr>
          <w:rFonts w:ascii="Times New Roman" w:hAnsi="Times New Roman"/>
          <w:b w:val="0"/>
          <w:color w:val="FF0000"/>
          <w:sz w:val="24"/>
        </w:rPr>
        <w:t>• Gender diverse quá ít (&lt;2%) để phân tích.</w:t>
      </w:r>
    </w:p>
    <w:p>
      <w:r>
        <w:rPr>
          <w:rFonts w:ascii="Times New Roman" w:hAnsi="Times New Roman"/>
          <w:b w:val="0"/>
          <w:color w:val="FF0000"/>
          <w:sz w:val="24"/>
        </w:rPr>
        <w:t>• Cắt ngang lặp lại — không theo dõi cùng cá nhân.</w:t>
      </w:r>
    </w:p>
    <w:p>
      <w:r>
        <w:rPr>
          <w:rFonts w:ascii="Times New Roman" w:hAnsi="Times New Roman"/>
          <w:b/>
          <w:color w:val="FF0000"/>
          <w:sz w:val="24"/>
        </w:rPr>
        <w:t>Khoảng trống NC / Gap:</w:t>
      </w:r>
    </w:p>
    <w:p>
      <w:r>
        <w:rPr>
          <w:rFonts w:ascii="Times New Roman" w:hAnsi="Times New Roman"/>
          <w:b w:val="0"/>
          <w:color w:val="FF0000"/>
          <w:sz w:val="24"/>
        </w:rPr>
        <w:t>• VN CHƯA CÓ khảo sát CMH toàn diện (đo cả bệnh + hạnh phúc).</w:t>
      </w:r>
    </w:p>
    <w:p>
      <w:r>
        <w:rPr>
          <w:rFonts w:ascii="Times New Roman" w:hAnsi="Times New Roman"/>
          <w:b w:val="0"/>
          <w:color w:val="FF0000"/>
          <w:sz w:val="24"/>
        </w:rPr>
        <w:t>• Cần áp dụng khung CMH cho dữ liệu VN — VTN VN flourishing hay stumbling?</w:t>
      </w:r>
    </w:p>
    <w:p>
      <w:r>
        <w:rPr>
          <w:rFonts w:ascii="Times New Roman" w:hAnsi="Times New Roman"/>
          <w:b w:val="0"/>
          <w:color w:val="FF0000"/>
          <w:sz w:val="24"/>
        </w:rPr>
        <w:t>• So sánh xu hướng Úc vs VN: flourishing giảm ở cả hai?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