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bài báo gốc: https://doi.org/10.1176/appi.ajp.20231037</w:t>
      </w:r>
    </w:p>
    <w:p>
      <w:pPr>
        <w:pStyle w:val="Heading1"/>
      </w:pPr>
      <w:r>
        <w:rPr>
          <w:rFonts w:ascii="Times New Roman" w:hAnsi="Times New Roman"/>
          <w:color w:val="000000"/>
        </w:rPr>
        <w:t>Phương pháp tiếp cận hiện tại và tương lai trong điều trị rối loạn lo âu ở trẻ em</w:t>
      </w:r>
    </w:p>
    <w:p>
      <w:r>
        <w:rPr>
          <w:rFonts w:ascii="Times New Roman" w:hAnsi="Times New Roman"/>
          <w:i/>
          <w:sz w:val="26"/>
        </w:rPr>
        <w:t>Current and Future Approaches to Pediatric Anxiety Disorder Treatment</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Current and Future Approaches to Pediatric Anxiety Disorder Treatment</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Phương pháp tiếp cận hiện tại và tương lai trong điều trị rối loạn lo âu ở trẻ em</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Andre Zugman, MD, PhD; Anderson M. Winkler, MD, PhD; Purnima Qamar, BS; Daniel S. Pine, MD</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Section on Development and Affective Neuroscience, National Institute of Mental Health (NIMH), National Institutes of Health (NIH), Bethesda, MD, Hoa Kỳ</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American Journal of Psychiatry — AJP (Q1, IF ≈ 18)</w:t>
            </w:r>
          </w:p>
        </w:tc>
      </w:tr>
      <w:tr>
        <w:tc>
          <w:tcPr>
            <w:tcW w:type="dxa" w:w="4702"/>
            <w:tcW w:w="1984" w:type="dxa"/>
            <w:shd w:fill="D9E2F3" w:val="clear"/>
          </w:tcPr>
          <w:p>
            <w:r>
              <w:rPr>
                <w:rFonts w:ascii="Times New Roman" w:hAnsi="Times New Roman"/>
                <w:b/>
                <w:sz w:val="20"/>
              </w:rPr>
              <w:t>Thông tin xuất bản</w:t>
            </w:r>
          </w:p>
        </w:tc>
        <w:tc>
          <w:tcPr>
            <w:tcW w:type="dxa" w:w="4702"/>
            <w:tcW w:w="7087" w:type="dxa"/>
          </w:tcPr>
          <w:p>
            <w:r>
              <w:rPr>
                <w:rFonts w:ascii="Times New Roman" w:hAnsi="Times New Roman"/>
                <w:sz w:val="20"/>
              </w:rPr>
              <w:t>2024, Vol. 181, No. 3, pp. 189–200, 12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10.1176/appi.ajp.20231037</w:t>
            </w:r>
          </w:p>
        </w:tc>
      </w:tr>
      <w:tr>
        <w:tc>
          <w:tcPr>
            <w:tcW w:type="dxa" w:w="4702"/>
            <w:tcW w:w="1984" w:type="dxa"/>
            <w:shd w:fill="D9E2F3" w:val="clear"/>
          </w:tcPr>
          <w:p>
            <w:r>
              <w:rPr>
                <w:rFonts w:ascii="Times New Roman" w:hAnsi="Times New Roman"/>
                <w:b/>
                <w:sz w:val="20"/>
              </w:rPr>
              <w:t>Loại tài liệu</w:t>
            </w:r>
          </w:p>
        </w:tc>
        <w:tc>
          <w:tcPr>
            <w:tcW w:type="dxa" w:w="4702"/>
            <w:tcW w:w="7087" w:type="dxa"/>
          </w:tcPr>
          <w:p>
            <w:r>
              <w:rPr>
                <w:rFonts w:ascii="Times New Roman" w:hAnsi="Times New Roman"/>
                <w:sz w:val="20"/>
              </w:rPr>
              <w:t>Tổng quan (Overview) — đánh giá phê bình tài liệu</w:t>
            </w:r>
          </w:p>
        </w:tc>
      </w:tr>
      <w:tr>
        <w:tc>
          <w:tcPr>
            <w:tcW w:type="dxa" w:w="4702"/>
            <w:tcW w:w="1984" w:type="dxa"/>
            <w:shd w:fill="D9E2F3" w:val="clear"/>
          </w:tcPr>
          <w:p>
            <w:r>
              <w:rPr>
                <w:rFonts w:ascii="Times New Roman" w:hAnsi="Times New Roman"/>
                <w:b/>
                <w:sz w:val="20"/>
              </w:rPr>
              <w:t>Phạm vi</w:t>
            </w:r>
          </w:p>
        </w:tc>
        <w:tc>
          <w:tcPr>
            <w:tcW w:type="dxa" w:w="4702"/>
            <w:tcW w:w="7087" w:type="dxa"/>
          </w:tcPr>
          <w:p>
            <w:r>
              <w:rPr>
                <w:rFonts w:ascii="Times New Roman" w:hAnsi="Times New Roman"/>
                <w:sz w:val="20"/>
              </w:rPr>
            </w:r>
            <w:r>
              <w:rPr>
                <w:rFonts w:ascii="Times New Roman" w:hAnsi="Times New Roman"/>
                <w:sz w:val="26"/>
              </w:rPr>
              <w:t xml:space="preserve">3 rối loạn lo âu trẻ em: </w:t>
            </w:r>
            <w:r>
              <w:rPr>
                <w:rFonts w:ascii="Times New Roman" w:hAnsi="Times New Roman"/>
                <w:b/>
                <w:color w:val="C00000"/>
                <w:sz w:val="26"/>
              </w:rPr>
              <w:t>Lo âu Tổng quát</w:t>
            </w:r>
            <w:r>
              <w:rPr>
                <w:rFonts w:ascii="Times New Roman" w:hAnsi="Times New Roman"/>
                <w:sz w:val="26"/>
              </w:rPr>
              <w:t xml:space="preserve"> (GAD), Lo âu Chia ly, Lo âu Xã hội</w:t>
            </w:r>
          </w:p>
        </w:tc>
      </w:tr>
    </w:tbl>
    <w:p>
      <w:r>
        <w:rPr>
          <w:rFonts w:ascii="Times New Roman" w:hAnsi="Times New Roman"/>
          <w:i/>
          <w:color w:val="808080"/>
          <w:sz w:val="18"/>
        </w:rPr>
        <w:t>--- Trang 189–200, American Journal of Psychiatry, Vol. 181(3), March 2024 ---</w:t>
      </w:r>
    </w:p>
    <w:p>
      <w:pPr>
        <w:pStyle w:val="Heading2"/>
      </w:pPr>
      <w:r>
        <w:rPr>
          <w:rFonts w:ascii="Times New Roman" w:hAnsi="Times New Roman"/>
          <w:color w:val="000000"/>
        </w:rPr>
        <w:t>TÓM TẮT</w:t>
      </w:r>
    </w:p>
    <w:p>
      <w:r>
        <w:rPr>
          <w:rFonts w:ascii="Times New Roman" w:hAnsi="Times New Roman"/>
          <w:color w:val="CC0000"/>
          <w:sz w:val="24"/>
        </w:rPr>
        <w:t>Tổng quan này đánh giá phê bình tài liệu về điều trị rối loạn lo âu trẻ em. Hai phương pháp điều trị đã thiết lập: liệu pháp nhận thức–hành vi (CBT) và thuốc chống trầm cảm (SSRIs). Nhiều trẻ nhận điều trị này không đạt thuyên giảm — tạo nhu cầu phương pháp mới. Sau khi tóm tắt CBT và thuốc hiện có, tác giả mô tả NC đặt nền tảng cho cải thiện điều trị, tận dụng các khám phá thần kinh khoa học cung cấp cái nhìn sâu về cơ chế điều trị thành công.</w:t>
      </w:r>
    </w:p>
    <w:p>
      <w:r>
        <w:rPr>
          <w:rFonts w:ascii="Times New Roman" w:hAnsi="Times New Roman"/>
          <w:b w:val="0"/>
          <w:i w:val="0"/>
          <w:sz w:val="24"/>
        </w:rPr>
      </w:r>
      <w:r>
        <w:rPr>
          <w:rFonts w:ascii="Times New Roman" w:hAnsi="Times New Roman"/>
          <w:sz w:val="26"/>
        </w:rPr>
        <w:t xml:space="preserve">Bài viết tập trung vào 3 rối loạn lo âu trẻ em: </w:t>
      </w:r>
      <w:r>
        <w:rPr>
          <w:rFonts w:ascii="Times New Roman" w:hAnsi="Times New Roman"/>
          <w:b/>
          <w:color w:val="C00000"/>
          <w:sz w:val="26"/>
        </w:rPr>
        <w:t>rối loạn lo âu tổng quát</w:t>
      </w:r>
      <w:r>
        <w:rPr>
          <w:rFonts w:ascii="Times New Roman" w:hAnsi="Times New Roman"/>
          <w:sz w:val="26"/>
        </w:rPr>
        <w:t xml:space="preserve"> (GAD), rối loạn lo âu chia ly (separation anxiety), và rối loạn lo âu xã hội (social anxiety). Xem xét cùng nhóm vì hầu hết NC điều trị nhắm vào chúng cùng nhau (tỷ lệ cao, đi kèm thường xuyên). Không bao gồm phobia cụ thể (tiên lượng tốt hơn) và rối loạn hoảng sợ (hiếm trước tuổi trưởng thành).</w:t>
      </w:r>
    </w:p>
    <w:p>
      <w:pPr>
        <w:pStyle w:val="Heading2"/>
      </w:pPr>
      <w:r>
        <w:rPr>
          <w:rFonts w:ascii="Times New Roman" w:hAnsi="Times New Roman"/>
          <w:color w:val="000000"/>
        </w:rPr>
        <w:t>TÓM TẮT ĐÁNH GIÁ NHANH</w:t>
      </w:r>
    </w:p>
    <w:p>
      <w:r>
        <w:rPr>
          <w:rFonts w:ascii="Times New Roman" w:hAnsi="Times New Roman"/>
          <w:b w:val="0"/>
          <w:i w:val="0"/>
          <w:sz w:val="24"/>
        </w:rPr>
        <w:t>• AJP Q1 IF ≈ 18 — tạp chí tâm thần hàng đầu thế giới. Tác giả từ NIMH/NIH — cơ quan NC SKTT hàng đầu Mỹ.</w:t>
      </w:r>
    </w:p>
    <w:p>
      <w:r>
        <w:rPr>
          <w:rFonts w:ascii="Times New Roman" w:hAnsi="Times New Roman"/>
          <w:b w:val="0"/>
          <w:i w:val="0"/>
          <w:sz w:val="24"/>
        </w:rPr>
        <w:t>• Tổng quan toàn diện: CBT + SSRIs + kết hợp + hướng tương lai (ABMT, DCS, VR, biomarker).</w:t>
      </w:r>
    </w:p>
    <w:p>
      <w:r>
        <w:rPr>
          <w:rFonts w:ascii="Times New Roman" w:hAnsi="Times New Roman"/>
          <w:b w:val="0"/>
          <w:i w:val="0"/>
          <w:sz w:val="24"/>
        </w:rPr>
        <w:t>• CAMS (Child/Adolescent Anxiety Multimodal Study): RCT LỚN NHẤT — kết hợp CBT+sertraline đạt 80,7% đáp ứng vs CBT đơn 59,7% vs SSRI đơn 54,9% vs placebo 23,7%.</w:t>
      </w:r>
    </w:p>
    <w:p>
      <w:r>
        <w:rPr>
          <w:rFonts w:ascii="Times New Roman" w:hAnsi="Times New Roman"/>
          <w:b w:val="0"/>
          <w:i w:val="0"/>
          <w:sz w:val="24"/>
        </w:rPr>
        <w:t>• NNT (Number Needed to Treat) = 4 cho SSRIs — hiệu quả mạnh.</w:t>
      </w:r>
    </w:p>
    <w:p>
      <w:r>
        <w:rPr>
          <w:rFonts w:ascii="Times New Roman" w:hAnsi="Times New Roman"/>
          <w:b w:val="0"/>
          <w:i w:val="0"/>
          <w:sz w:val="24"/>
        </w:rPr>
        <w:t>• CBT: NNT ≈ 3; phơi nhiễm (exposure) là thành phần cốt lõi; hiệu quả duy trì 6–12 tháng.</w:t>
      </w:r>
    </w:p>
    <w:p>
      <w:r>
        <w:rPr>
          <w:rFonts w:ascii="Times New Roman" w:hAnsi="Times New Roman"/>
          <w:b w:val="0"/>
          <w:i w:val="0"/>
          <w:sz w:val="24"/>
        </w:rPr>
        <w:t>• Thần kinh khoa học: amygdala, mạch đe dọa, attention bias — nền tảng cho phương pháp mới.</w:t>
      </w:r>
    </w:p>
    <w:p>
      <w:r>
        <w:rPr>
          <w:rFonts w:ascii="Times New Roman" w:hAnsi="Times New Roman"/>
          <w:b w:val="0"/>
          <w:i w:val="0"/>
          <w:sz w:val="24"/>
        </w:rPr>
        <w:t>• Vấn đề: 20–40% KHÔNG đáp ứng điều trị → cần đổi mới.</w:t>
      </w:r>
    </w:p>
    <w:p>
      <w:r>
        <w:rPr>
          <w:rFonts w:ascii="Times New Roman" w:hAnsi="Times New Roman"/>
          <w:b/>
          <w:i w:val="0"/>
          <w:sz w:val="24"/>
        </w:rPr>
        <w:t>Hạn chế:</w:t>
      </w:r>
    </w:p>
    <w:p>
      <w:r>
        <w:rPr>
          <w:rFonts w:ascii="Times New Roman" w:hAnsi="Times New Roman"/>
          <w:b w:val="0"/>
          <w:i w:val="0"/>
          <w:sz w:val="24"/>
        </w:rPr>
        <w:t>• Tổng quan narrative — KHÔNG phải phân tích tổng hợp hệ thống (systematic review/meta-analysis).</w:t>
      </w:r>
    </w:p>
    <w:p>
      <w:r>
        <w:rPr>
          <w:rFonts w:ascii="Times New Roman" w:hAnsi="Times New Roman"/>
          <w:b w:val="0"/>
          <w:i w:val="0"/>
          <w:sz w:val="24"/>
        </w:rPr>
        <w:t>• Chủ yếu dữ liệu phương Tây — ít đề cập châu Á/LMIC. BMC NMA 2025 (QT29) bao gồm thêm PE, VRET, ACT.</w:t>
      </w:r>
    </w:p>
    <w:p>
      <w:r>
        <w:rPr>
          <w:rFonts w:ascii="Times New Roman" w:hAnsi="Times New Roman"/>
          <w:b w:val="0"/>
          <w:i w:val="0"/>
          <w:sz w:val="24"/>
        </w:rPr>
        <w:t>• Hướng tương lai (ABMT, DCS, VR) chưa có ĐỦ bằng chứng RCT.</w:t>
      </w:r>
    </w:p>
    <w:p>
      <w:r>
        <w:rPr>
          <w:rFonts w:ascii="Times New Roman" w:hAnsi="Times New Roman"/>
          <w:b w:val="0"/>
          <w:i w:val="0"/>
          <w:sz w:val="24"/>
        </w:rPr>
        <w:t>• Tập trung 3 loại lo âu — không bao gồm phobia cụ thể, PTSD.</w:t>
      </w:r>
    </w:p>
    <w:p>
      <w:r>
        <w:rPr>
          <w:rFonts w:ascii="Times New Roman" w:hAnsi="Times New Roman"/>
          <w:i/>
          <w:color w:val="808080"/>
          <w:sz w:val="18"/>
        </w:rPr>
        <w:t>--- Trang 189–194, AJP, Vol. 181(3), 2024 ---</w:t>
      </w:r>
    </w:p>
    <w:p>
      <w:pPr>
        <w:pStyle w:val="Heading2"/>
      </w:pPr>
      <w:r>
        <w:rPr>
          <w:rFonts w:ascii="Times New Roman" w:hAnsi="Times New Roman"/>
          <w:color w:val="000000"/>
        </w:rPr>
        <w:t>1. ĐIỀU TRỊ ĐÃ THIẾT LẬP</w:t>
      </w:r>
    </w:p>
    <w:p>
      <w:r>
        <w:rPr>
          <w:rFonts w:ascii="Times New Roman" w:hAnsi="Times New Roman"/>
          <w:b/>
          <w:i w:val="0"/>
          <w:sz w:val="24"/>
        </w:rPr>
        <w:t>1.1. Dược lý — SSRIs</w:t>
      </w:r>
    </w:p>
    <w:p>
      <w:r>
        <w:rPr>
          <w:rFonts w:ascii="Times New Roman" w:hAnsi="Times New Roman"/>
          <w:b w:val="0"/>
          <w:i w:val="0"/>
          <w:sz w:val="24"/>
        </w:rPr>
        <w:t>Thuốc ức chế tái hấp thu serotonin chọn lọc (SSRIs) là điều trị dược lý HÀNG ĐẦU. Phân tích tổng hợp cung cấp bằng chứng mạnh mẽ về hiệu quả cho hầu hết tất cả SSRIs, với NNT (Number Needed to Treat) ≈ 4 cho đáp ứng (response). Nghĩa là: cứ 4 trẻ điều trị bằng SSRI, 1 trẻ đáp ứng nhờ thuốc (so với placebo).</w:t>
      </w:r>
    </w:p>
    <w:p>
      <w:r>
        <w:rPr>
          <w:rFonts w:ascii="Times New Roman" w:hAnsi="Times New Roman"/>
          <w:b w:val="0"/>
          <w:i w:val="0"/>
          <w:sz w:val="24"/>
        </w:rPr>
        <w:t>Các SSRI hiệu quả: fluoxetine, sertraline, fluvoxamine — hiệu quả tương đương. FDA phê duyệt: fluoxetine (trầm cảm trẻ 8+), fluvoxamine (OCD trẻ 8+), sertraline (OCD trẻ 6+). Mặc dù không phê duyệt riêng cho lo âu, SSRIs được sử dụng rộng rãi off-label.</w:t>
      </w:r>
    </w:p>
    <w:p>
      <w:r>
        <w:rPr>
          <w:rFonts w:ascii="Times New Roman" w:hAnsi="Times New Roman"/>
          <w:b w:val="0"/>
          <w:i w:val="0"/>
          <w:sz w:val="24"/>
        </w:rPr>
        <w:t>SNRIs (Serotonin-Norepinephrine Reuptake Inhibitors): duloxetine, venlafaxine — cũng hiệu quả nhưng ít dữ liệu hơn, nhiều tác dụng phụ hơn.</w:t>
      </w:r>
    </w:p>
    <w:p>
      <w:r>
        <w:rPr>
          <w:rFonts w:ascii="Times New Roman" w:hAnsi="Times New Roman"/>
          <w:b w:val="0"/>
          <w:i w:val="0"/>
          <w:sz w:val="24"/>
        </w:rPr>
        <w:t>FDA cảnh báo hộp đen: TẤT CẢ SSRIs/SNRIs có cảnh báo về nguy cơ tự tử ở VTN. Tuy nhiên, phân tích tổng hợp cho thấy nguy cơ THẤP và LỢI ÍCH vượt trội rủi ro. Tỷ lệ tự tử: NNH (Number Needed to Harm) ≈ 143 (nghĩa là cứ 143 trẻ điều trị, 1 trẻ có thể có ý tưởng tự tử do thuốc). So với NNT = 4 → lợi ích &gt;&gt; rủi ro.</w:t>
      </w:r>
    </w:p>
    <w:p>
      <w:r>
        <w:rPr>
          <w:rFonts w:ascii="Times New Roman" w:hAnsi="Times New Roman"/>
          <w:b/>
          <w:i w:val="0"/>
          <w:sz w:val="24"/>
        </w:rPr>
        <w:t>Thuốc thay thế (hàng 2–3):</w:t>
      </w:r>
    </w:p>
    <w:p>
      <w:r>
        <w:rPr>
          <w:rFonts w:ascii="Times New Roman" w:hAnsi="Times New Roman"/>
          <w:b w:val="0"/>
          <w:i w:val="0"/>
          <w:sz w:val="24"/>
        </w:rPr>
        <w:t>• Tricyclics (TCAs): KÉM HIỆU QUẢ hơn SSRIs, nhiều tác dụng phụ hơn, nguy hiểm hơn khi quá liều → hàng 3.</w:t>
      </w:r>
    </w:p>
    <w:p>
      <w:r>
        <w:rPr>
          <w:rFonts w:ascii="Times New Roman" w:hAnsi="Times New Roman"/>
          <w:b w:val="0"/>
          <w:i w:val="0"/>
          <w:sz w:val="24"/>
        </w:rPr>
        <w:t>• Benzodiazepines: chỉ 3 RCT NHỎ ở trẻ em (lớn nhất: 30 bệnh nhân alprazolam). Không có bằng chứng hiệu quả trong phân tích tổng hợp. Nguy cơ phụ thuộc. → Không khuyến nghị.</w:t>
      </w:r>
    </w:p>
    <w:p>
      <w:r>
        <w:rPr>
          <w:rFonts w:ascii="Times New Roman" w:hAnsi="Times New Roman"/>
          <w:b w:val="0"/>
          <w:i w:val="0"/>
          <w:sz w:val="24"/>
        </w:rPr>
        <w:t>• Buspirone: ít dữ liệu. 1 RCT trẻ 6–17 (n = 559): không hiệu quả hơn placebo. → Không khuyến nghị.</w:t>
      </w:r>
    </w:p>
    <w:p>
      <w:r>
        <w:rPr>
          <w:rFonts w:ascii="Times New Roman" w:hAnsi="Times New Roman"/>
          <w:b w:val="0"/>
          <w:i w:val="0"/>
          <w:sz w:val="24"/>
        </w:rPr>
        <w:t>• Gabapentin: ít bằng chứng ở trẻ em.</w:t>
      </w:r>
    </w:p>
    <w:p>
      <w:r>
        <w:rPr>
          <w:rFonts w:ascii="Times New Roman" w:hAnsi="Times New Roman"/>
          <w:b/>
          <w:i w:val="0"/>
          <w:sz w:val="24"/>
        </w:rPr>
        <w:t>1.2. CBT — Liệu pháp Nhận thức–Hành vi</w:t>
      </w:r>
    </w:p>
    <w:p>
      <w:r>
        <w:rPr>
          <w:rFonts w:ascii="Times New Roman" w:hAnsi="Times New Roman"/>
          <w:b w:val="0"/>
          <w:i w:val="0"/>
          <w:sz w:val="24"/>
        </w:rPr>
        <w:t>CBT là điều trị tâm lý HÀNG ĐẦU. Phân tích tổng hợp cho thấy hiệu quả trung bình–lớn (NNT ≈ 3 cho đáp ứng). Thành phần cốt lõi:</w:t>
      </w:r>
    </w:p>
    <w:p>
      <w:r>
        <w:rPr>
          <w:rFonts w:ascii="Times New Roman" w:hAnsi="Times New Roman"/>
          <w:b w:val="0"/>
          <w:i w:val="0"/>
          <w:sz w:val="24"/>
        </w:rPr>
        <w:t>• Giáo dục tâm lý (psychoeducation): giải thích lo âu, mô hình nhận thức–hành vi.</w:t>
      </w:r>
    </w:p>
    <w:p>
      <w:r>
        <w:rPr>
          <w:rFonts w:ascii="Times New Roman" w:hAnsi="Times New Roman"/>
          <w:b w:val="0"/>
          <w:i w:val="0"/>
          <w:sz w:val="24"/>
        </w:rPr>
        <w:t>• Tái cấu trúc nhận thức (cognitive restructuring): nhận diện và thay đổi suy nghĩ tiêu cực tự động.</w:t>
      </w:r>
    </w:p>
    <w:p>
      <w:r>
        <w:rPr>
          <w:rFonts w:ascii="Times New Roman" w:hAnsi="Times New Roman"/>
          <w:b w:val="0"/>
          <w:i w:val="0"/>
          <w:sz w:val="24"/>
        </w:rPr>
        <w:t>• PHƠI NHIỄM DẦN (graduated exposure): thành phần QUAN TRỌNG NHẤT — tiếp xúc dần với tình huống sợ hãi trong môi trường an toàn. Tạo "học tập ức chế" (inhibitory learning) — hình thành liên kết mới cạnh tranh với ký ức sợ hãi.</w:t>
      </w:r>
    </w:p>
    <w:p>
      <w:r>
        <w:rPr>
          <w:rFonts w:ascii="Times New Roman" w:hAnsi="Times New Roman"/>
          <w:b w:val="0"/>
          <w:i w:val="0"/>
          <w:sz w:val="24"/>
        </w:rPr>
        <w:t>• Thư giãn, quản lý lo lắng, củng cố tích cực.</w:t>
      </w:r>
    </w:p>
    <w:p>
      <w:r>
        <w:rPr>
          <w:rFonts w:ascii="Times New Roman" w:hAnsi="Times New Roman"/>
          <w:b w:val="0"/>
          <w:i w:val="0"/>
          <w:sz w:val="24"/>
        </w:rPr>
        <w:t>Hiệu quả duy trì 6–12 tháng sau điều trị (NC theo dõi). Tuy nhiên, 30–40% KHÔNG đáp ứng đầy đủ → cần cải thiện.</w:t>
      </w:r>
    </w:p>
    <w:p>
      <w:r>
        <w:rPr>
          <w:rFonts w:ascii="Times New Roman" w:hAnsi="Times New Roman"/>
          <w:b/>
          <w:i w:val="0"/>
          <w:sz w:val="24"/>
        </w:rPr>
        <w:t>1.3. Kết hợp CBT + SSRI</w:t>
      </w:r>
    </w:p>
    <w:p>
      <w:r>
        <w:rPr>
          <w:rFonts w:ascii="Times New Roman" w:hAnsi="Times New Roman"/>
          <w:b w:val="0"/>
          <w:i w:val="0"/>
          <w:sz w:val="24"/>
        </w:rPr>
        <w:t>CAMS (Child/Adolescent Anxiety Multimodal Study) — RCT LỚN NHẤT và quan trọng nhất:</w:t>
      </w:r>
    </w:p>
    <w:p>
      <w:pPr>
        <w:pStyle w:val="Heading3"/>
      </w:pPr>
      <w:r>
        <w:rPr>
          <w:rFonts w:ascii="Times New Roman" w:hAnsi="Times New Roman"/>
          <w:color w:val="000000"/>
        </w:rPr>
        <w:t>Bảng 1. Kết quả CAMS — Kết hợp CBT + SSRI cho lo âu trẻ em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Phương pháp</w:t>
            </w:r>
          </w:p>
        </w:tc>
        <w:tc>
          <w:tcPr>
            <w:tcW w:type="dxa" w:w="2351"/>
            <w:tcW w:w="1417" w:type="dxa"/>
            <w:shd w:fill="D9E2F3" w:val="clear"/>
          </w:tcPr>
          <w:p>
            <w:pPr>
              <w:jc w:val="center"/>
            </w:pPr>
            <w:r>
              <w:rPr>
                <w:rFonts w:ascii="Times New Roman" w:hAnsi="Times New Roman"/>
                <w:b/>
                <w:sz w:val="20"/>
              </w:rPr>
              <w:t>Tỷ lệ đáp ứng</w:t>
            </w:r>
          </w:p>
        </w:tc>
        <w:tc>
          <w:tcPr>
            <w:tcW w:type="dxa" w:w="2351"/>
            <w:tcW w:w="1417" w:type="dxa"/>
            <w:shd w:fill="D9E2F3" w:val="clear"/>
          </w:tcPr>
          <w:p>
            <w:pPr>
              <w:jc w:val="center"/>
            </w:pPr>
            <w:r>
              <w:rPr>
                <w:rFonts w:ascii="Times New Roman" w:hAnsi="Times New Roman"/>
                <w:b/>
                <w:sz w:val="20"/>
              </w:rPr>
              <w:t>NNT vs placebo</w:t>
            </w:r>
          </w:p>
        </w:tc>
        <w:tc>
          <w:tcPr>
            <w:tcW w:type="dxa" w:w="2351"/>
            <w:tcW w:w="2551" w:type="dxa"/>
            <w:shd w:fill="D9E2F3" w:val="clear"/>
          </w:tcPr>
          <w:p>
            <w:pPr>
              <w:jc w:val="center"/>
            </w:pPr>
            <w:r>
              <w:rPr>
                <w:rFonts w:ascii="Times New Roman" w:hAnsi="Times New Roman"/>
                <w:b/>
                <w:sz w:val="20"/>
              </w:rPr>
              <w:t>Ghi chú</w:t>
            </w:r>
          </w:p>
        </w:tc>
      </w:tr>
      <w:tr>
        <w:tc>
          <w:tcPr>
            <w:tcW w:type="dxa" w:w="2351"/>
            <w:tcW w:w="2268" w:type="dxa"/>
          </w:tcPr>
          <w:p>
            <w:r>
              <w:rPr>
                <w:rFonts w:ascii="Times New Roman" w:hAnsi="Times New Roman"/>
                <w:sz w:val="20"/>
              </w:rPr>
              <w:t>CBT + Sertraline (kết hợp)</w:t>
            </w:r>
          </w:p>
        </w:tc>
        <w:tc>
          <w:tcPr>
            <w:tcW w:type="dxa" w:w="2351"/>
            <w:tcW w:w="1417" w:type="dxa"/>
          </w:tcPr>
          <w:p>
            <w:r>
              <w:rPr>
                <w:rFonts w:ascii="Times New Roman" w:hAnsi="Times New Roman"/>
                <w:sz w:val="20"/>
              </w:rPr>
              <w:t>80,7%</w:t>
            </w:r>
          </w:p>
        </w:tc>
        <w:tc>
          <w:tcPr>
            <w:tcW w:type="dxa" w:w="2351"/>
            <w:tcW w:w="1417" w:type="dxa"/>
          </w:tcPr>
          <w:p>
            <w:r>
              <w:rPr>
                <w:rFonts w:ascii="Times New Roman" w:hAnsi="Times New Roman"/>
                <w:sz w:val="20"/>
              </w:rPr>
              <w:t>~2</w:t>
            </w:r>
          </w:p>
        </w:tc>
        <w:tc>
          <w:tcPr>
            <w:tcW w:type="dxa" w:w="2351"/>
            <w:tcW w:w="2551" w:type="dxa"/>
          </w:tcPr>
          <w:p>
            <w:r>
              <w:rPr>
                <w:rFonts w:ascii="Times New Roman" w:hAnsi="Times New Roman"/>
                <w:sz w:val="20"/>
              </w:rPr>
              <w:t>HIỆU QUẢ NHẤT</w:t>
            </w:r>
          </w:p>
        </w:tc>
      </w:tr>
      <w:tr>
        <w:tc>
          <w:tcPr>
            <w:tcW w:type="dxa" w:w="2351"/>
            <w:tcW w:w="2268" w:type="dxa"/>
          </w:tcPr>
          <w:p>
            <w:r>
              <w:rPr>
                <w:rFonts w:ascii="Times New Roman" w:hAnsi="Times New Roman"/>
                <w:sz w:val="20"/>
              </w:rPr>
              <w:t>CBT đơn</w:t>
            </w:r>
          </w:p>
        </w:tc>
        <w:tc>
          <w:tcPr>
            <w:tcW w:type="dxa" w:w="2351"/>
            <w:tcW w:w="1417" w:type="dxa"/>
          </w:tcPr>
          <w:p>
            <w:r>
              <w:rPr>
                <w:rFonts w:ascii="Times New Roman" w:hAnsi="Times New Roman"/>
                <w:sz w:val="20"/>
              </w:rPr>
              <w:t>59,7%</w:t>
            </w:r>
          </w:p>
        </w:tc>
        <w:tc>
          <w:tcPr>
            <w:tcW w:type="dxa" w:w="2351"/>
            <w:tcW w:w="1417" w:type="dxa"/>
          </w:tcPr>
          <w:p>
            <w:r>
              <w:rPr>
                <w:rFonts w:ascii="Times New Roman" w:hAnsi="Times New Roman"/>
                <w:sz w:val="20"/>
              </w:rPr>
              <w:t>~3</w:t>
            </w:r>
          </w:p>
        </w:tc>
        <w:tc>
          <w:tcPr>
            <w:tcW w:type="dxa" w:w="2351"/>
            <w:tcW w:w="2551" w:type="dxa"/>
          </w:tcPr>
          <w:p>
            <w:r>
              <w:rPr>
                <w:rFonts w:ascii="Times New Roman" w:hAnsi="Times New Roman"/>
                <w:sz w:val="20"/>
              </w:rPr>
              <w:t>Phơi nhiễm là thành phần chính</w:t>
            </w:r>
          </w:p>
        </w:tc>
      </w:tr>
      <w:tr>
        <w:tc>
          <w:tcPr>
            <w:tcW w:type="dxa" w:w="2351"/>
            <w:tcW w:w="2268" w:type="dxa"/>
          </w:tcPr>
          <w:p>
            <w:r>
              <w:rPr>
                <w:rFonts w:ascii="Times New Roman" w:hAnsi="Times New Roman"/>
                <w:sz w:val="20"/>
              </w:rPr>
              <w:t>Sertraline đơn</w:t>
            </w:r>
          </w:p>
        </w:tc>
        <w:tc>
          <w:tcPr>
            <w:tcW w:type="dxa" w:w="2351"/>
            <w:tcW w:w="1417" w:type="dxa"/>
          </w:tcPr>
          <w:p>
            <w:r>
              <w:rPr>
                <w:rFonts w:ascii="Times New Roman" w:hAnsi="Times New Roman"/>
                <w:sz w:val="20"/>
              </w:rPr>
              <w:t>54,9%</w:t>
            </w:r>
          </w:p>
        </w:tc>
        <w:tc>
          <w:tcPr>
            <w:tcW w:type="dxa" w:w="2351"/>
            <w:tcW w:w="1417" w:type="dxa"/>
          </w:tcPr>
          <w:p>
            <w:r>
              <w:rPr>
                <w:rFonts w:ascii="Times New Roman" w:hAnsi="Times New Roman"/>
                <w:sz w:val="20"/>
              </w:rPr>
              <w:t>~4</w:t>
            </w:r>
          </w:p>
        </w:tc>
        <w:tc>
          <w:tcPr>
            <w:tcW w:type="dxa" w:w="2351"/>
            <w:tcW w:w="2551" w:type="dxa"/>
          </w:tcPr>
          <w:p>
            <w:r>
              <w:rPr>
                <w:rFonts w:ascii="Times New Roman" w:hAnsi="Times New Roman"/>
                <w:sz w:val="20"/>
              </w:rPr>
              <w:t>Cảnh báo FDA tự tử</w:t>
            </w:r>
          </w:p>
        </w:tc>
      </w:tr>
      <w:tr>
        <w:tc>
          <w:tcPr>
            <w:tcW w:type="dxa" w:w="2351"/>
            <w:tcW w:w="2268" w:type="dxa"/>
          </w:tcPr>
          <w:p>
            <w:r>
              <w:rPr>
                <w:rFonts w:ascii="Times New Roman" w:hAnsi="Times New Roman"/>
                <w:sz w:val="20"/>
              </w:rPr>
              <w:t>Placebo</w:t>
            </w:r>
          </w:p>
        </w:tc>
        <w:tc>
          <w:tcPr>
            <w:tcW w:type="dxa" w:w="2351"/>
            <w:tcW w:w="1417" w:type="dxa"/>
          </w:tcPr>
          <w:p>
            <w:r>
              <w:rPr>
                <w:rFonts w:ascii="Times New Roman" w:hAnsi="Times New Roman"/>
                <w:sz w:val="20"/>
              </w:rPr>
              <w:t>23,7%</w:t>
            </w:r>
          </w:p>
        </w:tc>
        <w:tc>
          <w:tcPr>
            <w:tcW w:type="dxa" w:w="2351"/>
            <w:tcW w:w="1417" w:type="dxa"/>
          </w:tcPr>
          <w:p>
            <w:r>
              <w:rPr>
                <w:rFonts w:ascii="Times New Roman" w:hAnsi="Times New Roman"/>
                <w:sz w:val="20"/>
              </w:rPr>
              <w:t>—</w:t>
            </w:r>
          </w:p>
        </w:tc>
        <w:tc>
          <w:tcPr>
            <w:tcW w:type="dxa" w:w="2351"/>
            <w:tcW w:w="2551" w:type="dxa"/>
          </w:tcPr>
          <w:p>
            <w:r>
              <w:rPr>
                <w:rFonts w:ascii="Times New Roman" w:hAnsi="Times New Roman"/>
                <w:sz w:val="20"/>
              </w:rPr>
              <w:t>Hiệu ứng placebo đáng kể</w:t>
            </w:r>
          </w:p>
        </w:tc>
      </w:tr>
    </w:tbl>
    <w:p>
      <w:r>
        <w:rPr>
          <w:rFonts w:ascii="Times New Roman" w:hAnsi="Times New Roman"/>
          <w:b w:val="0"/>
          <w:i/>
          <w:sz w:val="18"/>
        </w:rPr>
        <w:t>CAMS: N = 488 trẻ 7–17 tuổi, 3 loại lo âu (GAD, SAD, social anxiety). 12 tuần điều trị. Đáp ứng = CGI-I ≤ 2. Kết hợp VƯỢT TRỘI cả đơn trị (Walkup et al. 2008, NEJM).</w:t>
      </w:r>
    </w:p>
    <w:p>
      <w:pPr>
        <w:pStyle w:val="Heading3"/>
      </w:pPr>
      <w:r>
        <w:rPr>
          <w:rFonts w:ascii="Times New Roman" w:hAnsi="Times New Roman"/>
          <w:color w:val="000000"/>
        </w:rPr>
        <w:t>Bảng 2. Tổng hợp phân tích tổng hợp gần đây về điều trị lo âu trẻ em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Phân tích tổng hợp</w:t>
            </w:r>
          </w:p>
        </w:tc>
        <w:tc>
          <w:tcPr>
            <w:tcW w:type="dxa" w:w="2351"/>
            <w:tcW w:w="1417" w:type="dxa"/>
            <w:shd w:fill="D9E2F3" w:val="clear"/>
          </w:tcPr>
          <w:p>
            <w:pPr>
              <w:jc w:val="center"/>
            </w:pPr>
            <w:r>
              <w:rPr>
                <w:rFonts w:ascii="Times New Roman" w:hAnsi="Times New Roman"/>
                <w:b/>
                <w:sz w:val="20"/>
              </w:rPr>
              <w:t>Phương pháp</w:t>
            </w:r>
          </w:p>
        </w:tc>
        <w:tc>
          <w:tcPr>
            <w:tcW w:type="dxa" w:w="2351"/>
            <w:tcW w:w="1417" w:type="dxa"/>
            <w:shd w:fill="D9E2F3" w:val="clear"/>
          </w:tcPr>
          <w:p>
            <w:pPr>
              <w:jc w:val="center"/>
            </w:pPr>
            <w:r>
              <w:rPr>
                <w:rFonts w:ascii="Times New Roman" w:hAnsi="Times New Roman"/>
                <w:b/>
                <w:sz w:val="20"/>
              </w:rPr>
              <w:t>Số NC/Mẫu</w:t>
            </w:r>
          </w:p>
        </w:tc>
        <w:tc>
          <w:tcPr>
            <w:tcW w:type="dxa" w:w="2351"/>
            <w:tcW w:w="3118" w:type="dxa"/>
            <w:shd w:fill="D9E2F3" w:val="clear"/>
          </w:tcPr>
          <w:p>
            <w:pPr>
              <w:jc w:val="center"/>
            </w:pPr>
            <w:r>
              <w:rPr>
                <w:rFonts w:ascii="Times New Roman" w:hAnsi="Times New Roman"/>
                <w:b/>
                <w:sz w:val="20"/>
              </w:rPr>
              <w:t>Phát hiện chính</w:t>
            </w:r>
          </w:p>
        </w:tc>
      </w:tr>
      <w:tr>
        <w:tc>
          <w:tcPr>
            <w:tcW w:type="dxa" w:w="2351"/>
            <w:tcW w:w="1701" w:type="dxa"/>
          </w:tcPr>
          <w:p>
            <w:r>
              <w:rPr>
                <w:rFonts w:ascii="Times New Roman" w:hAnsi="Times New Roman"/>
                <w:sz w:val="20"/>
              </w:rPr>
              <w:t>Strawn et al. 2023</w:t>
            </w:r>
          </w:p>
        </w:tc>
        <w:tc>
          <w:tcPr>
            <w:tcW w:type="dxa" w:w="2351"/>
            <w:tcW w:w="1417" w:type="dxa"/>
          </w:tcPr>
          <w:p>
            <w:r>
              <w:rPr>
                <w:rFonts w:ascii="Times New Roman" w:hAnsi="Times New Roman"/>
                <w:sz w:val="20"/>
              </w:rPr>
              <w:t>SSRIs/SNRIs</w:t>
            </w:r>
          </w:p>
        </w:tc>
        <w:tc>
          <w:tcPr>
            <w:tcW w:type="dxa" w:w="2351"/>
            <w:tcW w:w="1417" w:type="dxa"/>
          </w:tcPr>
          <w:p>
            <w:r>
              <w:rPr>
                <w:rFonts w:ascii="Times New Roman" w:hAnsi="Times New Roman"/>
                <w:sz w:val="20"/>
              </w:rPr>
              <w:t>22 RCT, ~3.500</w:t>
            </w:r>
          </w:p>
        </w:tc>
        <w:tc>
          <w:tcPr>
            <w:tcW w:type="dxa" w:w="2351"/>
            <w:tcW w:w="3118" w:type="dxa"/>
          </w:tcPr>
          <w:p>
            <w:r>
              <w:rPr>
                <w:rFonts w:ascii="Times New Roman" w:hAnsi="Times New Roman"/>
                <w:sz w:val="20"/>
              </w:rPr>
              <w:t>NNT=4; tất cả SSRIs hiệu quả; SNRIs cũng nhưng tác dụng phụ nhiều hơn</w:t>
            </w:r>
          </w:p>
        </w:tc>
      </w:tr>
      <w:tr>
        <w:tc>
          <w:tcPr>
            <w:tcW w:type="dxa" w:w="2351"/>
            <w:tcW w:w="1701" w:type="dxa"/>
          </w:tcPr>
          <w:p>
            <w:r>
              <w:rPr>
                <w:rFonts w:ascii="Times New Roman" w:hAnsi="Times New Roman"/>
                <w:sz w:val="20"/>
              </w:rPr>
              <w:t>James et al. 2020 (Cochrane)</w:t>
            </w:r>
          </w:p>
        </w:tc>
        <w:tc>
          <w:tcPr>
            <w:tcW w:type="dxa" w:w="2351"/>
            <w:tcW w:w="1417" w:type="dxa"/>
          </w:tcPr>
          <w:p>
            <w:r>
              <w:rPr>
                <w:rFonts w:ascii="Times New Roman" w:hAnsi="Times New Roman"/>
                <w:sz w:val="20"/>
              </w:rPr>
              <w:t>CBT vs đối chứng</w:t>
            </w:r>
          </w:p>
        </w:tc>
        <w:tc>
          <w:tcPr>
            <w:tcW w:type="dxa" w:w="2351"/>
            <w:tcW w:w="1417" w:type="dxa"/>
          </w:tcPr>
          <w:p>
            <w:r>
              <w:rPr>
                <w:rFonts w:ascii="Times New Roman" w:hAnsi="Times New Roman"/>
                <w:sz w:val="20"/>
              </w:rPr>
              <w:t>87 NC, ~5.900</w:t>
            </w:r>
          </w:p>
        </w:tc>
        <w:tc>
          <w:tcPr>
            <w:tcW w:type="dxa" w:w="2351"/>
            <w:tcW w:w="3118" w:type="dxa"/>
          </w:tcPr>
          <w:p>
            <w:r>
              <w:rPr>
                <w:rFonts w:ascii="Times New Roman" w:hAnsi="Times New Roman"/>
                <w:sz w:val="20"/>
              </w:rPr>
              <w:t>CBT hiệu quả; NNT≈3; phơi nhiễm quan trọng nhất</w:t>
            </w:r>
          </w:p>
        </w:tc>
      </w:tr>
      <w:tr>
        <w:tc>
          <w:tcPr>
            <w:tcW w:type="dxa" w:w="2351"/>
            <w:tcW w:w="1701" w:type="dxa"/>
          </w:tcPr>
          <w:p>
            <w:r>
              <w:rPr>
                <w:rFonts w:ascii="Times New Roman" w:hAnsi="Times New Roman"/>
                <w:sz w:val="20"/>
              </w:rPr>
              <w:t>Walkup et al. 2008 (CAMS)</w:t>
            </w:r>
          </w:p>
        </w:tc>
        <w:tc>
          <w:tcPr>
            <w:tcW w:type="dxa" w:w="2351"/>
            <w:tcW w:w="1417" w:type="dxa"/>
          </w:tcPr>
          <w:p>
            <w:r>
              <w:rPr>
                <w:rFonts w:ascii="Times New Roman" w:hAnsi="Times New Roman"/>
                <w:sz w:val="20"/>
              </w:rPr>
              <w:t>CBT+SSRI vs đơn</w:t>
            </w:r>
          </w:p>
        </w:tc>
        <w:tc>
          <w:tcPr>
            <w:tcW w:type="dxa" w:w="2351"/>
            <w:tcW w:w="1417" w:type="dxa"/>
          </w:tcPr>
          <w:p>
            <w:r>
              <w:rPr>
                <w:rFonts w:ascii="Times New Roman" w:hAnsi="Times New Roman"/>
                <w:sz w:val="20"/>
              </w:rPr>
              <w:t>488 trẻ, 1 RCT</w:t>
            </w:r>
          </w:p>
        </w:tc>
        <w:tc>
          <w:tcPr>
            <w:tcW w:type="dxa" w:w="2351"/>
            <w:tcW w:w="3118" w:type="dxa"/>
          </w:tcPr>
          <w:p>
            <w:r>
              <w:rPr>
                <w:rFonts w:ascii="Times New Roman" w:hAnsi="Times New Roman"/>
                <w:sz w:val="20"/>
              </w:rPr>
              <w:t>Kết hợp 80,7% &gt; CBT 59,7% &gt; SSRI 54,9% &gt; placebo 23,7%</w:t>
            </w:r>
          </w:p>
        </w:tc>
      </w:tr>
      <w:tr>
        <w:tc>
          <w:tcPr>
            <w:tcW w:type="dxa" w:w="2351"/>
            <w:tcW w:w="1701" w:type="dxa"/>
          </w:tcPr>
          <w:p>
            <w:r>
              <w:rPr>
                <w:rFonts w:ascii="Times New Roman" w:hAnsi="Times New Roman"/>
                <w:sz w:val="20"/>
              </w:rPr>
              <w:t>Dobson et al. 2019</w:t>
            </w:r>
          </w:p>
        </w:tc>
        <w:tc>
          <w:tcPr>
            <w:tcW w:type="dxa" w:w="2351"/>
            <w:tcW w:w="1417" w:type="dxa"/>
          </w:tcPr>
          <w:p>
            <w:r>
              <w:rPr>
                <w:rFonts w:ascii="Times New Roman" w:hAnsi="Times New Roman"/>
                <w:sz w:val="20"/>
              </w:rPr>
              <w:t>Duy trì dài hạn</w:t>
            </w:r>
          </w:p>
        </w:tc>
        <w:tc>
          <w:tcPr>
            <w:tcW w:type="dxa" w:w="2351"/>
            <w:tcW w:w="1417" w:type="dxa"/>
          </w:tcPr>
          <w:p>
            <w:r>
              <w:rPr>
                <w:rFonts w:ascii="Times New Roman" w:hAnsi="Times New Roman"/>
                <w:sz w:val="20"/>
              </w:rPr>
              <w:t>Nhiều NC</w:t>
            </w:r>
          </w:p>
        </w:tc>
        <w:tc>
          <w:tcPr>
            <w:tcW w:type="dxa" w:w="2351"/>
            <w:tcW w:w="3118" w:type="dxa"/>
          </w:tcPr>
          <w:p>
            <w:r>
              <w:rPr>
                <w:rFonts w:ascii="Times New Roman" w:hAnsi="Times New Roman"/>
                <w:sz w:val="20"/>
              </w:rPr>
              <w:t>CBT hiệu quả ≥6 tháng; SSRI cần duy trì lâu hơn</w:t>
            </w:r>
          </w:p>
        </w:tc>
      </w:tr>
      <w:tr>
        <w:tc>
          <w:tcPr>
            <w:tcW w:type="dxa" w:w="2351"/>
            <w:tcW w:w="1701" w:type="dxa"/>
          </w:tcPr>
          <w:p>
            <w:r>
              <w:rPr>
                <w:rFonts w:ascii="Times New Roman" w:hAnsi="Times New Roman"/>
                <w:sz w:val="20"/>
              </w:rPr>
              <w:t>Li et al. 2025 (QT29, NMA)</w:t>
            </w:r>
          </w:p>
        </w:tc>
        <w:tc>
          <w:tcPr>
            <w:tcW w:type="dxa" w:w="2351"/>
            <w:tcW w:w="1417" w:type="dxa"/>
          </w:tcPr>
          <w:p>
            <w:r>
              <w:rPr>
                <w:rFonts w:ascii="Times New Roman" w:hAnsi="Times New Roman"/>
                <w:sz w:val="20"/>
              </w:rPr>
              <w:t>ACT/CBT/PE/VRET</w:t>
            </w:r>
          </w:p>
        </w:tc>
        <w:tc>
          <w:tcPr>
            <w:tcW w:type="dxa" w:w="2351"/>
            <w:tcW w:w="1417" w:type="dxa"/>
          </w:tcPr>
          <w:p>
            <w:r>
              <w:rPr>
                <w:rFonts w:ascii="Times New Roman" w:hAnsi="Times New Roman"/>
                <w:sz w:val="20"/>
              </w:rPr>
              <w:t>30 RCT, 1.711</w:t>
            </w:r>
          </w:p>
        </w:tc>
        <w:tc>
          <w:tcPr>
            <w:tcW w:type="dxa" w:w="2351"/>
            <w:tcW w:w="3118" w:type="dxa"/>
          </w:tcPr>
          <w:p>
            <w:r>
              <w:rPr>
                <w:rFonts w:ascii="Times New Roman" w:hAnsi="Times New Roman"/>
                <w:sz w:val="20"/>
              </w:rPr>
              <w:t>ACT hạng 1 (SUCRA 0,69); CBT hạng 2 (0,66); PE+VRET cũng hiệu quả</w:t>
            </w:r>
          </w:p>
        </w:tc>
      </w:tr>
    </w:tbl>
    <w:p>
      <w:r>
        <w:rPr>
          <w:rFonts w:ascii="Times New Roman" w:hAnsi="Times New Roman"/>
          <w:i/>
          <w:color w:val="808080"/>
          <w:sz w:val="18"/>
        </w:rPr>
        <w:t>--- Trang 194–197, AJP, Vol. 181(3), 2024 ---</w:t>
      </w:r>
    </w:p>
    <w:p>
      <w:pPr>
        <w:pStyle w:val="Heading2"/>
      </w:pPr>
      <w:r>
        <w:rPr>
          <w:rFonts w:ascii="Times New Roman" w:hAnsi="Times New Roman"/>
          <w:color w:val="000000"/>
        </w:rPr>
        <w:t>2. HƯỚNG CẢI THIỆN NGẮN HẠN</w:t>
      </w:r>
    </w:p>
    <w:p>
      <w:r>
        <w:rPr>
          <w:rFonts w:ascii="Times New Roman" w:hAnsi="Times New Roman"/>
          <w:b/>
          <w:i w:val="0"/>
          <w:sz w:val="24"/>
        </w:rPr>
        <w:t>2.1. Attention Bias Modification Training (ABMT)</w:t>
      </w:r>
    </w:p>
    <w:p>
      <w:r>
        <w:rPr>
          <w:rFonts w:ascii="Times New Roman" w:hAnsi="Times New Roman"/>
          <w:b w:val="0"/>
          <w:i w:val="0"/>
          <w:sz w:val="24"/>
        </w:rPr>
        <w:t>Huấn luyện chú ý: tập luyện hệ thống để "chuyển" chú ý TRÁNH xa kích thích đe dọa. Dựa trên phát hiện: người lo âu có THIÊN LỆCH CHÚ Ý hướng đến đe dọa (attention bias to threat) — liên quan hoạt động amygdala tăng cường. ABMT sử dụng bài tập dot-probe để huấn luyện chú ý tránh mặt sợ hãi/giận dữ.</w:t>
      </w:r>
    </w:p>
    <w:p>
      <w:r>
        <w:rPr>
          <w:rFonts w:ascii="Times New Roman" w:hAnsi="Times New Roman"/>
          <w:b w:val="0"/>
          <w:i w:val="0"/>
          <w:sz w:val="24"/>
        </w:rPr>
        <w:t>Kết quả LẪN LỘN: một số NC cho thấy hiệu quả nhỏ–trung bình, nhưng nhiều NC không tìm thấy. Phân tích tổng hợp gần đây (Cristea et al. 2015): hiệu ứng NHỎ. Tuy nhiên, kết hợp ABMT + CBT có thể hiệu quả hơn đơn lẻ — "tăng cường" CBT bằng chuẩn bị chú ý trước phơi nhiễm.</w:t>
      </w:r>
    </w:p>
    <w:p>
      <w:r>
        <w:rPr>
          <w:rFonts w:ascii="Times New Roman" w:hAnsi="Times New Roman"/>
          <w:b/>
          <w:i w:val="0"/>
          <w:sz w:val="24"/>
        </w:rPr>
        <w:t>2.2. D-cycloserine (DCS)</w:t>
      </w:r>
    </w:p>
    <w:p>
      <w:r>
        <w:rPr>
          <w:rFonts w:ascii="Times New Roman" w:hAnsi="Times New Roman"/>
          <w:b w:val="0"/>
          <w:i w:val="0"/>
          <w:sz w:val="24"/>
        </w:rPr>
        <w:t>DCS là kháng sinh có tác dụng phụ: tăng cường glutamate tại receptor NMDA → tăng cường consolidation (củng cố) ký ức mới trong học tập phơi nhiễm. Lý thuyết: nếu CBT hoạt động qua "học tập ức chế", DCS có thể tăng cường quá trình này.</w:t>
      </w:r>
    </w:p>
    <w:p>
      <w:r>
        <w:rPr>
          <w:rFonts w:ascii="Times New Roman" w:hAnsi="Times New Roman"/>
          <w:b w:val="0"/>
          <w:i w:val="0"/>
          <w:sz w:val="24"/>
        </w:rPr>
        <w:t>Kết quả ở người lớn: hiệu quả NHỎ nhưng đáng kể (phân tích tổng hợp Mataix-Cols et al. 2017). Ở trẻ em: RẤT ÍT dữ liệu — 2 RCT nhỏ, kết quả lẫn lộn. Cần thêm NC.</w:t>
      </w:r>
    </w:p>
    <w:p>
      <w:r>
        <w:rPr>
          <w:rFonts w:ascii="Times New Roman" w:hAnsi="Times New Roman"/>
          <w:b/>
          <w:i w:val="0"/>
          <w:sz w:val="24"/>
        </w:rPr>
        <w:t>2.3. Thực tế ảo (Virtual Reality — VR)</w:t>
      </w:r>
    </w:p>
    <w:p>
      <w:r>
        <w:rPr>
          <w:rFonts w:ascii="Times New Roman" w:hAnsi="Times New Roman"/>
          <w:b w:val="0"/>
          <w:i w:val="0"/>
          <w:sz w:val="24"/>
        </w:rPr>
        <w:t>VR cho phép phơi nhiễm trong môi trường ảo — thuận tiện (không cần đến tình huống thực), kiểm soát được (điều chỉnh mức độ kích thích), lặp lại được. Đặc biệt hữu ích cho phobia cụ thể và lo âu xã hội.</w:t>
      </w:r>
    </w:p>
    <w:p>
      <w:r>
        <w:rPr>
          <w:rFonts w:ascii="Times New Roman" w:hAnsi="Times New Roman"/>
          <w:b w:val="0"/>
          <w:i w:val="0"/>
          <w:sz w:val="24"/>
        </w:rPr>
        <w:t>Tuy nhiên, ÍT RCT ở trẻ em. BMC NMA 2025 (QT29, Li et al.): VRET xếp hạng 3 (SUCRA 0,51) — hiệu quả nhưng sau ACT và CBT. Cần thêm NC với mẫu lớn hơn.</w:t>
      </w:r>
    </w:p>
    <w:p>
      <w:r>
        <w:rPr>
          <w:rFonts w:ascii="Times New Roman" w:hAnsi="Times New Roman"/>
          <w:b/>
          <w:i w:val="0"/>
          <w:sz w:val="24"/>
        </w:rPr>
        <w:t>2.4. Can thiệp dựa trên internet/số (digital)</w:t>
      </w:r>
    </w:p>
    <w:p>
      <w:r>
        <w:rPr>
          <w:rFonts w:ascii="Times New Roman" w:hAnsi="Times New Roman"/>
          <w:b w:val="0"/>
          <w:i w:val="0"/>
          <w:sz w:val="24"/>
        </w:rPr>
        <w:t>CBT trực tuyến (iCBT) — tiềm năng mở rộng tiếp cận, đặc biệt ở vùng thiếu nhân lực. Tuy nhiên, hiệu quả thường thấp hơn CBT trực tiếp, tỷ lệ bỏ cuộc cao hơn. Cần nghiên cứu thêm về tối ưu hóa.</w:t>
      </w:r>
    </w:p>
    <w:p>
      <w:r>
        <w:rPr>
          <w:rFonts w:ascii="Times New Roman" w:hAnsi="Times New Roman"/>
          <w:i/>
          <w:color w:val="808080"/>
          <w:sz w:val="18"/>
        </w:rPr>
        <w:t>--- Trang 197–199, AJP, Vol. 181(3), 2024 ---</w:t>
      </w:r>
    </w:p>
    <w:p>
      <w:pPr>
        <w:pStyle w:val="Heading2"/>
      </w:pPr>
      <w:r>
        <w:rPr>
          <w:rFonts w:ascii="Times New Roman" w:hAnsi="Times New Roman"/>
          <w:color w:val="000000"/>
        </w:rPr>
        <w:t>3. HƯỚNG ĐỔI MỚI DÀI HẠN — THẦN KINH KHOA HỌC</w:t>
      </w:r>
    </w:p>
    <w:p>
      <w:r>
        <w:rPr>
          <w:rFonts w:ascii="Times New Roman" w:hAnsi="Times New Roman"/>
          <w:b/>
          <w:i w:val="0"/>
          <w:sz w:val="24"/>
        </w:rPr>
        <w:t>3.1. Mạch thần kinh đe dọa</w:t>
      </w:r>
    </w:p>
    <w:p>
      <w:r>
        <w:rPr>
          <w:rFonts w:ascii="Times New Roman" w:hAnsi="Times New Roman"/>
          <w:b w:val="0"/>
          <w:i w:val="0"/>
          <w:sz w:val="24"/>
        </w:rPr>
        <w:t>Lo âu liên quan đến rối loạn chức năng trong mạch thần kinh phản ứng đe dọa ở động vật có vú — BẢO TỒN XUYÊN LOÀI (từ chuột đến người). Amygdala — trung tâm xử lý đe dọa — hoạt động TĂNG CƯỜNG ở trẻ lo âu khi tiếp xúc khuôn mặt giận dữ/sợ hãi (fMRI). Vỏ não trước trán (prefrontal cortex) — điều tiết amygdala — chức năng yếu hơn ở trẻ lo âu.</w:t>
      </w:r>
    </w:p>
    <w:p>
      <w:r>
        <w:rPr>
          <w:rFonts w:ascii="Times New Roman" w:hAnsi="Times New Roman"/>
          <w:b w:val="0"/>
          <w:i w:val="0"/>
          <w:sz w:val="24"/>
        </w:rPr>
        <w:t>Hàm ý: can thiệp nhắm vào TĂNG CƯỜNG điều tiết trước trán → amygdala có thể hiệu quả. CBT hoạt động một phần qua cơ chế này (phơi nhiễm → "học tập ức chế" → tăng kiểm soát trước trán lên amygdala).</w:t>
      </w:r>
    </w:p>
    <w:p>
      <w:r>
        <w:rPr>
          <w:rFonts w:ascii="Times New Roman" w:hAnsi="Times New Roman"/>
          <w:b/>
          <w:i w:val="0"/>
          <w:sz w:val="24"/>
        </w:rPr>
        <w:t>3.2. Biomarker dự báo đáp ứng điều trị</w:t>
      </w:r>
    </w:p>
    <w:p>
      <w:r>
        <w:rPr>
          <w:rFonts w:ascii="Times New Roman" w:hAnsi="Times New Roman"/>
          <w:b w:val="0"/>
          <w:i w:val="0"/>
          <w:sz w:val="24"/>
        </w:rPr>
        <w:t>Nếu xác định TRƯỚC ai đáp ứng CBT vs SSRI: cá nhân hóa điều trị (precision medicine). Ứng viên biomarker:</w:t>
      </w:r>
    </w:p>
    <w:p>
      <w:r>
        <w:rPr>
          <w:rFonts w:ascii="Times New Roman" w:hAnsi="Times New Roman"/>
          <w:b w:val="0"/>
          <w:i w:val="0"/>
          <w:sz w:val="24"/>
        </w:rPr>
        <w:t>• fMRI amygdala phản ứng đe dọa: hoạt động amygdala CAO trước điều trị → đáp ứng CBT TỐT hơn (có thể vì có nhiều "room for improvement").</w:t>
      </w:r>
    </w:p>
    <w:p>
      <w:r>
        <w:rPr>
          <w:rFonts w:ascii="Times New Roman" w:hAnsi="Times New Roman"/>
          <w:b w:val="0"/>
          <w:i w:val="0"/>
          <w:sz w:val="24"/>
        </w:rPr>
        <w:t>• EEG: Error-Related Negativity (ERN) — trẻ lo âu có ERN tăng (phát hiện lỗi quá mức). ERN có thể dự báo đáp ứng.</w:t>
      </w:r>
    </w:p>
    <w:p>
      <w:r>
        <w:rPr>
          <w:rFonts w:ascii="Times New Roman" w:hAnsi="Times New Roman"/>
          <w:b w:val="0"/>
          <w:i w:val="0"/>
          <w:sz w:val="24"/>
        </w:rPr>
        <w:t>• Cortisol, CRP, interleukins — biomarker máu nhạy cảm với đe dọa.</w:t>
      </w:r>
    </w:p>
    <w:p>
      <w:pPr>
        <w:pStyle w:val="Heading3"/>
      </w:pPr>
      <w:r>
        <w:rPr>
          <w:rFonts w:ascii="Times New Roman" w:hAnsi="Times New Roman"/>
          <w:color w:val="000000"/>
        </w:rPr>
        <w:t>Bảng 3. Tóm tắt hướng cải thiện điều trị lo âu trẻ em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417" w:type="dxa"/>
            <w:shd w:fill="D9E2F3" w:val="clear"/>
          </w:tcPr>
          <w:p>
            <w:pPr>
              <w:jc w:val="center"/>
            </w:pPr>
            <w:r>
              <w:rPr>
                <w:rFonts w:ascii="Times New Roman" w:hAnsi="Times New Roman"/>
                <w:b/>
                <w:sz w:val="20"/>
              </w:rPr>
              <w:t>Hướng</w:t>
            </w:r>
          </w:p>
        </w:tc>
        <w:tc>
          <w:tcPr>
            <w:tcW w:type="dxa" w:w="2351"/>
            <w:tcW w:w="1984" w:type="dxa"/>
            <w:shd w:fill="D9E2F3" w:val="clear"/>
          </w:tcPr>
          <w:p>
            <w:pPr>
              <w:jc w:val="center"/>
            </w:pPr>
            <w:r>
              <w:rPr>
                <w:rFonts w:ascii="Times New Roman" w:hAnsi="Times New Roman"/>
                <w:b/>
                <w:sz w:val="20"/>
              </w:rPr>
              <w:t>Phương pháp</w:t>
            </w:r>
          </w:p>
        </w:tc>
        <w:tc>
          <w:tcPr>
            <w:tcW w:type="dxa" w:w="2351"/>
            <w:tcW w:w="2268" w:type="dxa"/>
            <w:shd w:fill="D9E2F3" w:val="clear"/>
          </w:tcPr>
          <w:p>
            <w:pPr>
              <w:jc w:val="center"/>
            </w:pPr>
            <w:r>
              <w:rPr>
                <w:rFonts w:ascii="Times New Roman" w:hAnsi="Times New Roman"/>
                <w:b/>
                <w:sz w:val="20"/>
              </w:rPr>
              <w:t>Bằng chứng</w:t>
            </w:r>
          </w:p>
        </w:tc>
        <w:tc>
          <w:tcPr>
            <w:tcW w:type="dxa" w:w="2351"/>
            <w:tcW w:w="1984" w:type="dxa"/>
            <w:shd w:fill="D9E2F3" w:val="clear"/>
          </w:tcPr>
          <w:p>
            <w:pPr>
              <w:jc w:val="center"/>
            </w:pPr>
            <w:r>
              <w:rPr>
                <w:rFonts w:ascii="Times New Roman" w:hAnsi="Times New Roman"/>
                <w:b/>
                <w:sz w:val="20"/>
              </w:rPr>
              <w:t>Ứng dụng VN</w:t>
            </w:r>
          </w:p>
        </w:tc>
      </w:tr>
      <w:tr>
        <w:tc>
          <w:tcPr>
            <w:tcW w:type="dxa" w:w="2351"/>
            <w:tcW w:w="1417" w:type="dxa"/>
          </w:tcPr>
          <w:p>
            <w:r>
              <w:rPr>
                <w:rFonts w:ascii="Times New Roman" w:hAnsi="Times New Roman"/>
                <w:sz w:val="20"/>
              </w:rPr>
              <w:t>ABMT</w:t>
            </w:r>
          </w:p>
        </w:tc>
        <w:tc>
          <w:tcPr>
            <w:tcW w:type="dxa" w:w="2351"/>
            <w:tcW w:w="1984" w:type="dxa"/>
          </w:tcPr>
          <w:p>
            <w:r>
              <w:rPr>
                <w:rFonts w:ascii="Times New Roman" w:hAnsi="Times New Roman"/>
                <w:sz w:val="20"/>
              </w:rPr>
              <w:t>Huấn luyện chú ý tránh đe dọa</w:t>
            </w:r>
          </w:p>
        </w:tc>
        <w:tc>
          <w:tcPr>
            <w:tcW w:type="dxa" w:w="2351"/>
            <w:tcW w:w="2268" w:type="dxa"/>
          </w:tcPr>
          <w:p>
            <w:r>
              <w:rPr>
                <w:rFonts w:ascii="Times New Roman" w:hAnsi="Times New Roman"/>
                <w:sz w:val="20"/>
              </w:rPr>
              <w:t>Lẫn lộn; NHỎ đơn lẻ; hứa hẹn kết hợp CBT</w:t>
            </w:r>
          </w:p>
        </w:tc>
        <w:tc>
          <w:tcPr>
            <w:tcW w:type="dxa" w:w="2351"/>
            <w:tcW w:w="1984" w:type="dxa"/>
          </w:tcPr>
          <w:p>
            <w:r>
              <w:rPr>
                <w:rFonts w:ascii="Times New Roman" w:hAnsi="Times New Roman"/>
                <w:sz w:val="20"/>
              </w:rPr>
              <w:t>Có thể số hóa (app)</w:t>
            </w:r>
          </w:p>
        </w:tc>
      </w:tr>
      <w:tr>
        <w:tc>
          <w:tcPr>
            <w:tcW w:type="dxa" w:w="2351"/>
            <w:tcW w:w="1417" w:type="dxa"/>
          </w:tcPr>
          <w:p>
            <w:r>
              <w:rPr>
                <w:rFonts w:ascii="Times New Roman" w:hAnsi="Times New Roman"/>
                <w:sz w:val="20"/>
              </w:rPr>
              <w:t>DCS + CBT</w:t>
            </w:r>
          </w:p>
        </w:tc>
        <w:tc>
          <w:tcPr>
            <w:tcW w:type="dxa" w:w="2351"/>
            <w:tcW w:w="1984" w:type="dxa"/>
          </w:tcPr>
          <w:p>
            <w:r>
              <w:rPr>
                <w:rFonts w:ascii="Times New Roman" w:hAnsi="Times New Roman"/>
                <w:sz w:val="20"/>
              </w:rPr>
              <w:t>Thuốc tăng cường học tập phơi nhiễm</w:t>
            </w:r>
          </w:p>
        </w:tc>
        <w:tc>
          <w:tcPr>
            <w:tcW w:type="dxa" w:w="2351"/>
            <w:tcW w:w="2268" w:type="dxa"/>
          </w:tcPr>
          <w:p>
            <w:r>
              <w:rPr>
                <w:rFonts w:ascii="Times New Roman" w:hAnsi="Times New Roman"/>
                <w:sz w:val="20"/>
              </w:rPr>
              <w:t>Hiệu quả ở người lớn; ÍT dữ liệu trẻ em</w:t>
            </w:r>
          </w:p>
        </w:tc>
        <w:tc>
          <w:tcPr>
            <w:tcW w:type="dxa" w:w="2351"/>
            <w:tcW w:w="1984" w:type="dxa"/>
          </w:tcPr>
          <w:p>
            <w:r>
              <w:rPr>
                <w:rFonts w:ascii="Times New Roman" w:hAnsi="Times New Roman"/>
                <w:sz w:val="20"/>
              </w:rPr>
              <w:t>Cần RCT ở VN</w:t>
            </w:r>
          </w:p>
        </w:tc>
      </w:tr>
      <w:tr>
        <w:tc>
          <w:tcPr>
            <w:tcW w:type="dxa" w:w="2351"/>
            <w:tcW w:w="1417" w:type="dxa"/>
          </w:tcPr>
          <w:p>
            <w:r>
              <w:rPr>
                <w:rFonts w:ascii="Times New Roman" w:hAnsi="Times New Roman"/>
                <w:sz w:val="20"/>
              </w:rPr>
              <w:t>VR/VRET</w:t>
            </w:r>
          </w:p>
        </w:tc>
        <w:tc>
          <w:tcPr>
            <w:tcW w:type="dxa" w:w="2351"/>
            <w:tcW w:w="1984" w:type="dxa"/>
          </w:tcPr>
          <w:p>
            <w:r>
              <w:rPr>
                <w:rFonts w:ascii="Times New Roman" w:hAnsi="Times New Roman"/>
                <w:sz w:val="20"/>
              </w:rPr>
              <w:t>Phơi nhiễm qua thực tế ảo</w:t>
            </w:r>
          </w:p>
        </w:tc>
        <w:tc>
          <w:tcPr>
            <w:tcW w:type="dxa" w:w="2351"/>
            <w:tcW w:w="2268" w:type="dxa"/>
          </w:tcPr>
          <w:p>
            <w:r>
              <w:rPr>
                <w:rFonts w:ascii="Times New Roman" w:hAnsi="Times New Roman"/>
                <w:sz w:val="20"/>
              </w:rPr>
              <w:t>SUCRA 0,51 (NMA QT29); ít RCT trẻ em</w:t>
            </w:r>
          </w:p>
        </w:tc>
        <w:tc>
          <w:tcPr>
            <w:tcW w:type="dxa" w:w="2351"/>
            <w:tcW w:w="1984" w:type="dxa"/>
          </w:tcPr>
          <w:p>
            <w:r>
              <w:rPr>
                <w:rFonts w:ascii="Times New Roman" w:hAnsi="Times New Roman"/>
                <w:sz w:val="20"/>
              </w:rPr>
              <w:t>Cần công nghệ + chi phí</w:t>
            </w:r>
          </w:p>
        </w:tc>
      </w:tr>
      <w:tr>
        <w:tc>
          <w:tcPr>
            <w:tcW w:type="dxa" w:w="2351"/>
            <w:tcW w:w="1417" w:type="dxa"/>
          </w:tcPr>
          <w:p>
            <w:r>
              <w:rPr>
                <w:rFonts w:ascii="Times New Roman" w:hAnsi="Times New Roman"/>
                <w:sz w:val="20"/>
              </w:rPr>
              <w:t>iCBT (trực tuyến)</w:t>
            </w:r>
          </w:p>
        </w:tc>
        <w:tc>
          <w:tcPr>
            <w:tcW w:type="dxa" w:w="2351"/>
            <w:tcW w:w="1984" w:type="dxa"/>
          </w:tcPr>
          <w:p>
            <w:r>
              <w:rPr>
                <w:rFonts w:ascii="Times New Roman" w:hAnsi="Times New Roman"/>
                <w:sz w:val="20"/>
              </w:rPr>
              <w:t>CBT qua internet</w:t>
            </w:r>
          </w:p>
        </w:tc>
        <w:tc>
          <w:tcPr>
            <w:tcW w:type="dxa" w:w="2351"/>
            <w:tcW w:w="2268" w:type="dxa"/>
          </w:tcPr>
          <w:p>
            <w:r>
              <w:rPr>
                <w:rFonts w:ascii="Times New Roman" w:hAnsi="Times New Roman"/>
                <w:sz w:val="20"/>
              </w:rPr>
              <w:t>Hiệu quả thấp hơn trực tiếp; bỏ cuộc cao</w:t>
            </w:r>
          </w:p>
        </w:tc>
        <w:tc>
          <w:tcPr>
            <w:tcW w:type="dxa" w:w="2351"/>
            <w:tcW w:w="1984" w:type="dxa"/>
          </w:tcPr>
          <w:p>
            <w:r>
              <w:rPr>
                <w:rFonts w:ascii="Times New Roman" w:hAnsi="Times New Roman"/>
                <w:sz w:val="20"/>
              </w:rPr>
              <w:t>Phù hợp VN (thiếu nhân lực)</w:t>
            </w:r>
          </w:p>
        </w:tc>
      </w:tr>
      <w:tr>
        <w:tc>
          <w:tcPr>
            <w:tcW w:type="dxa" w:w="2351"/>
            <w:tcW w:w="1417" w:type="dxa"/>
          </w:tcPr>
          <w:p>
            <w:r>
              <w:rPr>
                <w:rFonts w:ascii="Times New Roman" w:hAnsi="Times New Roman"/>
                <w:sz w:val="20"/>
              </w:rPr>
              <w:t>Biomarker (fMRI)</w:t>
            </w:r>
          </w:p>
        </w:tc>
        <w:tc>
          <w:tcPr>
            <w:tcW w:type="dxa" w:w="2351"/>
            <w:tcW w:w="1984" w:type="dxa"/>
          </w:tcPr>
          <w:p>
            <w:r>
              <w:rPr>
                <w:rFonts w:ascii="Times New Roman" w:hAnsi="Times New Roman"/>
                <w:sz w:val="20"/>
              </w:rPr>
              <w:t>Dự báo đáp ứng cá nhân</w:t>
            </w:r>
          </w:p>
        </w:tc>
        <w:tc>
          <w:tcPr>
            <w:tcW w:type="dxa" w:w="2351"/>
            <w:tcW w:w="2268" w:type="dxa"/>
          </w:tcPr>
          <w:p>
            <w:r>
              <w:rPr>
                <w:rFonts w:ascii="Times New Roman" w:hAnsi="Times New Roman"/>
                <w:sz w:val="20"/>
              </w:rPr>
              <w:t>NC sớm; chưa áp dụng lâm sàng</w:t>
            </w:r>
          </w:p>
        </w:tc>
        <w:tc>
          <w:tcPr>
            <w:tcW w:type="dxa" w:w="2351"/>
            <w:tcW w:w="1984" w:type="dxa"/>
          </w:tcPr>
          <w:p>
            <w:r>
              <w:rPr>
                <w:rFonts w:ascii="Times New Roman" w:hAnsi="Times New Roman"/>
                <w:sz w:val="20"/>
              </w:rPr>
              <w:t>Tương lai xa</w:t>
            </w:r>
          </w:p>
        </w:tc>
      </w:tr>
      <w:tr>
        <w:tc>
          <w:tcPr>
            <w:tcW w:type="dxa" w:w="2351"/>
            <w:tcW w:w="1417" w:type="dxa"/>
          </w:tcPr>
          <w:p>
            <w:r>
              <w:rPr>
                <w:rFonts w:ascii="Times New Roman" w:hAnsi="Times New Roman"/>
                <w:sz w:val="20"/>
              </w:rPr>
              <w:t>ACT (QT29)</w:t>
            </w:r>
          </w:p>
        </w:tc>
        <w:tc>
          <w:tcPr>
            <w:tcW w:type="dxa" w:w="2351"/>
            <w:tcW w:w="1984" w:type="dxa"/>
          </w:tcPr>
          <w:p>
            <w:r>
              <w:rPr>
                <w:rFonts w:ascii="Times New Roman" w:hAnsi="Times New Roman"/>
                <w:sz w:val="20"/>
              </w:rPr>
              <w:t>Chấp nhận + cam kết giá trị</w:t>
            </w:r>
          </w:p>
        </w:tc>
        <w:tc>
          <w:tcPr>
            <w:tcW w:type="dxa" w:w="2351"/>
            <w:tcW w:w="2268" w:type="dxa"/>
          </w:tcPr>
          <w:p>
            <w:r>
              <w:rPr>
                <w:rFonts w:ascii="Times New Roman" w:hAnsi="Times New Roman"/>
                <w:sz w:val="20"/>
              </w:rPr>
              <w:t>SUCRA 0,69 — hạng 1 NMA</w:t>
            </w:r>
          </w:p>
        </w:tc>
        <w:tc>
          <w:tcPr>
            <w:tcW w:type="dxa" w:w="2351"/>
            <w:tcW w:w="1984" w:type="dxa"/>
          </w:tcPr>
          <w:p>
            <w:r>
              <w:rPr>
                <w:rFonts w:ascii="Times New Roman" w:hAnsi="Times New Roman"/>
                <w:sz w:val="20"/>
              </w:rPr>
              <w:t>Mới ở VN; cần đào tạo</w:t>
            </w:r>
          </w:p>
        </w:tc>
      </w:tr>
      <w:tr>
        <w:tc>
          <w:tcPr>
            <w:tcW w:type="dxa" w:w="2351"/>
            <w:tcW w:w="1417" w:type="dxa"/>
          </w:tcPr>
          <w:p>
            <w:r>
              <w:rPr>
                <w:rFonts w:ascii="Times New Roman" w:hAnsi="Times New Roman"/>
                <w:sz w:val="20"/>
              </w:rPr>
              <w:t>PE (QT29)</w:t>
            </w:r>
          </w:p>
        </w:tc>
        <w:tc>
          <w:tcPr>
            <w:tcW w:type="dxa" w:w="2351"/>
            <w:tcW w:w="1984" w:type="dxa"/>
          </w:tcPr>
          <w:p>
            <w:r>
              <w:rPr>
                <w:rFonts w:ascii="Times New Roman" w:hAnsi="Times New Roman"/>
                <w:sz w:val="20"/>
              </w:rPr>
              <w:t>Hoạt động thể chất</w:t>
            </w:r>
          </w:p>
        </w:tc>
        <w:tc>
          <w:tcPr>
            <w:tcW w:type="dxa" w:w="2351"/>
            <w:tcW w:w="2268" w:type="dxa"/>
          </w:tcPr>
          <w:p>
            <w:r>
              <w:rPr>
                <w:rFonts w:ascii="Times New Roman" w:hAnsi="Times New Roman"/>
                <w:sz w:val="20"/>
              </w:rPr>
              <w:t>SUCRA 0,51; endorphin, BDNF</w:t>
            </w:r>
          </w:p>
        </w:tc>
        <w:tc>
          <w:tcPr>
            <w:tcW w:type="dxa" w:w="2351"/>
            <w:tcW w:w="1984" w:type="dxa"/>
          </w:tcPr>
          <w:p>
            <w:r>
              <w:rPr>
                <w:rFonts w:ascii="Times New Roman" w:hAnsi="Times New Roman"/>
                <w:sz w:val="20"/>
              </w:rPr>
              <w:t>DỄ triển khai tại trường VN</w:t>
            </w:r>
          </w:p>
        </w:tc>
      </w:tr>
    </w:tbl>
    <w:p>
      <w:pPr>
        <w:pStyle w:val="Heading2"/>
      </w:pPr>
      <w:r>
        <w:rPr>
          <w:rFonts w:ascii="Times New Roman" w:hAnsi="Times New Roman"/>
          <w:color w:val="000000"/>
        </w:rPr>
        <w:t>4. KẾT LUẬN</w:t>
      </w:r>
    </w:p>
    <w:p>
      <w:r>
        <w:rPr>
          <w:rFonts w:ascii="Times New Roman" w:hAnsi="Times New Roman"/>
          <w:b w:val="0"/>
          <w:i w:val="0"/>
          <w:sz w:val="24"/>
        </w:rPr>
        <w:t>CBT và SSRIs là điều trị đã thiết lập cho rối loạn lo âu trẻ em. Kết hợp CBT+SSRI hiệu quả nhất (CAMS: 80,7% đáp ứng). Phơi nhiễm là thành phần CBT quan trọng nhất. SSRIs: NNT = 4, an toàn mặc dù cảnh báo FDA. Tuy nhiên, 20–40% KHÔNG đáp ứng → cần cải thiện: ABMT, DCS, VR, iCBT, biomarker.</w:t>
      </w:r>
    </w:p>
    <w:p>
      <w:r>
        <w:rPr>
          <w:rFonts w:ascii="Times New Roman" w:hAnsi="Times New Roman"/>
          <w:b w:val="0"/>
          <w:i w:val="0"/>
          <w:sz w:val="24"/>
        </w:rPr>
        <w:t>NC thần kinh khoa học (amygdala, attention bias, ERN) đặt nền tảng cho đổi mới nhưng cần nhiều RCT hơn. Đặc biệt thiếu dữ liệu ở LMIC/châu Á (bao gồm VN). BMC NMA 2025 (QT29): ACT và PE cũng hiệu quả — mở rộng lựa chọn ngoài CBT+SSRIs.</w:t>
      </w:r>
    </w:p>
    <w:p>
      <w:pPr>
        <w:pStyle w:val="Heading2"/>
      </w:pPr>
      <w:r>
        <w:rPr>
          <w:rFonts w:ascii="Times New Roman" w:hAnsi="Times New Roman"/>
          <w:color w:val="000000"/>
        </w:rPr>
        <w:t>TÀI LIỆU THAM KHẢO</w:t>
      </w:r>
    </w:p>
    <w:p>
      <w:r>
        <w:rPr>
          <w:rFonts w:ascii="Times New Roman" w:hAnsi="Times New Roman"/>
          <w:b w:val="0"/>
          <w:i w:val="0"/>
          <w:sz w:val="20"/>
        </w:rPr>
        <w:t>Zugman, A., Winkler, A.M., Qamar, P. &amp; Pine, D.S. (2024). Current and future approaches to pediatric anxiety disorder treatment. Am J Psychiatry, 181, 189–200.</w:t>
      </w:r>
    </w:p>
    <w:p>
      <w:r>
        <w:rPr>
          <w:rFonts w:ascii="Times New Roman" w:hAnsi="Times New Roman"/>
          <w:b w:val="0"/>
          <w:i w:val="0"/>
          <w:sz w:val="20"/>
        </w:rPr>
        <w:t>Walkup, J.T., et al. (2008). Cognitive behavioral therapy, sertraline, or a combination in childhood anxiety. NEJM, 359, 2753–2766.</w:t>
      </w:r>
    </w:p>
    <w:p>
      <w:r>
        <w:rPr>
          <w:rFonts w:ascii="Times New Roman" w:hAnsi="Times New Roman"/>
          <w:b w:val="0"/>
          <w:i w:val="0"/>
          <w:sz w:val="20"/>
        </w:rPr>
        <w:t>Strawn, J.R., et al. (2023). Pharmacotherapy for pediatric anxiety disorders. Pediatrics, 152(3), e2023063285.</w:t>
      </w:r>
    </w:p>
    <w:p>
      <w:r>
        <w:rPr>
          <w:rFonts w:ascii="Times New Roman" w:hAnsi="Times New Roman"/>
          <w:b w:val="0"/>
          <w:i w:val="0"/>
          <w:sz w:val="20"/>
        </w:rPr>
        <w:t>James, A.C., et al. (2020). Cognitive behavioural therapy for anxiety disorders in children and adolescents. Cochrane Database Syst Rev, 11, CD004690.</w:t>
      </w:r>
    </w:p>
    <w:p>
      <w:r>
        <w:rPr>
          <w:rFonts w:ascii="Times New Roman" w:hAnsi="Times New Roman"/>
          <w:b w:val="0"/>
          <w:i w:val="0"/>
          <w:sz w:val="20"/>
        </w:rPr>
        <w:t>Cristea, I.A., et al. (2015). A critical examination of attentional bias modification for anxiety disorders. BMJ, 351, h4919.</w:t>
      </w:r>
    </w:p>
    <w:p>
      <w:r>
        <w:rPr>
          <w:rFonts w:ascii="Times New Roman" w:hAnsi="Times New Roman"/>
          <w:b w:val="0"/>
          <w:i w:val="0"/>
          <w:sz w:val="20"/>
        </w:rPr>
        <w:t>Mataix-Cols, D., et al. (2017). D-cycloserine augmentation of exposure-based cognitive behavior therapy for anxiety. JAMA Psychiatry, 74, 501–510.</w:t>
      </w:r>
    </w:p>
    <w:p>
      <w:r>
        <w:rPr>
          <w:rFonts w:ascii="Times New Roman" w:hAnsi="Times New Roman"/>
          <w:b w:val="0"/>
          <w:i w:val="0"/>
          <w:sz w:val="20"/>
        </w:rPr>
        <w:t>Li, L.H., et al. (2025). Effectiveness of different types of interventions for anxiety disorders in children and adolescents: NMA. BMC Psychiatry, 25, 809.</w:t>
      </w:r>
    </w:p>
    <w:p>
      <w:r>
        <w:rPr>
          <w:rFonts w:ascii="Times New Roman" w:hAnsi="Times New Roman"/>
          <w:b w:val="0"/>
          <w:i/>
          <w:sz w:val="20"/>
        </w:rPr>
        <w:t>(Xem đầy đủ trong bài gốc — 90+ TLTK)</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CBT</w:t>
            </w:r>
          </w:p>
        </w:tc>
        <w:tc>
          <w:tcPr>
            <w:tcW w:type="dxa" w:w="4702"/>
            <w:tcW w:w="7371" w:type="dxa"/>
          </w:tcPr>
          <w:p>
            <w:r>
              <w:rPr>
                <w:rFonts w:ascii="Times New Roman" w:hAnsi="Times New Roman"/>
                <w:sz w:val="20"/>
              </w:rPr>
              <w:t>Cognitive-Behavioral Therapy — Liệu pháp Nhận thức–Hành vi</w:t>
            </w:r>
          </w:p>
        </w:tc>
      </w:tr>
      <w:tr>
        <w:tc>
          <w:tcPr>
            <w:tcW w:type="dxa" w:w="4702"/>
            <w:tcW w:w="1701" w:type="dxa"/>
          </w:tcPr>
          <w:p>
            <w:r>
              <w:rPr>
                <w:rFonts w:ascii="Times New Roman" w:hAnsi="Times New Roman"/>
                <w:sz w:val="20"/>
              </w:rPr>
              <w:t>SSRI</w:t>
            </w:r>
          </w:p>
        </w:tc>
        <w:tc>
          <w:tcPr>
            <w:tcW w:type="dxa" w:w="4702"/>
            <w:tcW w:w="7371" w:type="dxa"/>
          </w:tcPr>
          <w:p>
            <w:r>
              <w:rPr>
                <w:rFonts w:ascii="Times New Roman" w:hAnsi="Times New Roman"/>
                <w:sz w:val="20"/>
              </w:rPr>
              <w:t>Selective Serotonin Reuptake Inhibitor — Thuốc Ức chế Tái hấp thu Serotonin Chọn lọc</w:t>
            </w:r>
          </w:p>
        </w:tc>
      </w:tr>
      <w:tr>
        <w:tc>
          <w:tcPr>
            <w:tcW w:type="dxa" w:w="4702"/>
            <w:tcW w:w="1701" w:type="dxa"/>
          </w:tcPr>
          <w:p>
            <w:r>
              <w:rPr>
                <w:rFonts w:ascii="Times New Roman" w:hAnsi="Times New Roman"/>
                <w:sz w:val="20"/>
              </w:rPr>
              <w:t>SNRI</w:t>
            </w:r>
          </w:p>
        </w:tc>
        <w:tc>
          <w:tcPr>
            <w:tcW w:type="dxa" w:w="4702"/>
            <w:tcW w:w="7371" w:type="dxa"/>
          </w:tcPr>
          <w:p>
            <w:r>
              <w:rPr>
                <w:rFonts w:ascii="Times New Roman" w:hAnsi="Times New Roman"/>
                <w:sz w:val="20"/>
              </w:rPr>
              <w:t>Serotonin-Norepinephrine Reuptake Inhibitor</w:t>
            </w:r>
          </w:p>
        </w:tc>
      </w:tr>
      <w:tr>
        <w:tc>
          <w:tcPr>
            <w:tcW w:type="dxa" w:w="4702"/>
            <w:tcW w:w="1701" w:type="dxa"/>
          </w:tcPr>
          <w:p>
            <w:r>
              <w:rPr>
                <w:rFonts w:ascii="Times New Roman" w:hAnsi="Times New Roman"/>
                <w:sz w:val="20"/>
              </w:rPr>
              <w:t>CAMS</w:t>
            </w:r>
          </w:p>
        </w:tc>
        <w:tc>
          <w:tcPr>
            <w:tcW w:type="dxa" w:w="4702"/>
            <w:tcW w:w="7371" w:type="dxa"/>
          </w:tcPr>
          <w:p>
            <w:r>
              <w:rPr>
                <w:rFonts w:ascii="Times New Roman" w:hAnsi="Times New Roman"/>
                <w:sz w:val="20"/>
              </w:rPr>
              <w:t>Child/Adolescent Anxiety Multimodal Study</w:t>
            </w:r>
          </w:p>
        </w:tc>
      </w:tr>
      <w:tr>
        <w:tc>
          <w:tcPr>
            <w:tcW w:type="dxa" w:w="4702"/>
            <w:tcW w:w="1701" w:type="dxa"/>
          </w:tcPr>
          <w:p>
            <w:r>
              <w:rPr>
                <w:rFonts w:ascii="Times New Roman" w:hAnsi="Times New Roman"/>
                <w:sz w:val="20"/>
              </w:rPr>
              <w:t>NNT</w:t>
            </w:r>
          </w:p>
        </w:tc>
        <w:tc>
          <w:tcPr>
            <w:tcW w:type="dxa" w:w="4702"/>
            <w:tcW w:w="7371" w:type="dxa"/>
          </w:tcPr>
          <w:p>
            <w:r>
              <w:rPr>
                <w:rFonts w:ascii="Times New Roman" w:hAnsi="Times New Roman"/>
                <w:sz w:val="20"/>
              </w:rPr>
              <w:t>Number Needed to Treat — Số Bệnh nhân Cần Điều trị để 1 người hưởng lợi</w:t>
            </w:r>
          </w:p>
        </w:tc>
      </w:tr>
      <w:tr>
        <w:tc>
          <w:tcPr>
            <w:tcW w:type="dxa" w:w="4702"/>
            <w:tcW w:w="1701" w:type="dxa"/>
          </w:tcPr>
          <w:p>
            <w:r>
              <w:rPr>
                <w:rFonts w:ascii="Times New Roman" w:hAnsi="Times New Roman"/>
                <w:sz w:val="20"/>
              </w:rPr>
              <w:t>NNH</w:t>
            </w:r>
          </w:p>
        </w:tc>
        <w:tc>
          <w:tcPr>
            <w:tcW w:type="dxa" w:w="4702"/>
            <w:tcW w:w="7371" w:type="dxa"/>
          </w:tcPr>
          <w:p>
            <w:r>
              <w:rPr>
                <w:rFonts w:ascii="Times New Roman" w:hAnsi="Times New Roman"/>
                <w:sz w:val="20"/>
              </w:rPr>
              <w:t>Number Needed to Harm — Số Bệnh nhân Điều trị để 1 người bị hại</w:t>
            </w:r>
          </w:p>
        </w:tc>
      </w:tr>
      <w:tr>
        <w:tc>
          <w:tcPr>
            <w:tcW w:type="dxa" w:w="4702"/>
            <w:tcW w:w="1701" w:type="dxa"/>
          </w:tcPr>
          <w:p>
            <w:r>
              <w:rPr>
                <w:rFonts w:ascii="Times New Roman" w:hAnsi="Times New Roman"/>
                <w:sz w:val="20"/>
              </w:rPr>
              <w:t>ABMT</w:t>
            </w:r>
          </w:p>
        </w:tc>
        <w:tc>
          <w:tcPr>
            <w:tcW w:type="dxa" w:w="4702"/>
            <w:tcW w:w="7371" w:type="dxa"/>
          </w:tcPr>
          <w:p>
            <w:r>
              <w:rPr>
                <w:rFonts w:ascii="Times New Roman" w:hAnsi="Times New Roman"/>
                <w:sz w:val="20"/>
              </w:rPr>
              <w:t>Attention Bias Modification Training — Huấn luyện Điều chỉnh Thiên lệch Chú ý</w:t>
            </w:r>
          </w:p>
        </w:tc>
      </w:tr>
      <w:tr>
        <w:tc>
          <w:tcPr>
            <w:tcW w:type="dxa" w:w="4702"/>
            <w:tcW w:w="1701" w:type="dxa"/>
          </w:tcPr>
          <w:p>
            <w:r>
              <w:rPr>
                <w:rFonts w:ascii="Times New Roman" w:hAnsi="Times New Roman"/>
                <w:sz w:val="20"/>
              </w:rPr>
              <w:t>DCS</w:t>
            </w:r>
          </w:p>
        </w:tc>
        <w:tc>
          <w:tcPr>
            <w:tcW w:type="dxa" w:w="4702"/>
            <w:tcW w:w="7371" w:type="dxa"/>
          </w:tcPr>
          <w:p>
            <w:r>
              <w:rPr>
                <w:rFonts w:ascii="Times New Roman" w:hAnsi="Times New Roman"/>
                <w:sz w:val="20"/>
              </w:rPr>
              <w:t>D-cycloserine — Thuốc tăng cường học tập phơi nhiễm</w:t>
            </w:r>
          </w:p>
        </w:tc>
      </w:tr>
      <w:tr>
        <w:tc>
          <w:tcPr>
            <w:tcW w:type="dxa" w:w="4702"/>
            <w:tcW w:w="1701" w:type="dxa"/>
          </w:tcPr>
          <w:p>
            <w:r>
              <w:rPr>
                <w:rFonts w:ascii="Times New Roman" w:hAnsi="Times New Roman"/>
                <w:sz w:val="20"/>
              </w:rPr>
              <w:t>VR/VRET</w:t>
            </w:r>
          </w:p>
        </w:tc>
        <w:tc>
          <w:tcPr>
            <w:tcW w:type="dxa" w:w="4702"/>
            <w:tcW w:w="7371" w:type="dxa"/>
          </w:tcPr>
          <w:p>
            <w:r>
              <w:rPr>
                <w:rFonts w:ascii="Times New Roman" w:hAnsi="Times New Roman"/>
                <w:sz w:val="20"/>
              </w:rPr>
              <w:t>Virtual Reality Exposure Therapy — Liệu pháp Phơi nhiễm Thực tế Ảo</w:t>
            </w:r>
          </w:p>
        </w:tc>
      </w:tr>
      <w:tr>
        <w:tc>
          <w:tcPr>
            <w:tcW w:type="dxa" w:w="4702"/>
            <w:tcW w:w="1701" w:type="dxa"/>
          </w:tcPr>
          <w:p>
            <w:r>
              <w:rPr>
                <w:rFonts w:ascii="Times New Roman" w:hAnsi="Times New Roman"/>
                <w:sz w:val="20"/>
              </w:rPr>
              <w:t>iCBT</w:t>
            </w:r>
          </w:p>
        </w:tc>
        <w:tc>
          <w:tcPr>
            <w:tcW w:type="dxa" w:w="4702"/>
            <w:tcW w:w="7371" w:type="dxa"/>
          </w:tcPr>
          <w:p>
            <w:r>
              <w:rPr>
                <w:rFonts w:ascii="Times New Roman" w:hAnsi="Times New Roman"/>
                <w:sz w:val="20"/>
              </w:rPr>
              <w:t>Internet-delivered CBT — CBT qua Internet</w:t>
            </w:r>
          </w:p>
        </w:tc>
      </w:tr>
      <w:tr>
        <w:tc>
          <w:tcPr>
            <w:tcW w:type="dxa" w:w="4702"/>
            <w:tcW w:w="1701" w:type="dxa"/>
          </w:tcPr>
          <w:p>
            <w:r>
              <w:rPr>
                <w:rFonts w:ascii="Times New Roman" w:hAnsi="Times New Roman"/>
                <w:sz w:val="20"/>
              </w:rPr>
              <w:t>ACT</w:t>
            </w:r>
          </w:p>
        </w:tc>
        <w:tc>
          <w:tcPr>
            <w:tcW w:type="dxa" w:w="4702"/>
            <w:tcW w:w="7371" w:type="dxa"/>
          </w:tcPr>
          <w:p>
            <w:r>
              <w:rPr>
                <w:rFonts w:ascii="Times New Roman" w:hAnsi="Times New Roman"/>
                <w:sz w:val="20"/>
              </w:rPr>
              <w:t>Acceptance and Commitment Therapy — Liệu pháp Chấp nhận và Cam kết</w:t>
            </w:r>
          </w:p>
        </w:tc>
      </w:tr>
      <w:tr>
        <w:tc>
          <w:tcPr>
            <w:tcW w:type="dxa" w:w="4702"/>
            <w:tcW w:w="1701" w:type="dxa"/>
          </w:tcPr>
          <w:p>
            <w:r>
              <w:rPr>
                <w:rFonts w:ascii="Times New Roman" w:hAnsi="Times New Roman"/>
                <w:sz w:val="20"/>
              </w:rPr>
              <w:t>PE</w:t>
            </w:r>
          </w:p>
        </w:tc>
        <w:tc>
          <w:tcPr>
            <w:tcW w:type="dxa" w:w="4702"/>
            <w:tcW w:w="7371" w:type="dxa"/>
          </w:tcPr>
          <w:p>
            <w:r>
              <w:rPr>
                <w:rFonts w:ascii="Times New Roman" w:hAnsi="Times New Roman"/>
                <w:sz w:val="20"/>
              </w:rPr>
              <w:t>Physical Exercise — Hoạt động Thể chất</w:t>
            </w:r>
          </w:p>
        </w:tc>
      </w:tr>
      <w:tr>
        <w:tc>
          <w:tcPr>
            <w:tcW w:type="dxa" w:w="4702"/>
            <w:tcW w:w="1701" w:type="dxa"/>
          </w:tcPr>
          <w:p>
            <w:r>
              <w:rPr>
                <w:rFonts w:ascii="Times New Roman" w:hAnsi="Times New Roman"/>
                <w:sz w:val="20"/>
              </w:rPr>
              <w:t>NIMH</w:t>
            </w:r>
          </w:p>
        </w:tc>
        <w:tc>
          <w:tcPr>
            <w:tcW w:type="dxa" w:w="4702"/>
            <w:tcW w:w="7371" w:type="dxa"/>
          </w:tcPr>
          <w:p>
            <w:r>
              <w:rPr>
                <w:rFonts w:ascii="Times New Roman" w:hAnsi="Times New Roman"/>
                <w:sz w:val="20"/>
              </w:rPr>
              <w:t>National Institute of Mental Health — Viện SKTT Quốc gia Mỹ</w:t>
            </w:r>
          </w:p>
        </w:tc>
      </w:tr>
      <w:tr>
        <w:tc>
          <w:tcPr>
            <w:tcW w:type="dxa" w:w="4702"/>
            <w:tcW w:w="1701" w:type="dxa"/>
          </w:tcPr>
          <w:p>
            <w:r>
              <w:rPr>
                <w:rFonts w:ascii="Times New Roman" w:hAnsi="Times New Roman"/>
                <w:sz w:val="20"/>
              </w:rPr>
              <w:t>NIH</w:t>
            </w:r>
          </w:p>
        </w:tc>
        <w:tc>
          <w:tcPr>
            <w:tcW w:type="dxa" w:w="4702"/>
            <w:tcW w:w="7371" w:type="dxa"/>
          </w:tcPr>
          <w:p>
            <w:r>
              <w:rPr>
                <w:rFonts w:ascii="Times New Roman" w:hAnsi="Times New Roman"/>
                <w:sz w:val="20"/>
              </w:rPr>
              <w:t>National Institutes of Health — Viện Y tế Quốc gia Mỹ</w:t>
            </w:r>
          </w:p>
        </w:tc>
      </w:tr>
      <w:tr>
        <w:tc>
          <w:tcPr>
            <w:tcW w:type="dxa" w:w="4702"/>
            <w:tcW w:w="1701" w:type="dxa"/>
          </w:tcPr>
          <w:p>
            <w:r>
              <w:rPr>
                <w:rFonts w:ascii="Times New Roman" w:hAnsi="Times New Roman"/>
                <w:sz w:val="20"/>
              </w:rPr>
              <w:t>FDA</w:t>
            </w:r>
          </w:p>
        </w:tc>
        <w:tc>
          <w:tcPr>
            <w:tcW w:type="dxa" w:w="4702"/>
            <w:tcW w:w="7371" w:type="dxa"/>
          </w:tcPr>
          <w:p>
            <w:r>
              <w:rPr>
                <w:rFonts w:ascii="Times New Roman" w:hAnsi="Times New Roman"/>
                <w:sz w:val="20"/>
              </w:rPr>
              <w:t>Food and Drug Administration — Cục Quản lý Thực phẩm và Dược phẩm Mỹ</w:t>
            </w:r>
          </w:p>
        </w:tc>
      </w:tr>
      <w:tr>
        <w:tc>
          <w:tcPr>
            <w:tcW w:type="dxa" w:w="4702"/>
            <w:tcW w:w="1701" w:type="dxa"/>
          </w:tcPr>
          <w:p>
            <w:r>
              <w:rPr>
                <w:rFonts w:ascii="Times New Roman" w:hAnsi="Times New Roman"/>
                <w:sz w:val="20"/>
              </w:rPr>
              <w:t>GAD</w:t>
            </w:r>
          </w:p>
        </w:tc>
        <w:tc>
          <w:tcPr>
            <w:tcW w:type="dxa" w:w="4702"/>
            <w:tcW w:w="7371" w:type="dxa"/>
          </w:tcPr>
          <w:p>
            <w:r>
              <w:rPr>
                <w:rFonts w:ascii="Times New Roman" w:hAnsi="Times New Roman"/>
                <w:sz w:val="20"/>
              </w:rPr>
            </w:r>
            <w:r>
              <w:rPr>
                <w:rFonts w:ascii="Times New Roman" w:hAnsi="Times New Roman"/>
                <w:sz w:val="26"/>
              </w:rPr>
              <w:t xml:space="preserve">Generalized Anxiety Disorder — </w:t>
            </w:r>
            <w:r>
              <w:rPr>
                <w:rFonts w:ascii="Times New Roman" w:hAnsi="Times New Roman"/>
                <w:b/>
                <w:color w:val="C00000"/>
                <w:sz w:val="26"/>
              </w:rPr>
              <w:t>Rối loạn Lo âu Tổng quát</w:t>
            </w:r>
          </w:p>
        </w:tc>
      </w:tr>
      <w:tr>
        <w:tc>
          <w:tcPr>
            <w:tcW w:type="dxa" w:w="4702"/>
            <w:tcW w:w="1701" w:type="dxa"/>
          </w:tcPr>
          <w:p>
            <w:r>
              <w:rPr>
                <w:rFonts w:ascii="Times New Roman" w:hAnsi="Times New Roman"/>
                <w:sz w:val="20"/>
              </w:rPr>
              <w:t>CGI-I</w:t>
            </w:r>
          </w:p>
        </w:tc>
        <w:tc>
          <w:tcPr>
            <w:tcW w:type="dxa" w:w="4702"/>
            <w:tcW w:w="7371" w:type="dxa"/>
          </w:tcPr>
          <w:p>
            <w:r>
              <w:rPr>
                <w:rFonts w:ascii="Times New Roman" w:hAnsi="Times New Roman"/>
                <w:sz w:val="20"/>
              </w:rPr>
              <w:t>Clinical Global Impression — Improvement</w:t>
            </w:r>
          </w:p>
        </w:tc>
      </w:tr>
      <w:tr>
        <w:tc>
          <w:tcPr>
            <w:tcW w:type="dxa" w:w="4702"/>
            <w:tcW w:w="1701" w:type="dxa"/>
          </w:tcPr>
          <w:p>
            <w:r>
              <w:rPr>
                <w:rFonts w:ascii="Times New Roman" w:hAnsi="Times New Roman"/>
                <w:sz w:val="20"/>
              </w:rPr>
              <w:t>ERN</w:t>
            </w:r>
          </w:p>
        </w:tc>
        <w:tc>
          <w:tcPr>
            <w:tcW w:type="dxa" w:w="4702"/>
            <w:tcW w:w="7371" w:type="dxa"/>
          </w:tcPr>
          <w:p>
            <w:r>
              <w:rPr>
                <w:rFonts w:ascii="Times New Roman" w:hAnsi="Times New Roman"/>
                <w:sz w:val="20"/>
              </w:rPr>
              <w:t>Error-Related Negativity — Điện thế Tiêu cực Liên quan Lỗi</w:t>
            </w:r>
          </w:p>
        </w:tc>
      </w:tr>
      <w:tr>
        <w:tc>
          <w:tcPr>
            <w:tcW w:type="dxa" w:w="4702"/>
            <w:tcW w:w="1701" w:type="dxa"/>
          </w:tcPr>
          <w:p>
            <w:r>
              <w:rPr>
                <w:rFonts w:ascii="Times New Roman" w:hAnsi="Times New Roman"/>
                <w:sz w:val="20"/>
              </w:rPr>
              <w:t>fMRI</w:t>
            </w:r>
          </w:p>
        </w:tc>
        <w:tc>
          <w:tcPr>
            <w:tcW w:type="dxa" w:w="4702"/>
            <w:tcW w:w="7371" w:type="dxa"/>
          </w:tcPr>
          <w:p>
            <w:r>
              <w:rPr>
                <w:rFonts w:ascii="Times New Roman" w:hAnsi="Times New Roman"/>
                <w:sz w:val="20"/>
              </w:rPr>
              <w:t>Functional Magnetic Resonance Imaging</w:t>
            </w:r>
          </w:p>
        </w:tc>
      </w:tr>
      <w:tr>
        <w:tc>
          <w:tcPr>
            <w:tcW w:type="dxa" w:w="4702"/>
            <w:tcW w:w="1701" w:type="dxa"/>
          </w:tcPr>
          <w:p>
            <w:r>
              <w:rPr>
                <w:rFonts w:ascii="Times New Roman" w:hAnsi="Times New Roman"/>
                <w:sz w:val="20"/>
              </w:rPr>
              <w:t>BDNF</w:t>
            </w:r>
          </w:p>
        </w:tc>
        <w:tc>
          <w:tcPr>
            <w:tcW w:type="dxa" w:w="4702"/>
            <w:tcW w:w="7371" w:type="dxa"/>
          </w:tcPr>
          <w:p>
            <w:r>
              <w:rPr>
                <w:rFonts w:ascii="Times New Roman" w:hAnsi="Times New Roman"/>
                <w:sz w:val="20"/>
              </w:rPr>
              <w:t>Brain-Derived Neurotrophic Factor</w:t>
            </w:r>
          </w:p>
        </w:tc>
      </w:tr>
      <w:tr>
        <w:tc>
          <w:tcPr>
            <w:tcW w:type="dxa" w:w="4702"/>
            <w:tcW w:w="1701" w:type="dxa"/>
          </w:tcPr>
          <w:p>
            <w:r>
              <w:rPr>
                <w:rFonts w:ascii="Times New Roman" w:hAnsi="Times New Roman"/>
                <w:sz w:val="20"/>
              </w:rPr>
              <w:t>SUCRA</w:t>
            </w:r>
          </w:p>
        </w:tc>
        <w:tc>
          <w:tcPr>
            <w:tcW w:type="dxa" w:w="4702"/>
            <w:tcW w:w="7371" w:type="dxa"/>
          </w:tcPr>
          <w:p>
            <w:r>
              <w:rPr>
                <w:rFonts w:ascii="Times New Roman" w:hAnsi="Times New Roman"/>
                <w:sz w:val="20"/>
              </w:rPr>
              <w:t>Surface Under the Cumulative Ranking</w:t>
            </w:r>
          </w:p>
        </w:tc>
      </w:tr>
      <w:tr>
        <w:tc>
          <w:tcPr>
            <w:tcW w:type="dxa" w:w="4702"/>
            <w:tcW w:w="1701" w:type="dxa"/>
          </w:tcPr>
          <w:p>
            <w:r>
              <w:rPr>
                <w:rFonts w:ascii="Times New Roman" w:hAnsi="Times New Roman"/>
                <w:sz w:val="20"/>
              </w:rPr>
              <w:t>NMA</w:t>
            </w:r>
          </w:p>
        </w:tc>
        <w:tc>
          <w:tcPr>
            <w:tcW w:type="dxa" w:w="4702"/>
            <w:tcW w:w="7371" w:type="dxa"/>
          </w:tcPr>
          <w:p>
            <w:r>
              <w:rPr>
                <w:rFonts w:ascii="Times New Roman" w:hAnsi="Times New Roman"/>
                <w:sz w:val="20"/>
              </w:rPr>
              <w:t>Network Meta-Analysis</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AJP Q1 IF ≈ 18 — cực uy tín. Tác giả NIMH/NIH — chuyên gia hàng đầu thế giới về lo âu trẻ em (Daniel Pine: &gt;500 bài NC, h-index &gt;100).</w:t>
      </w:r>
    </w:p>
    <w:p>
      <w:r>
        <w:rPr>
          <w:rFonts w:ascii="Times New Roman" w:hAnsi="Times New Roman"/>
          <w:b w:val="0"/>
          <w:color w:val="FF0000"/>
          <w:sz w:val="24"/>
        </w:rPr>
        <w:t>• Tổng quan TOÀN DIỆN: CBT + dược lý + kết hợp + hướng tương lai — bao quát nhất trong Đề tài về điều trị. BMC NMA 2025 (QT29) tập trung so sánh can thiệp; bài này thêm CƠ CHẾ thần kinh.</w:t>
      </w:r>
    </w:p>
    <w:p>
      <w:r>
        <w:rPr>
          <w:rFonts w:ascii="Times New Roman" w:hAnsi="Times New Roman"/>
          <w:b w:val="0"/>
          <w:color w:val="FF0000"/>
          <w:sz w:val="24"/>
        </w:rPr>
        <w:t>• CAMS: RCT lớn nhất, quan trọng nhất cho lo âu trẻ em. 80,7% kết hợp — con số then chốt cho đề cương.</w:t>
      </w:r>
    </w:p>
    <w:p>
      <w:r>
        <w:rPr>
          <w:rFonts w:ascii="Times New Roman" w:hAnsi="Times New Roman"/>
          <w:b w:val="0"/>
          <w:color w:val="FF0000"/>
          <w:sz w:val="24"/>
        </w:rPr>
        <w:t>• Cảnh báo FDA + phân tích NNT/NNH — cân bằng lợi ích/rủi ro SSRIs rất rõ ràng.</w:t>
      </w:r>
    </w:p>
    <w:p>
      <w:r>
        <w:rPr>
          <w:rFonts w:ascii="Times New Roman" w:hAnsi="Times New Roman"/>
          <w:b w:val="0"/>
          <w:color w:val="FF0000"/>
          <w:sz w:val="24"/>
        </w:rPr>
        <w:t>• Hướng tương lai (ABMT, DCS, VR, biomarker) — mở rộng kiến thức về những gì CHƯA ĐỦ bằng chứng.</w:t>
      </w:r>
    </w:p>
    <w:p>
      <w:r>
        <w:rPr>
          <w:rFonts w:ascii="Times New Roman" w:hAnsi="Times New Roman"/>
          <w:b/>
          <w:color w:val="FF0000"/>
          <w:sz w:val="24"/>
        </w:rPr>
        <w:t>Hạn chế chi tiết:</w:t>
      </w:r>
    </w:p>
    <w:p>
      <w:r>
        <w:rPr>
          <w:rFonts w:ascii="Times New Roman" w:hAnsi="Times New Roman"/>
          <w:b w:val="0"/>
          <w:color w:val="FF0000"/>
          <w:sz w:val="24"/>
        </w:rPr>
        <w:t>• Tổng quan NARRATIVE — không có tìm kiếm hệ thống, không PRISMA. BMC NMA 2025 (QT29) chặt chẽ hơn về phương pháp.</w:t>
      </w:r>
    </w:p>
    <w:p>
      <w:r>
        <w:rPr>
          <w:rFonts w:ascii="Times New Roman" w:hAnsi="Times New Roman"/>
          <w:b w:val="0"/>
          <w:color w:val="FF0000"/>
          <w:sz w:val="24"/>
        </w:rPr>
        <w:t>• Chủ yếu bằng chứng PHƯƠNG TÂY (Mỹ, Âu, Úc) — RẤT ÍT đề cập LMIC/châu Á. VN: 0 RCT CBT cho lo âu trẻ em (Gap #1 cross-study). Zhameden 2025 (QT03): 0 RCT từ VN/ĐNA.</w:t>
      </w:r>
    </w:p>
    <w:p>
      <w:r>
        <w:rPr>
          <w:rFonts w:ascii="Times New Roman" w:hAnsi="Times New Roman"/>
          <w:b w:val="0"/>
          <w:color w:val="FF0000"/>
          <w:sz w:val="24"/>
        </w:rPr>
        <w:t>• Tập trung 3 loại lo âu (GAD, chia ly, xã hội) — không bao gồm phobia cụ thể, PTSD. Jefferies 2020 (QT35): lo âu XÃ HỘI ở VN = 30,7% — cần NC riêng.</w:t>
      </w:r>
    </w:p>
    <w:p>
      <w:r>
        <w:rPr>
          <w:rFonts w:ascii="Times New Roman" w:hAnsi="Times New Roman"/>
          <w:b w:val="0"/>
          <w:color w:val="FF0000"/>
          <w:sz w:val="24"/>
        </w:rPr>
        <w:t>• ABMT, DCS, VR — hướng tương lai nhưng chưa có ĐỦ bằng chứng, đặc biệt ở trẻ em. DCS chỉ 2 RCT nhỏ. ABMT hiệu ứng nhỏ.</w:t>
      </w:r>
    </w:p>
    <w:p>
      <w:r>
        <w:rPr>
          <w:rFonts w:ascii="Times New Roman" w:hAnsi="Times New Roman"/>
          <w:b w:val="0"/>
          <w:color w:val="FF0000"/>
          <w:sz w:val="24"/>
        </w:rPr>
        <w:t>• Không đề cập ACT — BMC NMA 2025 (QT29): ACT xếp hạng 1 (SUCRA 0,69), TRÊN CBT. Thiếu sót quan trọng.</w:t>
      </w:r>
    </w:p>
    <w:p>
      <w:r>
        <w:rPr>
          <w:rFonts w:ascii="Times New Roman" w:hAnsi="Times New Roman"/>
          <w:b w:val="0"/>
          <w:color w:val="FF0000"/>
          <w:sz w:val="24"/>
        </w:rPr>
        <w:t>• Không đề cập PE — BMC NMA 2025 (QT29): PE hiệu quả (SUCRA 0,51). Dễ triển khai tại trường VN (chi phí thấp, không cần chuyên gia).</w:t>
      </w:r>
    </w:p>
    <w:p>
      <w:r>
        <w:rPr>
          <w:rFonts w:ascii="Times New Roman" w:hAnsi="Times New Roman"/>
          <w:b w:val="0"/>
          <w:color w:val="FF0000"/>
          <w:sz w:val="24"/>
        </w:rPr>
        <w:t>• Không đề cập can thiệp TOÀN GIA ĐÌNH — JAMA 2024 (QT33): RCT toàn gia đình Cohen d = 0,53. Phù hợp văn hóa VN.</w:t>
      </w:r>
    </w:p>
    <w:p>
      <w:r>
        <w:rPr>
          <w:rFonts w:ascii="Times New Roman" w:hAnsi="Times New Roman"/>
          <w:b/>
          <w:color w:val="FF0000"/>
          <w:sz w:val="24"/>
        </w:rPr>
        <w:t>Khoảng trống nghiên cứu / Research Gap:</w:t>
      </w:r>
    </w:p>
    <w:p>
      <w:r>
        <w:rPr>
          <w:rFonts w:ascii="Times New Roman" w:hAnsi="Times New Roman"/>
          <w:b w:val="0"/>
          <w:color w:val="FF0000"/>
          <w:sz w:val="24"/>
        </w:rPr>
        <w:t>• VN CHƯA CÓ RCT CBT cho lo âu trẻ em — GAP #1 cross-study, CẤP THIẾT NHẤT. Cần RCT tại trường VN: CBT nhóm (BMC NMA QT29: CBT SUCRA 0,66) + PE (SUCRA 0,51).</w:t>
      </w:r>
    </w:p>
    <w:p>
      <w:r>
        <w:rPr>
          <w:rFonts w:ascii="Times New Roman" w:hAnsi="Times New Roman"/>
          <w:b w:val="0"/>
          <w:color w:val="FF0000"/>
          <w:sz w:val="24"/>
        </w:rPr>
        <w:t>• Đánh giá hiệu quả CBT trong BỐI CẢNH VN — văn hóa, ngôn ngữ, nguồn lực. Zhameden 2025 (QT03): can thiệp trường LMIC 3/4 hiệu quả trầm cảm nhưng chỉ 1/4 lo âu.</w:t>
      </w:r>
    </w:p>
    <w:p>
      <w:r>
        <w:rPr>
          <w:rFonts w:ascii="Times New Roman" w:hAnsi="Times New Roman"/>
          <w:b w:val="0"/>
          <w:color w:val="FF0000"/>
          <w:sz w:val="24"/>
        </w:rPr>
        <w:t>• Kết hợp CBT+SSRI CHƯA được thử nghiệm tại VN — CAMS 80,7% ở Mỹ, có thể khác ở VN (tiếp cận thuốc, nhân lực tâm lý).</w:t>
      </w:r>
    </w:p>
    <w:p>
      <w:r>
        <w:rPr>
          <w:rFonts w:ascii="Times New Roman" w:hAnsi="Times New Roman"/>
          <w:b w:val="0"/>
          <w:color w:val="FF0000"/>
          <w:sz w:val="24"/>
        </w:rPr>
        <w:t>• iCBT cho VN — ÍT nhân lực tâm lý, internet phổ biến → tiềm năng lớn. Cần RCT iCBT tiếng Việt cho VTN.</w:t>
      </w:r>
    </w:p>
    <w:p>
      <w:r>
        <w:rPr>
          <w:rFonts w:ascii="Times New Roman" w:hAnsi="Times New Roman"/>
          <w:b w:val="0"/>
          <w:color w:val="FF0000"/>
          <w:sz w:val="24"/>
        </w:rPr>
        <w:t>• ACT tại VN — BMC NMA (QT29) hạng 1 nhưng MỚI ở VN. Cần đào tạo chuyên gia trước khi thử nghiệm. Thảo Vi 2025 (VN19): lạc quan (β = −0,24 gián tiếp) — gần ACT (chấp nhận + giá trị).</w:t>
      </w:r>
    </w:p>
    <w:p>
      <w:r>
        <w:rPr>
          <w:rFonts w:ascii="Times New Roman" w:hAnsi="Times New Roman"/>
          <w:b w:val="0"/>
          <w:color w:val="FF0000"/>
          <w:sz w:val="24"/>
        </w:rPr>
        <w:t>• PE (hoạt động thể chất) tại trường VN — DỄ TRIỂN KHAI NHẤT, CHI PHÍ THẤP NHẤT. Cần RCT: thể dục + yoga/mindfulness → giảm lo âu? BMC NMA (QT29): PE SUCRA 0,51. Zhu 2025 (QT05): hoạt động ngoài trời bảo vệ SKTT.</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