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bài báo gốc: https://doi.org/10.1111/eip.13530</w:t>
      </w:r>
    </w:p>
    <w:p>
      <w:pPr>
        <w:pStyle w:val="Heading1"/>
      </w:pPr>
      <w:r>
        <w:rPr>
          <w:rFonts w:ascii="Times New Roman" w:hAnsi="Times New Roman"/>
          <w:color w:val="000000"/>
        </w:rPr>
        <w:t>Khám phá xu hướng thay đổi trầm cảm và lo âu ở thanh thiếu niên từ 2012 đến 2019: Từ khảo sát My World cắt ngang lặp lại</w:t>
      </w:r>
    </w:p>
    <w:p>
      <w:r>
        <w:rPr>
          <w:rFonts w:ascii="Times New Roman" w:hAnsi="Times New Roman"/>
          <w:i/>
          <w:sz w:val="26"/>
        </w:rPr>
        <w:t>Exploring Changing Trends in Depression and Anxiety among Adolescents from 2012 to 2019: Insights from My World Repeated Cross-Sectional Surveys</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Exploring Changing Trends in Depression and Anxiety among Adolescents from 2012 to 2019: Insights from My World Repeated Cross-Sectional Surveys</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Khám phá xu hướng thay đổi trầm cảm và lo âu ở thanh thiếu niên từ 2012 đến 2019: Từ khảo sát My World cắt ngang lặp lại</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Amanda Fitzgerald (UCD Dublin), Ciara Mahon (UCD), Mark Shevlin (Ulster University), Barbara Dooley (UCD), Aileen O. Reilly (ALONE)</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School of Psychology, University College Dublin; Ulster University, Coleraine; ALONE, Dublin</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Early Intervention in Psychiatry (Q2, IF ≈ 2,5)</w:t>
            </w:r>
          </w:p>
        </w:tc>
      </w:tr>
      <w:tr>
        <w:tc>
          <w:tcPr>
            <w:tcW w:type="dxa" w:w="4702"/>
            <w:tcW w:w="1984" w:type="dxa"/>
            <w:shd w:fill="D9E2F3" w:val="clear"/>
          </w:tcPr>
          <w:p>
            <w:r>
              <w:rPr>
                <w:rFonts w:ascii="Times New Roman" w:hAnsi="Times New Roman"/>
                <w:b/>
                <w:sz w:val="20"/>
              </w:rPr>
              <w:t>Thông tin xuất bản</w:t>
            </w:r>
          </w:p>
        </w:tc>
        <w:tc>
          <w:tcPr>
            <w:tcW w:type="dxa" w:w="4702"/>
            <w:tcW w:w="7087" w:type="dxa"/>
          </w:tcPr>
          <w:p>
            <w:r>
              <w:rPr>
                <w:rFonts w:ascii="Times New Roman" w:hAnsi="Times New Roman"/>
                <w:sz w:val="20"/>
              </w:rPr>
              <w:t>2024, 11 trang</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10.1111/eip.13530</w:t>
            </w:r>
          </w:p>
        </w:tc>
      </w:tr>
      <w:tr>
        <w:tc>
          <w:tcPr>
            <w:tcW w:type="dxa" w:w="4702"/>
            <w:tcW w:w="1984" w:type="dxa"/>
            <w:shd w:fill="D9E2F3" w:val="clear"/>
          </w:tcPr>
          <w:p>
            <w:r>
              <w:rPr>
                <w:rFonts w:ascii="Times New Roman" w:hAnsi="Times New Roman"/>
                <w:b/>
                <w:sz w:val="20"/>
              </w:rPr>
              <w:t>Loại NC</w:t>
            </w:r>
          </w:p>
        </w:tc>
        <w:tc>
          <w:tcPr>
            <w:tcW w:type="dxa" w:w="4702"/>
            <w:tcW w:w="7087" w:type="dxa"/>
          </w:tcPr>
          <w:p>
            <w:r>
              <w:rPr>
                <w:rFonts w:ascii="Times New Roman" w:hAnsi="Times New Roman"/>
                <w:sz w:val="20"/>
              </w:rPr>
              <w:t>Cắt ngang lặp lại (repeated cross-sectional) — My World Survey</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Đợt 1 (2012): N = 5.490 VTN 12–19 tuổi; Đợt 2 (2019): N = 9.844 VTN 12–19 tuổi; Ireland</w:t>
            </w:r>
          </w:p>
        </w:tc>
      </w:tr>
      <w:tr>
        <w:tc>
          <w:tcPr>
            <w:tcW w:type="dxa" w:w="4702"/>
            <w:tcW w:w="1984" w:type="dxa"/>
            <w:shd w:fill="D9E2F3" w:val="clear"/>
          </w:tcPr>
          <w:p>
            <w:r>
              <w:rPr>
                <w:rFonts w:ascii="Times New Roman" w:hAnsi="Times New Roman"/>
                <w:b/>
                <w:sz w:val="20"/>
              </w:rPr>
              <w:t>Tài trợ</w:t>
            </w:r>
          </w:p>
        </w:tc>
        <w:tc>
          <w:tcPr>
            <w:tcW w:type="dxa" w:w="4702"/>
            <w:tcW w:w="7087" w:type="dxa"/>
          </w:tcPr>
          <w:p>
            <w:r>
              <w:rPr>
                <w:rFonts w:ascii="Times New Roman" w:hAnsi="Times New Roman"/>
                <w:sz w:val="20"/>
              </w:rPr>
              <w:t>Jigsaw — Trung tâm Quốc gia về SKTT Thanh niên Ireland; ESB Energy for Generation Fund</w:t>
            </w:r>
          </w:p>
        </w:tc>
      </w:tr>
    </w:tbl>
    <w:p>
      <w:r>
        <w:rPr>
          <w:rFonts w:ascii="Times New Roman" w:hAnsi="Times New Roman"/>
          <w:i/>
          <w:color w:val="808080"/>
          <w:sz w:val="18"/>
        </w:rPr>
        <w:t>--- Trang 1–11, Early Intervention in Psychiatry, 2024 ---</w:t>
      </w:r>
    </w:p>
    <w:p>
      <w:pPr>
        <w:pStyle w:val="Heading2"/>
      </w:pPr>
      <w:r>
        <w:rPr>
          <w:rFonts w:ascii="Times New Roman" w:hAnsi="Times New Roman"/>
          <w:color w:val="000000"/>
        </w:rPr>
        <w:t>TÓM TẮT</w:t>
      </w:r>
    </w:p>
    <w:p>
      <w:r>
        <w:rPr>
          <w:rFonts w:ascii="Times New Roman" w:hAnsi="Times New Roman"/>
          <w:b w:val="0"/>
          <w:i w:val="0"/>
          <w:sz w:val="24"/>
        </w:rPr>
        <w:t>Mục tiêu: Nghiên cứu chỉ ra tỷ lệ trầm cảm và lo âu ở VTN tăng trong ba thập kỷ qua. Tuy nhiên, các yếu tố cơ bản giải thích xu hướng tăng vẫn chưa được hiểu rõ. Nghiên cứu này kiểm tra các yếu tố nguy cơ và bảo vệ về tâm lý, xã hội và môi trường có thể giải thích thay đổi trong trầm cảm và lo âu ở VTN.</w:t>
      </w:r>
    </w:p>
    <w:p>
      <w:r>
        <w:rPr>
          <w:rFonts w:ascii="Times New Roman" w:hAnsi="Times New Roman"/>
          <w:color w:val="CC0000"/>
          <w:sz w:val="24"/>
        </w:rPr>
        <w:t>Phương pháp: Dữ liệu từ hai khảo sát My World đại diện quốc gia, VTN 12–19 tuổi, năm 2012 (N = 5.490) và 2019 (N = 9.844). Dữ liệu khảo sát về trầm cảm và lo âu (DASS-21) cùng 26 yếu tố nguy cơ/bảo vệ tiềm năng được đánh giá tại cả hai thời điểm. Phân tích đa nhóm (multiple group analysis) đánh giá liệu khả năng dự báo của các yếu tố có thay đổi từ Đợt 1 sang Đợt 2.</w:t>
      </w:r>
    </w:p>
    <w:p>
      <w:r>
        <w:rPr>
          <w:rFonts w:ascii="Times New Roman" w:hAnsi="Times New Roman"/>
          <w:color w:val="CC0000"/>
          <w:sz w:val="24"/>
        </w:rPr>
        <w:t>Kết quả: Tỷ lệ trầm cảm và lo âu TĂNG đáng kể giữa 2012 và 2019, đặc biệt ở nữ. Trầm cảm: M = 7,25 (2012) → 9,88 (2019), F = 246,60***. Lo âu: M = 6,37 → 9,41, F = 449,12***. Các yếu tố dự báo giải thích 37–61% phương sai. Một số yếu tố nhất quán qua cả hai đợt (bắt nạt, phân biệt đối xử, lạc quan), nhưng nữ giới, tìm kiếm trợ giúp chuyên môn, tự trọng thấp hơn, và khả năng phục hồi thấp hơn dự báo lo âu MẠNH HƠN ở Đợt 2 so với Đợt 1.</w:t>
      </w:r>
    </w:p>
    <w:p>
      <w:r>
        <w:rPr>
          <w:rFonts w:ascii="Times New Roman" w:hAnsi="Times New Roman"/>
          <w:b w:val="0"/>
          <w:i w:val="0"/>
          <w:sz w:val="24"/>
        </w:rPr>
        <w:t>Kết luận: Phát hiện nhấn mạnh nhu cầu ưu tiên cung cấp dịch vụ SKTT VTN, đặc biệt cho nữ. Tự trọng và khả năng phục hồi là mục tiêu can thiệp quan trọng. Cần NC thêm để hiểu yếu tố nhân quả liên quan đến tăng lo âu và trầm cảm.</w:t>
      </w:r>
    </w:p>
    <w:p>
      <w:pPr>
        <w:pStyle w:val="Heading2"/>
      </w:pPr>
      <w:r>
        <w:rPr>
          <w:rFonts w:ascii="Times New Roman" w:hAnsi="Times New Roman"/>
          <w:color w:val="000000"/>
        </w:rPr>
        <w:t>TÓM TẮT ĐÁNH GIÁ NHANH</w:t>
      </w:r>
    </w:p>
    <w:p>
      <w:r>
        <w:rPr>
          <w:rFonts w:ascii="Times New Roman" w:hAnsi="Times New Roman"/>
          <w:b w:val="0"/>
          <w:i w:val="0"/>
          <w:sz w:val="24"/>
        </w:rPr>
        <w:t>• My World Survey — khảo sát SKTT thanh niên lớn nhất Ireland, 2 đợt (2012 vs 2019).</w:t>
      </w:r>
    </w:p>
    <w:p>
      <w:r>
        <w:rPr>
          <w:rFonts w:ascii="Times New Roman" w:hAnsi="Times New Roman"/>
          <w:b w:val="0"/>
          <w:i w:val="0"/>
          <w:sz w:val="24"/>
        </w:rPr>
        <w:t>• Mẫu cực lớn: 5.490 + 9.844 = 15.334 VTN 12–19 tuổi.</w:t>
      </w:r>
    </w:p>
    <w:p>
      <w:r>
        <w:rPr>
          <w:rFonts w:ascii="Times New Roman" w:hAnsi="Times New Roman"/>
          <w:b w:val="0"/>
          <w:i w:val="0"/>
          <w:sz w:val="24"/>
        </w:rPr>
        <w:t>• Lo âu TĂNG 48% (M: 6,37 → 9,41); Trầm cảm TĂNG 36% (M: 7,25 → 9,88).</w:t>
      </w:r>
    </w:p>
    <w:p>
      <w:r>
        <w:rPr>
          <w:rFonts w:ascii="Times New Roman" w:hAnsi="Times New Roman"/>
          <w:b w:val="0"/>
          <w:i w:val="0"/>
          <w:sz w:val="24"/>
        </w:rPr>
        <w:t>• Xu hướng TRƯỚC COVID — xác nhận tăng không chỉ do đại dịch. Phù hợp Norway 2025 (QT21, 13 năm tăng), JAACAP 2024 (QT23, lo âu gấp đôi Mỹ), GBD 2025 (QT30, AAPC 0,84%).</w:t>
      </w:r>
    </w:p>
    <w:p>
      <w:r>
        <w:rPr>
          <w:rFonts w:ascii="Times New Roman" w:hAnsi="Times New Roman"/>
          <w:b w:val="0"/>
          <w:i w:val="0"/>
          <w:sz w:val="24"/>
        </w:rPr>
        <w:t>• Multi-group path analysis — kiểm tra yếu tố nào THAY ĐỔI giữa 2 đợt (phương pháp nâng cao).</w:t>
      </w:r>
    </w:p>
    <w:p>
      <w:r>
        <w:rPr>
          <w:rFonts w:ascii="Times New Roman" w:hAnsi="Times New Roman"/>
          <w:b w:val="0"/>
          <w:i w:val="0"/>
          <w:sz w:val="24"/>
        </w:rPr>
        <w:t>• One Good Adult (OGA) — yếu tố bảo vệ đặc sắc: có 1 người lớn tin tưởng giảm lo âu/trầm cảm.</w:t>
      </w:r>
    </w:p>
    <w:p>
      <w:r>
        <w:rPr>
          <w:rFonts w:ascii="Times New Roman" w:hAnsi="Times New Roman"/>
          <w:b w:val="0"/>
          <w:i w:val="0"/>
          <w:sz w:val="24"/>
        </w:rPr>
        <w:t>• Tự trọng và resilience MẠNH HƠN ở 2019 — gợi ý các yếu tố này trở nên quan trọng hơn theo thời gian.</w:t>
      </w:r>
    </w:p>
    <w:p>
      <w:r>
        <w:rPr>
          <w:rFonts w:ascii="Times New Roman" w:hAnsi="Times New Roman"/>
          <w:b w:val="0"/>
          <w:i w:val="0"/>
          <w:sz w:val="24"/>
        </w:rPr>
        <w:t>• 26 yếu tố nguy cơ/bảo vệ được đánh giá đồng thời — toàn diện.</w:t>
      </w:r>
    </w:p>
    <w:p>
      <w:r>
        <w:rPr>
          <w:rFonts w:ascii="Times New Roman" w:hAnsi="Times New Roman"/>
          <w:b/>
          <w:i w:val="0"/>
          <w:sz w:val="24"/>
        </w:rPr>
        <w:t>Hạn chế:</w:t>
      </w:r>
    </w:p>
    <w:p>
      <w:r>
        <w:rPr>
          <w:rFonts w:ascii="Times New Roman" w:hAnsi="Times New Roman"/>
          <w:b w:val="0"/>
          <w:i w:val="0"/>
          <w:sz w:val="24"/>
        </w:rPr>
        <w:t>• Chỉ Ireland — giàu, Tây Âu, văn hóa khác VN/châu Á.</w:t>
      </w:r>
    </w:p>
    <w:p>
      <w:r>
        <w:rPr>
          <w:rFonts w:ascii="Times New Roman" w:hAnsi="Times New Roman"/>
          <w:b w:val="0"/>
          <w:i w:val="0"/>
          <w:sz w:val="24"/>
        </w:rPr>
        <w:t>• Cắt ngang lặp lại — không theo dõi cùng cá nhân, không xác lập nhân quả.</w:t>
      </w:r>
    </w:p>
    <w:p>
      <w:r>
        <w:rPr>
          <w:rFonts w:ascii="Times New Roman" w:hAnsi="Times New Roman"/>
          <w:b w:val="0"/>
          <w:i w:val="0"/>
          <w:sz w:val="24"/>
        </w:rPr>
        <w:t>• DASS-21 sàng lọc — không chẩn đoán. So V-NAMHS 2022 (DISC-5 chẩn đoán: 2,3%).</w:t>
      </w:r>
    </w:p>
    <w:p>
      <w:r>
        <w:rPr>
          <w:rFonts w:ascii="Times New Roman" w:hAnsi="Times New Roman"/>
          <w:b w:val="0"/>
          <w:i w:val="0"/>
          <w:sz w:val="24"/>
        </w:rPr>
        <w:t>• Đợt 2 chỉ đến 2019 — không phản ánh hậu COVID.</w:t>
      </w:r>
    </w:p>
    <w:p>
      <w:r>
        <w:rPr>
          <w:rFonts w:ascii="Times New Roman" w:hAnsi="Times New Roman"/>
          <w:b w:val="0"/>
          <w:i w:val="0"/>
          <w:sz w:val="24"/>
        </w:rPr>
        <w:t>• Mẫu 2019 lớn hơn nhiều (9.844 vs 5.490) — có thể ảnh hưởng so sánh.</w:t>
      </w:r>
    </w:p>
    <w:p>
      <w:r>
        <w:rPr>
          <w:rFonts w:ascii="Times New Roman" w:hAnsi="Times New Roman"/>
          <w:b/>
          <w:i w:val="0"/>
          <w:sz w:val="24"/>
        </w:rPr>
        <w:t>Hướng cải thiện:</w:t>
      </w:r>
    </w:p>
    <w:p>
      <w:r>
        <w:rPr>
          <w:rFonts w:ascii="Times New Roman" w:hAnsi="Times New Roman"/>
          <w:b w:val="0"/>
          <w:i w:val="0"/>
          <w:sz w:val="24"/>
        </w:rPr>
        <w:t>• NC tương tự tại VN: khảo sát lặp lại (trước/sau COVID) với DASS-21.</w:t>
      </w:r>
    </w:p>
    <w:p>
      <w:r>
        <w:rPr>
          <w:rFonts w:ascii="Times New Roman" w:hAnsi="Times New Roman"/>
          <w:b w:val="0"/>
          <w:i w:val="0"/>
          <w:sz w:val="24"/>
        </w:rPr>
        <w:t>• Áp dụng OGA cho VN — xây dựng chương trình mentor tại trường.</w:t>
      </w:r>
    </w:p>
    <w:p>
      <w:r>
        <w:rPr>
          <w:rFonts w:ascii="Times New Roman" w:hAnsi="Times New Roman"/>
          <w:b w:val="0"/>
          <w:i w:val="0"/>
          <w:sz w:val="24"/>
        </w:rPr>
        <w:t>• NC dọc (longitudinal) để xác nhận nhân quả: tự trọng thấp → tăng lo âu hay ngược lại?</w:t>
      </w:r>
    </w:p>
    <w:p>
      <w:r>
        <w:rPr>
          <w:rFonts w:ascii="Times New Roman" w:hAnsi="Times New Roman"/>
          <w:i/>
          <w:color w:val="808080"/>
          <w:sz w:val="18"/>
        </w:rPr>
        <w:t>--- Trang 1–2, Early Intervention in Psychiatry, 2024 ---</w:t>
      </w:r>
    </w:p>
    <w:p>
      <w:pPr>
        <w:pStyle w:val="Heading2"/>
      </w:pPr>
      <w:r>
        <w:rPr>
          <w:rFonts w:ascii="Times New Roman" w:hAnsi="Times New Roman"/>
          <w:color w:val="000000"/>
        </w:rPr>
        <w:t>1. GIỚI THIỆU</w:t>
      </w:r>
    </w:p>
    <w:p>
      <w:r>
        <w:rPr>
          <w:rFonts w:ascii="Times New Roman" w:hAnsi="Times New Roman"/>
          <w:b w:val="0"/>
          <w:i w:val="0"/>
          <w:sz w:val="24"/>
        </w:rPr>
        <w:t>Tuổi VTN là giai đoạn phát triển quan trọng, có thể định hình khả năng, mức độ nghiêm trọng và diễn biến của các vấn đề SKTT (Kessler et al., 2007, 2012). Có bằng chứng rằng 62,5% rối loạn tâm thần xảy ra trước 25 tuổi (Solmi et al., 2022). Tuy nhiên, các vấn đề SKTT ở nhóm tuổi này thường không được phát hiện cho đến khi trưởng thành và nhiều người trẻ không nhận được hỗ trợ đầy đủ (Hetrick et al., 2018).</w:t>
      </w:r>
    </w:p>
    <w:p>
      <w:r>
        <w:rPr>
          <w:rFonts w:ascii="Times New Roman" w:hAnsi="Times New Roman"/>
          <w:b w:val="0"/>
          <w:i w:val="0"/>
          <w:sz w:val="24"/>
        </w:rPr>
        <w:t>Bằng chứng cho thấy tỷ lệ các vấn đề SKTT, đặc biệt lo âu và trầm cảm, đang tăng ở VTN (Bor et al., 2014; Collishaw, 2015). Mặc dù bằng chứng từ nước thu nhập thấp hạn chế, các NC từ nước thu nhập cao bao gồm Mỹ (Keyes et al., 2019; Lu, 2019), New Zealand (Fleming et al., 2014), Anh (Patalay &amp; Gage, 2019), và các nước châu Âu khác (Thorisdottir et al., 2017; Tørmoen et al., 2020; Von Soest et al., 2014) đều chỉ ra xu hướng tăng, mặc dù tỷ lệ khác nhau giữa các nước.</w:t>
      </w:r>
    </w:p>
    <w:p>
      <w:r>
        <w:rPr>
          <w:rFonts w:ascii="Times New Roman" w:hAnsi="Times New Roman"/>
          <w:b w:val="0"/>
          <w:i w:val="0"/>
          <w:sz w:val="24"/>
        </w:rPr>
        <w:t>Một số yếu tố được đề xuất đóng góp vào tăng SKTT: thay đổi cấu trúc gia đình, phụ thuộc kéo dài vào cha mẹ (Patton et al., 2016); tăng screen time và MXH (Carli et al., 2014); bắt nạt mạng (Bottino et al., 2015); áp lực trường học (Sweeting et al., 2010); giấc ngủ kém (Keyes et al., 2015); lối sống ít vận động (Felez-Nobrega et al., 2020); sử dụng cần sa và lo ngại ngoại hình (Von Soest et al., 2014).</w:t>
      </w:r>
    </w:p>
    <w:p>
      <w:r>
        <w:rPr>
          <w:rFonts w:ascii="Times New Roman" w:hAnsi="Times New Roman"/>
          <w:b w:val="0"/>
          <w:i w:val="0"/>
          <w:sz w:val="24"/>
        </w:rPr>
        <w:t>Khái niệm "One Good Adult" (OGA — Một Người Lớn Tốt): có ít nhất một người trưởng thành đáng tin cậy trong cuộc sống VTN — được chứng minh là yếu tố bảo vệ SKTT quan trọng (Dooley et al., 2015; Sterrett et al., 2011). Điều này đặc biệt phù hợp với văn hóa Việt Nam, nơi thầy/cô giáo và cha mẹ đóng vai trò quan trọng.</w:t>
      </w:r>
    </w:p>
    <w:p>
      <w:r>
        <w:rPr>
          <w:rFonts w:ascii="Times New Roman" w:hAnsi="Times New Roman"/>
          <w:i/>
          <w:color w:val="808080"/>
          <w:sz w:val="18"/>
        </w:rPr>
        <w:t>--- Trang 2–5, Early Intervention in Psychiatry, 2024 ---</w:t>
      </w:r>
    </w:p>
    <w:p>
      <w:pPr>
        <w:pStyle w:val="Heading2"/>
      </w:pPr>
      <w:r>
        <w:rPr>
          <w:rFonts w:ascii="Times New Roman" w:hAnsi="Times New Roman"/>
          <w:color w:val="000000"/>
        </w:rPr>
        <w:t>2. PHƯƠNG PHÁP</w:t>
      </w:r>
    </w:p>
    <w:p>
      <w:r>
        <w:rPr>
          <w:rFonts w:ascii="Times New Roman" w:hAnsi="Times New Roman"/>
          <w:b/>
          <w:i w:val="0"/>
          <w:sz w:val="24"/>
        </w:rPr>
        <w:t>2.1. Mẫu và quy trình</w:t>
      </w:r>
    </w:p>
    <w:p>
      <w:r>
        <w:rPr>
          <w:rFonts w:ascii="Times New Roman" w:hAnsi="Times New Roman"/>
          <w:b w:val="0"/>
          <w:i w:val="0"/>
          <w:sz w:val="24"/>
        </w:rPr>
        <w:t>My World Survey: khảo sát cộng đồng lớn nhất Ireland về SKTT thanh niên. Đợt 1 (My World Survey 1; Dooley &amp; Fitzgerald, 2013): n = 5.490 VTN 12–19 tuổi, năm 2012. Đợt 2 (My World Survey 2; Dooley et al., 2019): n = 9.844 VTN 12–19 tuổi, năm 2019. Phân tích hiện tại sử dụng mẫu cắt giảm: Đợt 1 n = 6.085, Đợt 2 n = 5.869 (sau loại trừ dữ liệu thiếu).</w:t>
      </w:r>
    </w:p>
    <w:p>
      <w:r>
        <w:rPr>
          <w:rFonts w:ascii="Times New Roman" w:hAnsi="Times New Roman"/>
          <w:b w:val="0"/>
          <w:i w:val="0"/>
          <w:sz w:val="24"/>
        </w:rPr>
        <w:t>Thu thập: Trường học được chọn ngẫu nhiên từ danh sách Bộ Giáo dục Ireland (Primary và Post-primary). Tất cả trường được gửi thư mời + biểu mẫu đồng ý. Khảo sát giấy hoặc trực tuyến tại trường, có hoặc không có trợ lý nghiên cứu.</w:t>
      </w:r>
    </w:p>
    <w:p>
      <w:r>
        <w:rPr>
          <w:rFonts w:ascii="Times New Roman" w:hAnsi="Times New Roman"/>
          <w:b w:val="0"/>
          <w:i w:val="0"/>
          <w:sz w:val="24"/>
        </w:rPr>
        <w:t>Phê duyệt đạo đức: UCD School of Psychology.</w:t>
      </w:r>
    </w:p>
    <w:p>
      <w:r>
        <w:rPr>
          <w:rFonts w:ascii="Times New Roman" w:hAnsi="Times New Roman"/>
          <w:b/>
          <w:i w:val="0"/>
          <w:sz w:val="24"/>
        </w:rPr>
        <w:t>2.2. Thang đo</w:t>
      </w:r>
    </w:p>
    <w:p>
      <w:r>
        <w:rPr>
          <w:rFonts w:ascii="Times New Roman" w:hAnsi="Times New Roman"/>
          <w:b w:val="0"/>
          <w:i w:val="0"/>
          <w:sz w:val="24"/>
        </w:rPr>
        <w:t>26 biến nguy cơ và bảo vệ được đánh giá (Bảng 1 gốc). Biến phụ thuộc:</w:t>
      </w:r>
    </w:p>
    <w:p>
      <w:r>
        <w:rPr>
          <w:rFonts w:ascii="Times New Roman" w:hAnsi="Times New Roman"/>
          <w:b w:val="0"/>
          <w:i w:val="0"/>
          <w:sz w:val="24"/>
        </w:rPr>
        <w:t>• Trầm cảm + Lo âu: DASS-21 (Lovibond &amp; Lovibond, 1995). Tiểu thang trầm cảm (7 mục, 0–42) và lo âu (7 mục, 0–42). Likert 4 điểm (0–3), tổng × 2. Ngưỡng: Bình thường (trầm cảm 0–9, lo âu 0–7), Nhẹ–Trung bình (10–20 / 8–19), Nặng/Rất nặng (21–42 / 15–42). α Đợt 1: 0,88 (trầm cảm), 0,80 (lo âu); Đợt 2: 0,91, 0,84.</w:t>
      </w:r>
    </w:p>
    <w:p>
      <w:r>
        <w:rPr>
          <w:rFonts w:ascii="Times New Roman" w:hAnsi="Times New Roman"/>
          <w:b w:val="0"/>
          <w:i w:val="0"/>
          <w:sz w:val="24"/>
        </w:rPr>
        <w:t>• Triệu chứng loạn thần: APSS (Kelleher et al., 2011), 3 mục.</w:t>
      </w:r>
    </w:p>
    <w:p>
      <w:r>
        <w:rPr>
          <w:rFonts w:ascii="Times New Roman" w:hAnsi="Times New Roman"/>
          <w:b w:val="0"/>
          <w:i w:val="0"/>
          <w:sz w:val="24"/>
        </w:rPr>
        <w:t>• Rượu: AUDIT (Saunders et al., 1993), 10 mục, 0–40.</w:t>
      </w:r>
    </w:p>
    <w:p>
      <w:r>
        <w:rPr>
          <w:rFonts w:ascii="Times New Roman" w:hAnsi="Times New Roman"/>
          <w:b w:val="0"/>
          <w:i w:val="0"/>
          <w:sz w:val="24"/>
        </w:rPr>
        <w:t>• Lạc quan: LOT-R (Carver &amp; Scheier, 1985), 6 mục, 0–24. α: 0,89/0,74.</w:t>
      </w:r>
    </w:p>
    <w:p>
      <w:r>
        <w:rPr>
          <w:rFonts w:ascii="Times New Roman" w:hAnsi="Times New Roman"/>
          <w:b w:val="0"/>
          <w:i w:val="0"/>
          <w:sz w:val="24"/>
        </w:rPr>
        <w:t>• Hài lòng cuộc sống: BMSLSS-PTTB (Seligson et al., 2003), 6 mục, 6–42. α: 0,81/0,84.</w:t>
      </w:r>
    </w:p>
    <w:p>
      <w:r>
        <w:rPr>
          <w:rFonts w:ascii="Times New Roman" w:hAnsi="Times New Roman"/>
          <w:b w:val="0"/>
          <w:i w:val="0"/>
          <w:sz w:val="24"/>
        </w:rPr>
        <w:t>• Khả năng phục hồi (Resilience): READ (Hjemdal et al., 2007) — 3 tiểu thang: Năng lực cá nhân (8 mục), Gắn kết gia đình (6 mục), Năng lực xã hội (5 mục).</w:t>
      </w:r>
    </w:p>
    <w:p>
      <w:r>
        <w:rPr>
          <w:rFonts w:ascii="Times New Roman" w:hAnsi="Times New Roman"/>
          <w:b w:val="0"/>
          <w:i w:val="0"/>
          <w:sz w:val="24"/>
        </w:rPr>
        <w:t>• Kết nối bạn bè + trường: MAC (Karcher &amp; Lee, 2002), 6+6 mục.</w:t>
      </w:r>
    </w:p>
    <w:p>
      <w:r>
        <w:rPr>
          <w:rFonts w:ascii="Times New Roman" w:hAnsi="Times New Roman"/>
          <w:b w:val="0"/>
          <w:i w:val="0"/>
          <w:sz w:val="24"/>
        </w:rPr>
        <w:t>• Hỗ trợ xã hội: MSPSS (Zimet et al., 1988), 12 mục, 12–84. α: 0,93/0,95.</w:t>
      </w:r>
    </w:p>
    <w:p>
      <w:r>
        <w:rPr>
          <w:rFonts w:ascii="Times New Roman" w:hAnsi="Times New Roman"/>
          <w:b w:val="0"/>
          <w:i w:val="0"/>
          <w:sz w:val="24"/>
        </w:rPr>
        <w:t>• One Good Adult (OGA): 1 mục — "Bạn có 1 người lớn tin tưởng trong cuộc sống không?"</w:t>
      </w:r>
    </w:p>
    <w:p>
      <w:r>
        <w:rPr>
          <w:rFonts w:ascii="Times New Roman" w:hAnsi="Times New Roman"/>
          <w:b w:val="0"/>
          <w:i w:val="0"/>
          <w:sz w:val="24"/>
        </w:rPr>
        <w:t>• Ứng phó: 2 loại (ứng phó tập trung vấn đề + ứng phó tránh né).</w:t>
      </w:r>
    </w:p>
    <w:p>
      <w:r>
        <w:rPr>
          <w:rFonts w:ascii="Times New Roman" w:hAnsi="Times New Roman"/>
          <w:b w:val="0"/>
          <w:i w:val="0"/>
          <w:sz w:val="24"/>
        </w:rPr>
        <w:t>• Các biến khác: bắt nạt, phân biệt đối xử, hình ảnh cơ thể, cần sa, cha mẹ SKTT, tìm kiếm giúp đỡ (4 cấp).</w:t>
      </w:r>
    </w:p>
    <w:p>
      <w:r>
        <w:rPr>
          <w:rFonts w:ascii="Times New Roman" w:hAnsi="Times New Roman"/>
          <w:b/>
          <w:i w:val="0"/>
          <w:sz w:val="24"/>
        </w:rPr>
        <w:t>2.3. Phân tích</w:t>
      </w:r>
    </w:p>
    <w:p>
      <w:r>
        <w:rPr>
          <w:rFonts w:ascii="Times New Roman" w:hAnsi="Times New Roman"/>
          <w:b w:val="0"/>
          <w:i w:val="0"/>
          <w:sz w:val="24"/>
        </w:rPr>
        <w:t>SPSS 26 (thống kê mô tả, ANOVA, chi-square) + Mplus 8.4 (multi-group path analysis). Nhóm = Đợt 1/2. Trầm cảm và lo âu được hồi quy đồng thời trên 26 biến dự báo. Mô hình cơ bản: ràng buộc tất cả hệ số bằng nhau giữa 2 đợt ("stability model"). Chỉ số sửa đổi (MI &gt; 5) cho biết ràng buộc nào cần nới lỏng. Đánh giá mô hình: CFI, TLI, RMSEA, SRMR.</w:t>
      </w:r>
    </w:p>
    <w:p>
      <w:r>
        <w:rPr>
          <w:rFonts w:ascii="Times New Roman" w:hAnsi="Times New Roman"/>
          <w:i/>
          <w:color w:val="808080"/>
          <w:sz w:val="18"/>
        </w:rPr>
        <w:t>--- Trang 5–8, Early Intervention in Psychiatry, 2024 ---</w:t>
      </w:r>
    </w:p>
    <w:p>
      <w:pPr>
        <w:pStyle w:val="Heading2"/>
      </w:pPr>
      <w:r>
        <w:rPr>
          <w:rFonts w:ascii="Times New Roman" w:hAnsi="Times New Roman"/>
          <w:color w:val="000000"/>
        </w:rPr>
        <w:t>3. KẾT QUẢ</w:t>
      </w:r>
    </w:p>
    <w:p>
      <w:r>
        <w:rPr>
          <w:rFonts w:ascii="Times New Roman" w:hAnsi="Times New Roman"/>
          <w:b/>
          <w:i w:val="0"/>
          <w:sz w:val="24"/>
        </w:rPr>
        <w:t>3.1. Thay đổi trầm cảm và lo âu 2012 → 2019</w:t>
      </w:r>
    </w:p>
    <w:p>
      <w:pPr>
        <w:pStyle w:val="Heading3"/>
      </w:pPr>
      <w:r>
        <w:rPr>
          <w:rFonts w:ascii="Times New Roman" w:hAnsi="Times New Roman"/>
          <w:color w:val="000000"/>
        </w:rPr>
        <w:t>Bảng 1. Thay đổi trầm cảm và lo âu 2012 → 2019 (DASS-21)</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2268" w:type="dxa"/>
            <w:shd w:fill="D9E2F3" w:val="clear"/>
          </w:tcPr>
          <w:p>
            <w:pPr>
              <w:jc w:val="center"/>
            </w:pPr>
            <w:r>
              <w:rPr>
                <w:rFonts w:ascii="Times New Roman" w:hAnsi="Times New Roman"/>
                <w:b/>
                <w:sz w:val="20"/>
              </w:rPr>
              <w:t>Chỉ số</w:t>
            </w:r>
          </w:p>
        </w:tc>
        <w:tc>
          <w:tcPr>
            <w:tcW w:type="dxa" w:w="1881"/>
            <w:tcW w:w="1984" w:type="dxa"/>
            <w:shd w:fill="D9E2F3" w:val="clear"/>
          </w:tcPr>
          <w:p>
            <w:pPr>
              <w:jc w:val="center"/>
            </w:pPr>
            <w:r>
              <w:rPr>
                <w:rFonts w:ascii="Times New Roman" w:hAnsi="Times New Roman"/>
                <w:b/>
                <w:sz w:val="20"/>
              </w:rPr>
              <w:t>Đợt 1 (2012) M (SD)</w:t>
            </w:r>
          </w:p>
        </w:tc>
        <w:tc>
          <w:tcPr>
            <w:tcW w:type="dxa" w:w="1881"/>
            <w:tcW w:w="1984" w:type="dxa"/>
            <w:shd w:fill="D9E2F3" w:val="clear"/>
          </w:tcPr>
          <w:p>
            <w:pPr>
              <w:jc w:val="center"/>
            </w:pPr>
            <w:r>
              <w:rPr>
                <w:rFonts w:ascii="Times New Roman" w:hAnsi="Times New Roman"/>
                <w:b/>
                <w:sz w:val="20"/>
              </w:rPr>
              <w:t>Đợt 2 (2019) M (SD)</w:t>
            </w:r>
          </w:p>
        </w:tc>
        <w:tc>
          <w:tcPr>
            <w:tcW w:type="dxa" w:w="1881"/>
            <w:tcW w:w="1134" w:type="dxa"/>
            <w:shd w:fill="D9E2F3" w:val="clear"/>
          </w:tcPr>
          <w:p>
            <w:pPr>
              <w:jc w:val="center"/>
            </w:pPr>
            <w:r>
              <w:rPr>
                <w:rFonts w:ascii="Times New Roman" w:hAnsi="Times New Roman"/>
                <w:b/>
                <w:sz w:val="20"/>
              </w:rPr>
              <w:t>F</w:t>
            </w:r>
          </w:p>
        </w:tc>
        <w:tc>
          <w:tcPr>
            <w:tcW w:type="dxa" w:w="1881"/>
            <w:tcW w:w="1417" w:type="dxa"/>
            <w:shd w:fill="D9E2F3" w:val="clear"/>
          </w:tcPr>
          <w:p>
            <w:pPr>
              <w:jc w:val="center"/>
            </w:pPr>
            <w:r>
              <w:rPr>
                <w:rFonts w:ascii="Times New Roman" w:hAnsi="Times New Roman"/>
                <w:b/>
                <w:sz w:val="20"/>
              </w:rPr>
              <w:t>Thay đổi</w:t>
            </w:r>
          </w:p>
        </w:tc>
      </w:tr>
      <w:tr>
        <w:tc>
          <w:tcPr>
            <w:tcW w:type="dxa" w:w="1881"/>
            <w:tcW w:w="2268" w:type="dxa"/>
          </w:tcPr>
          <w:p>
            <w:r>
              <w:rPr>
                <w:rFonts w:ascii="Times New Roman" w:hAnsi="Times New Roman"/>
                <w:sz w:val="20"/>
              </w:rPr>
              <w:t>Trầm cảm (DASS-21)</w:t>
            </w:r>
          </w:p>
        </w:tc>
        <w:tc>
          <w:tcPr>
            <w:tcW w:type="dxa" w:w="1881"/>
            <w:tcW w:w="1984" w:type="dxa"/>
          </w:tcPr>
          <w:p>
            <w:r>
              <w:rPr>
                <w:rFonts w:ascii="Times New Roman" w:hAnsi="Times New Roman"/>
                <w:sz w:val="20"/>
              </w:rPr>
              <w:t>7,25 (8,58)</w:t>
            </w:r>
          </w:p>
        </w:tc>
        <w:tc>
          <w:tcPr>
            <w:tcW w:type="dxa" w:w="1881"/>
            <w:tcW w:w="1984" w:type="dxa"/>
          </w:tcPr>
          <w:p>
            <w:r>
              <w:rPr>
                <w:rFonts w:ascii="Times New Roman" w:hAnsi="Times New Roman"/>
                <w:sz w:val="20"/>
              </w:rPr>
              <w:t>9,88 (10,44)</w:t>
            </w:r>
          </w:p>
        </w:tc>
        <w:tc>
          <w:tcPr>
            <w:tcW w:type="dxa" w:w="1881"/>
            <w:tcW w:w="1134" w:type="dxa"/>
          </w:tcPr>
          <w:p>
            <w:r>
              <w:rPr>
                <w:rFonts w:ascii="Times New Roman" w:hAnsi="Times New Roman"/>
                <w:sz w:val="20"/>
              </w:rPr>
              <w:t>246,60***</w:t>
            </w:r>
          </w:p>
        </w:tc>
        <w:tc>
          <w:tcPr>
            <w:tcW w:type="dxa" w:w="1881"/>
            <w:tcW w:w="1417" w:type="dxa"/>
          </w:tcPr>
          <w:p>
            <w:r>
              <w:rPr>
                <w:rFonts w:ascii="Times New Roman" w:hAnsi="Times New Roman"/>
                <w:sz w:val="20"/>
              </w:rPr>
              <w:t>↑ TĂNG 36%</w:t>
            </w:r>
          </w:p>
        </w:tc>
      </w:tr>
      <w:tr>
        <w:tc>
          <w:tcPr>
            <w:tcW w:type="dxa" w:w="1881"/>
            <w:tcW w:w="2268" w:type="dxa"/>
          </w:tcPr>
          <w:p>
            <w:r>
              <w:rPr>
                <w:rFonts w:ascii="Times New Roman" w:hAnsi="Times New Roman"/>
                <w:sz w:val="20"/>
              </w:rPr>
              <w:t>Lo âu (DASS-21)</w:t>
            </w:r>
          </w:p>
        </w:tc>
        <w:tc>
          <w:tcPr>
            <w:tcW w:type="dxa" w:w="1881"/>
            <w:tcW w:w="1984" w:type="dxa"/>
          </w:tcPr>
          <w:p>
            <w:r>
              <w:rPr>
                <w:rFonts w:ascii="Times New Roman" w:hAnsi="Times New Roman"/>
                <w:sz w:val="20"/>
              </w:rPr>
              <w:t>6,37 (7,33)</w:t>
            </w:r>
          </w:p>
        </w:tc>
        <w:tc>
          <w:tcPr>
            <w:tcW w:type="dxa" w:w="1881"/>
            <w:tcW w:w="1984" w:type="dxa"/>
          </w:tcPr>
          <w:p>
            <w:r>
              <w:rPr>
                <w:rFonts w:ascii="Times New Roman" w:hAnsi="Times New Roman"/>
                <w:sz w:val="20"/>
              </w:rPr>
              <w:t>9,41 (8,98)</w:t>
            </w:r>
          </w:p>
        </w:tc>
        <w:tc>
          <w:tcPr>
            <w:tcW w:type="dxa" w:w="1881"/>
            <w:tcW w:w="1134" w:type="dxa"/>
          </w:tcPr>
          <w:p>
            <w:r>
              <w:rPr>
                <w:rFonts w:ascii="Times New Roman" w:hAnsi="Times New Roman"/>
                <w:sz w:val="20"/>
              </w:rPr>
              <w:t>449,12***</w:t>
            </w:r>
          </w:p>
        </w:tc>
        <w:tc>
          <w:tcPr>
            <w:tcW w:type="dxa" w:w="1881"/>
            <w:tcW w:w="1417" w:type="dxa"/>
          </w:tcPr>
          <w:p>
            <w:r>
              <w:rPr>
                <w:rFonts w:ascii="Times New Roman" w:hAnsi="Times New Roman"/>
                <w:sz w:val="20"/>
              </w:rPr>
              <w:t>↑ TĂNG 48%</w:t>
            </w:r>
          </w:p>
        </w:tc>
      </w:tr>
      <w:tr>
        <w:tc>
          <w:tcPr>
            <w:tcW w:type="dxa" w:w="1881"/>
            <w:tcW w:w="2268" w:type="dxa"/>
          </w:tcPr>
          <w:p>
            <w:r>
              <w:rPr>
                <w:rFonts w:ascii="Times New Roman" w:hAnsi="Times New Roman"/>
                <w:sz w:val="20"/>
              </w:rPr>
              <w:t>Tự trọng (Rosenberg)</w:t>
            </w:r>
          </w:p>
        </w:tc>
        <w:tc>
          <w:tcPr>
            <w:tcW w:type="dxa" w:w="1881"/>
            <w:tcW w:w="1984" w:type="dxa"/>
          </w:tcPr>
          <w:p>
            <w:r>
              <w:rPr>
                <w:rFonts w:ascii="Times New Roman" w:hAnsi="Times New Roman"/>
                <w:sz w:val="20"/>
              </w:rPr>
              <w:t>28,67 (5,70)</w:t>
            </w:r>
          </w:p>
        </w:tc>
        <w:tc>
          <w:tcPr>
            <w:tcW w:type="dxa" w:w="1881"/>
            <w:tcW w:w="1984" w:type="dxa"/>
          </w:tcPr>
          <w:p>
            <w:r>
              <w:rPr>
                <w:rFonts w:ascii="Times New Roman" w:hAnsi="Times New Roman"/>
                <w:sz w:val="20"/>
              </w:rPr>
              <w:t>26,46 (5,26)</w:t>
            </w:r>
          </w:p>
        </w:tc>
        <w:tc>
          <w:tcPr>
            <w:tcW w:type="dxa" w:w="1881"/>
            <w:tcW w:w="1134" w:type="dxa"/>
          </w:tcPr>
          <w:p>
            <w:r>
              <w:rPr>
                <w:rFonts w:ascii="Times New Roman" w:hAnsi="Times New Roman"/>
                <w:sz w:val="20"/>
              </w:rPr>
              <w:t>562,39***</w:t>
            </w:r>
          </w:p>
        </w:tc>
        <w:tc>
          <w:tcPr>
            <w:tcW w:type="dxa" w:w="1881"/>
            <w:tcW w:w="1417" w:type="dxa"/>
          </w:tcPr>
          <w:p>
            <w:r>
              <w:rPr>
                <w:rFonts w:ascii="Times New Roman" w:hAnsi="Times New Roman"/>
                <w:sz w:val="20"/>
              </w:rPr>
              <w:t>↓ GIẢM 8%</w:t>
            </w:r>
          </w:p>
        </w:tc>
      </w:tr>
      <w:tr>
        <w:tc>
          <w:tcPr>
            <w:tcW w:type="dxa" w:w="1881"/>
            <w:tcW w:w="2268" w:type="dxa"/>
          </w:tcPr>
          <w:p>
            <w:r>
              <w:rPr>
                <w:rFonts w:ascii="Times New Roman" w:hAnsi="Times New Roman"/>
                <w:sz w:val="20"/>
              </w:rPr>
              <w:t>Rượu (AUDIT)</w:t>
            </w:r>
          </w:p>
        </w:tc>
        <w:tc>
          <w:tcPr>
            <w:tcW w:type="dxa" w:w="1881"/>
            <w:tcW w:w="1984" w:type="dxa"/>
          </w:tcPr>
          <w:p>
            <w:r>
              <w:rPr>
                <w:rFonts w:ascii="Times New Roman" w:hAnsi="Times New Roman"/>
                <w:sz w:val="20"/>
              </w:rPr>
              <w:t>3,91 (5,81)</w:t>
            </w:r>
          </w:p>
        </w:tc>
        <w:tc>
          <w:tcPr>
            <w:tcW w:type="dxa" w:w="1881"/>
            <w:tcW w:w="1984" w:type="dxa"/>
          </w:tcPr>
          <w:p>
            <w:r>
              <w:rPr>
                <w:rFonts w:ascii="Times New Roman" w:hAnsi="Times New Roman"/>
                <w:sz w:val="20"/>
              </w:rPr>
              <w:t>2,75 (4,88)</w:t>
            </w:r>
          </w:p>
        </w:tc>
        <w:tc>
          <w:tcPr>
            <w:tcW w:type="dxa" w:w="1881"/>
            <w:tcW w:w="1134" w:type="dxa"/>
          </w:tcPr>
          <w:p>
            <w:r>
              <w:rPr>
                <w:rFonts w:ascii="Times New Roman" w:hAnsi="Times New Roman"/>
                <w:sz w:val="20"/>
              </w:rPr>
              <w:t>172,30***</w:t>
            </w:r>
          </w:p>
        </w:tc>
        <w:tc>
          <w:tcPr>
            <w:tcW w:type="dxa" w:w="1881"/>
            <w:tcW w:w="1417" w:type="dxa"/>
          </w:tcPr>
          <w:p>
            <w:r>
              <w:rPr>
                <w:rFonts w:ascii="Times New Roman" w:hAnsi="Times New Roman"/>
                <w:sz w:val="20"/>
              </w:rPr>
              <w:t>↓ GIẢM 30%</w:t>
            </w:r>
          </w:p>
        </w:tc>
      </w:tr>
      <w:tr>
        <w:tc>
          <w:tcPr>
            <w:tcW w:type="dxa" w:w="1881"/>
            <w:tcW w:w="2268" w:type="dxa"/>
          </w:tcPr>
          <w:p>
            <w:r>
              <w:rPr>
                <w:rFonts w:ascii="Times New Roman" w:hAnsi="Times New Roman"/>
                <w:sz w:val="20"/>
              </w:rPr>
              <w:t>Hỗ trợ xã hội (MSPSS)</w:t>
            </w:r>
          </w:p>
        </w:tc>
        <w:tc>
          <w:tcPr>
            <w:tcW w:type="dxa" w:w="1881"/>
            <w:tcW w:w="1984" w:type="dxa"/>
          </w:tcPr>
          <w:p>
            <w:r>
              <w:rPr>
                <w:rFonts w:ascii="Times New Roman" w:hAnsi="Times New Roman"/>
                <w:sz w:val="20"/>
              </w:rPr>
              <w:t>62,29 (15,49)</w:t>
            </w:r>
          </w:p>
        </w:tc>
        <w:tc>
          <w:tcPr>
            <w:tcW w:type="dxa" w:w="1881"/>
            <w:tcW w:w="1984" w:type="dxa"/>
          </w:tcPr>
          <w:p>
            <w:r>
              <w:rPr>
                <w:rFonts w:ascii="Times New Roman" w:hAnsi="Times New Roman"/>
                <w:sz w:val="20"/>
              </w:rPr>
              <w:t>64,46 (5,26)</w:t>
            </w:r>
          </w:p>
        </w:tc>
        <w:tc>
          <w:tcPr>
            <w:tcW w:type="dxa" w:w="1881"/>
            <w:tcW w:w="1134" w:type="dxa"/>
          </w:tcPr>
          <w:p>
            <w:r>
              <w:rPr>
                <w:rFonts w:ascii="Times New Roman" w:hAnsi="Times New Roman"/>
                <w:sz w:val="20"/>
              </w:rPr>
              <w:t>82,36***</w:t>
            </w:r>
          </w:p>
        </w:tc>
        <w:tc>
          <w:tcPr>
            <w:tcW w:type="dxa" w:w="1881"/>
            <w:tcW w:w="1417" w:type="dxa"/>
          </w:tcPr>
          <w:p>
            <w:r>
              <w:rPr>
                <w:rFonts w:ascii="Times New Roman" w:hAnsi="Times New Roman"/>
                <w:sz w:val="20"/>
              </w:rPr>
              <w:t>↑ Tăng nhẹ</w:t>
            </w:r>
          </w:p>
        </w:tc>
      </w:tr>
      <w:tr>
        <w:tc>
          <w:tcPr>
            <w:tcW w:type="dxa" w:w="1881"/>
            <w:tcW w:w="2268" w:type="dxa"/>
          </w:tcPr>
          <w:p>
            <w:r>
              <w:rPr>
                <w:rFonts w:ascii="Times New Roman" w:hAnsi="Times New Roman"/>
                <w:sz w:val="20"/>
              </w:rPr>
              <w:t>Triệu chứng loạn thần</w:t>
            </w:r>
          </w:p>
        </w:tc>
        <w:tc>
          <w:tcPr>
            <w:tcW w:type="dxa" w:w="1881"/>
            <w:tcW w:w="1984" w:type="dxa"/>
          </w:tcPr>
          <w:p>
            <w:r>
              <w:rPr>
                <w:rFonts w:ascii="Times New Roman" w:hAnsi="Times New Roman"/>
                <w:sz w:val="20"/>
              </w:rPr>
              <w:t>0,65 (0,85)</w:t>
            </w:r>
          </w:p>
        </w:tc>
        <w:tc>
          <w:tcPr>
            <w:tcW w:type="dxa" w:w="1881"/>
            <w:tcW w:w="1984" w:type="dxa"/>
          </w:tcPr>
          <w:p>
            <w:r>
              <w:rPr>
                <w:rFonts w:ascii="Times New Roman" w:hAnsi="Times New Roman"/>
                <w:sz w:val="20"/>
              </w:rPr>
              <w:t>0,87 (0,91)</w:t>
            </w:r>
          </w:p>
        </w:tc>
        <w:tc>
          <w:tcPr>
            <w:tcW w:type="dxa" w:w="1881"/>
            <w:tcW w:w="1134" w:type="dxa"/>
          </w:tcPr>
          <w:p>
            <w:r>
              <w:rPr>
                <w:rFonts w:ascii="Times New Roman" w:hAnsi="Times New Roman"/>
                <w:sz w:val="20"/>
              </w:rPr>
              <w:t>220,56**</w:t>
            </w:r>
          </w:p>
        </w:tc>
        <w:tc>
          <w:tcPr>
            <w:tcW w:type="dxa" w:w="1881"/>
            <w:tcW w:w="1417" w:type="dxa"/>
          </w:tcPr>
          <w:p>
            <w:r>
              <w:rPr>
                <w:rFonts w:ascii="Times New Roman" w:hAnsi="Times New Roman"/>
                <w:sz w:val="20"/>
              </w:rPr>
              <w:t>↑ Tăng</w:t>
            </w:r>
          </w:p>
        </w:tc>
      </w:tr>
    </w:tbl>
    <w:p>
      <w:r>
        <w:rPr>
          <w:rFonts w:ascii="Times New Roman" w:hAnsi="Times New Roman"/>
          <w:b w:val="0"/>
          <w:i/>
          <w:sz w:val="18"/>
        </w:rPr>
        <w:t>*** p &lt; 0,001; ** p &lt; 0,01. Lo âu tăng NHANH HƠN trầm cảm (48% vs 36%).</w:t>
      </w:r>
    </w:p>
    <w:p>
      <w:r>
        <w:rPr>
          <w:rFonts w:ascii="Times New Roman" w:hAnsi="Times New Roman"/>
          <w:b/>
          <w:i w:val="0"/>
          <w:sz w:val="24"/>
        </w:rPr>
        <w:t>3.2. Thay đổi yếu tố nguy cơ và bảo vệ</w:t>
      </w:r>
    </w:p>
    <w:p>
      <w:pPr>
        <w:pStyle w:val="Heading3"/>
      </w:pPr>
      <w:r>
        <w:rPr>
          <w:rFonts w:ascii="Times New Roman" w:hAnsi="Times New Roman"/>
          <w:color w:val="000000"/>
        </w:rPr>
        <w:t>Bảng 2. Thay đổi yếu tố nguy cơ/bảo vệ 2012 → 2019</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2268" w:type="dxa"/>
            <w:shd w:fill="D9E2F3" w:val="clear"/>
          </w:tcPr>
          <w:p>
            <w:pPr>
              <w:jc w:val="center"/>
            </w:pPr>
            <w:r>
              <w:rPr>
                <w:rFonts w:ascii="Times New Roman" w:hAnsi="Times New Roman"/>
                <w:b/>
                <w:sz w:val="20"/>
              </w:rPr>
              <w:t>Yếu tố</w:t>
            </w:r>
          </w:p>
        </w:tc>
        <w:tc>
          <w:tcPr>
            <w:tcW w:type="dxa" w:w="1881"/>
            <w:tcW w:w="1134" w:type="dxa"/>
            <w:shd w:fill="D9E2F3" w:val="clear"/>
          </w:tcPr>
          <w:p>
            <w:pPr>
              <w:jc w:val="center"/>
            </w:pPr>
            <w:r>
              <w:rPr>
                <w:rFonts w:ascii="Times New Roman" w:hAnsi="Times New Roman"/>
                <w:b/>
                <w:sz w:val="20"/>
              </w:rPr>
              <w:t>Đợt 1 (%)</w:t>
            </w:r>
          </w:p>
        </w:tc>
        <w:tc>
          <w:tcPr>
            <w:tcW w:type="dxa" w:w="1881"/>
            <w:tcW w:w="1134" w:type="dxa"/>
            <w:shd w:fill="D9E2F3" w:val="clear"/>
          </w:tcPr>
          <w:p>
            <w:pPr>
              <w:jc w:val="center"/>
            </w:pPr>
            <w:r>
              <w:rPr>
                <w:rFonts w:ascii="Times New Roman" w:hAnsi="Times New Roman"/>
                <w:b/>
                <w:sz w:val="20"/>
              </w:rPr>
              <w:t>Đợt 2 (%)</w:t>
            </w:r>
          </w:p>
        </w:tc>
        <w:tc>
          <w:tcPr>
            <w:tcW w:type="dxa" w:w="1881"/>
            <w:tcW w:w="1417" w:type="dxa"/>
            <w:shd w:fill="D9E2F3" w:val="clear"/>
          </w:tcPr>
          <w:p>
            <w:pPr>
              <w:jc w:val="center"/>
            </w:pPr>
            <w:r>
              <w:rPr>
                <w:rFonts w:ascii="Times New Roman" w:hAnsi="Times New Roman"/>
                <w:b/>
                <w:sz w:val="20"/>
              </w:rPr>
              <w:t>χ²</w:t>
            </w:r>
          </w:p>
        </w:tc>
        <w:tc>
          <w:tcPr>
            <w:tcW w:type="dxa" w:w="1881"/>
            <w:tcW w:w="1701" w:type="dxa"/>
            <w:shd w:fill="D9E2F3" w:val="clear"/>
          </w:tcPr>
          <w:p>
            <w:pPr>
              <w:jc w:val="center"/>
            </w:pPr>
            <w:r>
              <w:rPr>
                <w:rFonts w:ascii="Times New Roman" w:hAnsi="Times New Roman"/>
                <w:b/>
                <w:sz w:val="20"/>
              </w:rPr>
              <w:t>Hướng</w:t>
            </w:r>
          </w:p>
        </w:tc>
      </w:tr>
      <w:tr>
        <w:tc>
          <w:tcPr>
            <w:tcW w:type="dxa" w:w="1881"/>
            <w:tcW w:w="2268" w:type="dxa"/>
          </w:tcPr>
          <w:p>
            <w:r>
              <w:rPr>
                <w:rFonts w:ascii="Times New Roman" w:hAnsi="Times New Roman"/>
                <w:sz w:val="20"/>
              </w:rPr>
              <w:t>Cha mẹ SKTT/nghiện</w:t>
            </w:r>
          </w:p>
        </w:tc>
        <w:tc>
          <w:tcPr>
            <w:tcW w:type="dxa" w:w="1881"/>
            <w:tcW w:w="1134" w:type="dxa"/>
          </w:tcPr>
          <w:p>
            <w:r>
              <w:rPr>
                <w:rFonts w:ascii="Times New Roman" w:hAnsi="Times New Roman"/>
                <w:sz w:val="20"/>
              </w:rPr>
              <w:t>13,3%</w:t>
            </w:r>
          </w:p>
        </w:tc>
        <w:tc>
          <w:tcPr>
            <w:tcW w:type="dxa" w:w="1881"/>
            <w:tcW w:w="1134" w:type="dxa"/>
          </w:tcPr>
          <w:p>
            <w:r>
              <w:rPr>
                <w:rFonts w:ascii="Times New Roman" w:hAnsi="Times New Roman"/>
                <w:sz w:val="20"/>
              </w:rPr>
              <w:t>17,0%</w:t>
            </w:r>
          </w:p>
        </w:tc>
        <w:tc>
          <w:tcPr>
            <w:tcW w:type="dxa" w:w="1881"/>
            <w:tcW w:w="1417" w:type="dxa"/>
          </w:tcPr>
          <w:p>
            <w:r>
              <w:rPr>
                <w:rFonts w:ascii="Times New Roman" w:hAnsi="Times New Roman"/>
                <w:sz w:val="20"/>
              </w:rPr>
              <w:t>37,81***</w:t>
            </w:r>
          </w:p>
        </w:tc>
        <w:tc>
          <w:tcPr>
            <w:tcW w:type="dxa" w:w="1881"/>
            <w:tcW w:w="1701" w:type="dxa"/>
          </w:tcPr>
          <w:p>
            <w:r>
              <w:rPr>
                <w:rFonts w:ascii="Times New Roman" w:hAnsi="Times New Roman"/>
                <w:sz w:val="20"/>
              </w:rPr>
              <w:t>↑ Tăng</w:t>
            </w:r>
          </w:p>
        </w:tc>
      </w:tr>
      <w:tr>
        <w:tc>
          <w:tcPr>
            <w:tcW w:type="dxa" w:w="1881"/>
            <w:tcW w:w="2268" w:type="dxa"/>
          </w:tcPr>
          <w:p>
            <w:r>
              <w:rPr>
                <w:rFonts w:ascii="Times New Roman" w:hAnsi="Times New Roman"/>
                <w:sz w:val="20"/>
              </w:rPr>
              <w:t>Cần sa</w:t>
            </w:r>
          </w:p>
        </w:tc>
        <w:tc>
          <w:tcPr>
            <w:tcW w:type="dxa" w:w="1881"/>
            <w:tcW w:w="1134" w:type="dxa"/>
          </w:tcPr>
          <w:p>
            <w:r>
              <w:rPr>
                <w:rFonts w:ascii="Times New Roman" w:hAnsi="Times New Roman"/>
                <w:sz w:val="20"/>
              </w:rPr>
              <w:t>12,0%</w:t>
            </w:r>
          </w:p>
        </w:tc>
        <w:tc>
          <w:tcPr>
            <w:tcW w:type="dxa" w:w="1881"/>
            <w:tcW w:w="1134" w:type="dxa"/>
          </w:tcPr>
          <w:p>
            <w:r>
              <w:rPr>
                <w:rFonts w:ascii="Times New Roman" w:hAnsi="Times New Roman"/>
                <w:sz w:val="20"/>
              </w:rPr>
              <w:t>15,2%</w:t>
            </w:r>
          </w:p>
        </w:tc>
        <w:tc>
          <w:tcPr>
            <w:tcW w:type="dxa" w:w="1881"/>
            <w:tcW w:w="1417" w:type="dxa"/>
          </w:tcPr>
          <w:p>
            <w:r>
              <w:rPr>
                <w:rFonts w:ascii="Times New Roman" w:hAnsi="Times New Roman"/>
                <w:sz w:val="20"/>
              </w:rPr>
              <w:t>30,90***</w:t>
            </w:r>
          </w:p>
        </w:tc>
        <w:tc>
          <w:tcPr>
            <w:tcW w:type="dxa" w:w="1881"/>
            <w:tcW w:w="1701" w:type="dxa"/>
          </w:tcPr>
          <w:p>
            <w:r>
              <w:rPr>
                <w:rFonts w:ascii="Times New Roman" w:hAnsi="Times New Roman"/>
                <w:sz w:val="20"/>
              </w:rPr>
              <w:t>↑ Tăng</w:t>
            </w:r>
          </w:p>
        </w:tc>
      </w:tr>
      <w:tr>
        <w:tc>
          <w:tcPr>
            <w:tcW w:type="dxa" w:w="1881"/>
            <w:tcW w:w="2268" w:type="dxa"/>
          </w:tcPr>
          <w:p>
            <w:r>
              <w:rPr>
                <w:rFonts w:ascii="Times New Roman" w:hAnsi="Times New Roman"/>
                <w:sz w:val="20"/>
              </w:rPr>
              <w:t>Cần giúp đỡ chuyên môn</w:t>
            </w:r>
          </w:p>
        </w:tc>
        <w:tc>
          <w:tcPr>
            <w:tcW w:type="dxa" w:w="1881"/>
            <w:tcW w:w="1134" w:type="dxa"/>
          </w:tcPr>
          <w:p>
            <w:r>
              <w:rPr>
                <w:rFonts w:ascii="Times New Roman" w:hAnsi="Times New Roman"/>
                <w:sz w:val="20"/>
              </w:rPr>
              <w:t>9,1%</w:t>
            </w:r>
          </w:p>
        </w:tc>
        <w:tc>
          <w:tcPr>
            <w:tcW w:type="dxa" w:w="1881"/>
            <w:tcW w:w="1134" w:type="dxa"/>
          </w:tcPr>
          <w:p>
            <w:r>
              <w:rPr>
                <w:rFonts w:ascii="Times New Roman" w:hAnsi="Times New Roman"/>
                <w:sz w:val="20"/>
              </w:rPr>
              <w:t>17,1%</w:t>
            </w:r>
          </w:p>
        </w:tc>
        <w:tc>
          <w:tcPr>
            <w:tcW w:type="dxa" w:w="1881"/>
            <w:tcW w:w="1417" w:type="dxa"/>
          </w:tcPr>
          <w:p>
            <w:r>
              <w:rPr>
                <w:rFonts w:ascii="Times New Roman" w:hAnsi="Times New Roman"/>
                <w:sz w:val="20"/>
              </w:rPr>
              <w:t>443,83***</w:t>
            </w:r>
          </w:p>
        </w:tc>
        <w:tc>
          <w:tcPr>
            <w:tcW w:type="dxa" w:w="1881"/>
            <w:tcW w:w="1701" w:type="dxa"/>
          </w:tcPr>
          <w:p>
            <w:r>
              <w:rPr>
                <w:rFonts w:ascii="Times New Roman" w:hAnsi="Times New Roman"/>
                <w:sz w:val="20"/>
              </w:rPr>
              <w:t>↑ TĂNG GẤP ĐÔI</w:t>
            </w:r>
          </w:p>
        </w:tc>
      </w:tr>
      <w:tr>
        <w:tc>
          <w:tcPr>
            <w:tcW w:type="dxa" w:w="1881"/>
            <w:tcW w:w="2268" w:type="dxa"/>
          </w:tcPr>
          <w:p>
            <w:r>
              <w:rPr>
                <w:rFonts w:ascii="Times New Roman" w:hAnsi="Times New Roman"/>
                <w:sz w:val="20"/>
              </w:rPr>
              <w:t>Phân biệt đối xử</w:t>
            </w:r>
          </w:p>
        </w:tc>
        <w:tc>
          <w:tcPr>
            <w:tcW w:type="dxa" w:w="1881"/>
            <w:tcW w:w="1134" w:type="dxa"/>
          </w:tcPr>
          <w:p>
            <w:r>
              <w:rPr>
                <w:rFonts w:ascii="Times New Roman" w:hAnsi="Times New Roman"/>
                <w:sz w:val="20"/>
              </w:rPr>
              <w:t>10,6%</w:t>
            </w:r>
          </w:p>
        </w:tc>
        <w:tc>
          <w:tcPr>
            <w:tcW w:type="dxa" w:w="1881"/>
            <w:tcW w:w="1134" w:type="dxa"/>
          </w:tcPr>
          <w:p>
            <w:r>
              <w:rPr>
                <w:rFonts w:ascii="Times New Roman" w:hAnsi="Times New Roman"/>
                <w:sz w:val="20"/>
              </w:rPr>
              <w:t>13,6%</w:t>
            </w:r>
          </w:p>
        </w:tc>
        <w:tc>
          <w:tcPr>
            <w:tcW w:type="dxa" w:w="1881"/>
            <w:tcW w:w="1417" w:type="dxa"/>
          </w:tcPr>
          <w:p>
            <w:r>
              <w:rPr>
                <w:rFonts w:ascii="Times New Roman" w:hAnsi="Times New Roman"/>
                <w:sz w:val="20"/>
              </w:rPr>
              <w:t>29,55***</w:t>
            </w:r>
          </w:p>
        </w:tc>
        <w:tc>
          <w:tcPr>
            <w:tcW w:type="dxa" w:w="1881"/>
            <w:tcW w:w="1701" w:type="dxa"/>
          </w:tcPr>
          <w:p>
            <w:r>
              <w:rPr>
                <w:rFonts w:ascii="Times New Roman" w:hAnsi="Times New Roman"/>
                <w:sz w:val="20"/>
              </w:rPr>
              <w:t>↑ Tăng</w:t>
            </w:r>
          </w:p>
        </w:tc>
      </w:tr>
      <w:tr>
        <w:tc>
          <w:tcPr>
            <w:tcW w:type="dxa" w:w="1881"/>
            <w:tcW w:w="2268" w:type="dxa"/>
          </w:tcPr>
          <w:p>
            <w:r>
              <w:rPr>
                <w:rFonts w:ascii="Times New Roman" w:hAnsi="Times New Roman"/>
                <w:sz w:val="20"/>
              </w:rPr>
              <w:t>Bắt nạt</w:t>
            </w:r>
          </w:p>
        </w:tc>
        <w:tc>
          <w:tcPr>
            <w:tcW w:type="dxa" w:w="1881"/>
            <w:tcW w:w="1134" w:type="dxa"/>
          </w:tcPr>
          <w:p>
            <w:r>
              <w:rPr>
                <w:rFonts w:ascii="Times New Roman" w:hAnsi="Times New Roman"/>
                <w:sz w:val="20"/>
              </w:rPr>
              <w:t>44,6%</w:t>
            </w:r>
          </w:p>
        </w:tc>
        <w:tc>
          <w:tcPr>
            <w:tcW w:type="dxa" w:w="1881"/>
            <w:tcW w:w="1134" w:type="dxa"/>
          </w:tcPr>
          <w:p>
            <w:r>
              <w:rPr>
                <w:rFonts w:ascii="Times New Roman" w:hAnsi="Times New Roman"/>
                <w:sz w:val="20"/>
              </w:rPr>
              <w:t>34,0%</w:t>
            </w:r>
          </w:p>
        </w:tc>
        <w:tc>
          <w:tcPr>
            <w:tcW w:type="dxa" w:w="1881"/>
            <w:tcW w:w="1417" w:type="dxa"/>
          </w:tcPr>
          <w:p>
            <w:r>
              <w:rPr>
                <w:rFonts w:ascii="Times New Roman" w:hAnsi="Times New Roman"/>
                <w:sz w:val="20"/>
              </w:rPr>
              <w:t>40,16***</w:t>
            </w:r>
          </w:p>
        </w:tc>
        <w:tc>
          <w:tcPr>
            <w:tcW w:type="dxa" w:w="1881"/>
            <w:tcW w:w="1701" w:type="dxa"/>
          </w:tcPr>
          <w:p>
            <w:r>
              <w:rPr>
                <w:rFonts w:ascii="Times New Roman" w:hAnsi="Times New Roman"/>
                <w:sz w:val="20"/>
              </w:rPr>
              <w:t>↓ GIẢM (tích cực)</w:t>
            </w:r>
          </w:p>
        </w:tc>
      </w:tr>
      <w:tr>
        <w:tc>
          <w:tcPr>
            <w:tcW w:type="dxa" w:w="1881"/>
            <w:tcW w:w="2268" w:type="dxa"/>
          </w:tcPr>
          <w:p>
            <w:r>
              <w:rPr>
                <w:rFonts w:ascii="Times New Roman" w:hAnsi="Times New Roman"/>
                <w:sz w:val="20"/>
              </w:rPr>
              <w:t>Hình ảnh cơ thể — hài lòng</w:t>
            </w:r>
          </w:p>
        </w:tc>
        <w:tc>
          <w:tcPr>
            <w:tcW w:type="dxa" w:w="1881"/>
            <w:tcW w:w="1134" w:type="dxa"/>
          </w:tcPr>
          <w:p>
            <w:r>
              <w:rPr>
                <w:rFonts w:ascii="Times New Roman" w:hAnsi="Times New Roman"/>
                <w:sz w:val="20"/>
              </w:rPr>
              <w:t>48,0%</w:t>
            </w:r>
          </w:p>
        </w:tc>
        <w:tc>
          <w:tcPr>
            <w:tcW w:type="dxa" w:w="1881"/>
            <w:tcW w:w="1134" w:type="dxa"/>
          </w:tcPr>
          <w:p>
            <w:r>
              <w:rPr>
                <w:rFonts w:ascii="Times New Roman" w:hAnsi="Times New Roman"/>
                <w:sz w:val="20"/>
              </w:rPr>
              <w:t>43,1%</w:t>
            </w:r>
          </w:p>
        </w:tc>
        <w:tc>
          <w:tcPr>
            <w:tcW w:type="dxa" w:w="1881"/>
            <w:tcW w:w="1417" w:type="dxa"/>
          </w:tcPr>
          <w:p>
            <w:r>
              <w:rPr>
                <w:rFonts w:ascii="Times New Roman" w:hAnsi="Times New Roman"/>
                <w:sz w:val="20"/>
              </w:rPr>
              <w:t>69,40***</w:t>
            </w:r>
          </w:p>
        </w:tc>
        <w:tc>
          <w:tcPr>
            <w:tcW w:type="dxa" w:w="1881"/>
            <w:tcW w:w="1701" w:type="dxa"/>
          </w:tcPr>
          <w:p>
            <w:r>
              <w:rPr>
                <w:rFonts w:ascii="Times New Roman" w:hAnsi="Times New Roman"/>
                <w:sz w:val="20"/>
              </w:rPr>
              <w:t>↓ Giảm</w:t>
            </w:r>
          </w:p>
        </w:tc>
      </w:tr>
    </w:tbl>
    <w:p>
      <w:r>
        <w:rPr>
          <w:rFonts w:ascii="Times New Roman" w:hAnsi="Times New Roman"/>
          <w:b w:val="0"/>
          <w:i/>
          <w:sz w:val="18"/>
        </w:rPr>
        <w:t>Bắt nạt GIẢM nhưng lo âu vẫn TĂNG — gợi ý yếu tố khác đóng góp (tự trọng giảm, cha mẹ SKTT tăng, cần giúp đỡ chuyên môn tăng gấp đôi).</w:t>
      </w:r>
    </w:p>
    <w:p>
      <w:r>
        <w:rPr>
          <w:rFonts w:ascii="Times New Roman" w:hAnsi="Times New Roman"/>
          <w:b/>
          <w:i w:val="0"/>
          <w:sz w:val="24"/>
        </w:rPr>
        <w:t>3.3. Yếu tố dự báo nhất quán qua cả 2 đợt</w:t>
      </w:r>
    </w:p>
    <w:p>
      <w:r>
        <w:rPr>
          <w:rFonts w:ascii="Times New Roman" w:hAnsi="Times New Roman"/>
          <w:b w:val="0"/>
          <w:i w:val="0"/>
          <w:sz w:val="24"/>
        </w:rPr>
        <w:t>Dự báo TIÊU CỰC lo âu và trầm cảm (giảm): lạc quan, kết nối bạn bè, năng lực cá nhân (resilience), tự trọng, tìm kiếm giúp đỡ không chính thức, One Good Adult (OGA).</w:t>
      </w:r>
    </w:p>
    <w:p>
      <w:r>
        <w:rPr>
          <w:rFonts w:ascii="Times New Roman" w:hAnsi="Times New Roman"/>
          <w:b w:val="0"/>
          <w:i w:val="0"/>
          <w:sz w:val="24"/>
        </w:rPr>
        <w:t>Dự báo TÍCH CỰC lo âu (tăng): bắt nạt, phân biệt đối xử (nhất quán cả 2 đợt).</w:t>
      </w:r>
    </w:p>
    <w:p>
      <w:r>
        <w:rPr>
          <w:rFonts w:ascii="Times New Roman" w:hAnsi="Times New Roman"/>
          <w:b w:val="0"/>
          <w:i w:val="0"/>
          <w:sz w:val="24"/>
        </w:rPr>
        <w:t>Hài lòng cơ thể chỉ liên quan trầm cảm (không lo âu). Hỗ trợ xã hội chỉ liên quan yếu tích cực với trầm cảm Đợt 1.</w:t>
      </w:r>
    </w:p>
    <w:p>
      <w:r>
        <w:rPr>
          <w:rFonts w:ascii="Times New Roman" w:hAnsi="Times New Roman"/>
          <w:b/>
          <w:i w:val="0"/>
          <w:sz w:val="24"/>
        </w:rPr>
        <w:t>3.4. Yếu tố THAY ĐỔI giữa 2 đợt (multi-group analysis)</w:t>
      </w:r>
    </w:p>
    <w:p>
      <w:pPr>
        <w:pStyle w:val="Heading3"/>
      </w:pPr>
      <w:r>
        <w:rPr>
          <w:rFonts w:ascii="Times New Roman" w:hAnsi="Times New Roman"/>
          <w:color w:val="000000"/>
        </w:rPr>
        <w:t>Bảng 3. Yếu tố dự báo THAY ĐỔI giữa 2 đợt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Yếu tố</w:t>
            </w:r>
          </w:p>
        </w:tc>
        <w:tc>
          <w:tcPr>
            <w:tcW w:type="dxa" w:w="2351"/>
            <w:tcW w:w="1417" w:type="dxa"/>
            <w:shd w:fill="D9E2F3" w:val="clear"/>
          </w:tcPr>
          <w:p>
            <w:pPr>
              <w:jc w:val="center"/>
            </w:pPr>
            <w:r>
              <w:rPr>
                <w:rFonts w:ascii="Times New Roman" w:hAnsi="Times New Roman"/>
                <w:b/>
                <w:sz w:val="20"/>
              </w:rPr>
              <w:t>Biến kết quả</w:t>
            </w:r>
          </w:p>
        </w:tc>
        <w:tc>
          <w:tcPr>
            <w:tcW w:type="dxa" w:w="2351"/>
            <w:tcW w:w="1701" w:type="dxa"/>
            <w:shd w:fill="D9E2F3" w:val="clear"/>
          </w:tcPr>
          <w:p>
            <w:pPr>
              <w:jc w:val="center"/>
            </w:pPr>
            <w:r>
              <w:rPr>
                <w:rFonts w:ascii="Times New Roman" w:hAnsi="Times New Roman"/>
                <w:b/>
                <w:sz w:val="20"/>
              </w:rPr>
              <w:t>Thay đổi</w:t>
            </w:r>
          </w:p>
        </w:tc>
        <w:tc>
          <w:tcPr>
            <w:tcW w:type="dxa" w:w="2351"/>
            <w:tcW w:w="2268" w:type="dxa"/>
            <w:shd w:fill="D9E2F3" w:val="clear"/>
          </w:tcPr>
          <w:p>
            <w:pPr>
              <w:jc w:val="center"/>
            </w:pPr>
            <w:r>
              <w:rPr>
                <w:rFonts w:ascii="Times New Roman" w:hAnsi="Times New Roman"/>
                <w:b/>
                <w:sz w:val="20"/>
              </w:rPr>
              <w:t>Ý nghĩa</w:t>
            </w:r>
          </w:p>
        </w:tc>
      </w:tr>
      <w:tr>
        <w:tc>
          <w:tcPr>
            <w:tcW w:type="dxa" w:w="2351"/>
            <w:tcW w:w="2268" w:type="dxa"/>
          </w:tcPr>
          <w:p>
            <w:r>
              <w:rPr>
                <w:rFonts w:ascii="Times New Roman" w:hAnsi="Times New Roman"/>
                <w:sz w:val="20"/>
              </w:rPr>
              <w:t>Nữ giới</w:t>
            </w:r>
          </w:p>
        </w:tc>
        <w:tc>
          <w:tcPr>
            <w:tcW w:type="dxa" w:w="2351"/>
            <w:tcW w:w="1417" w:type="dxa"/>
          </w:tcPr>
          <w:p>
            <w:r>
              <w:rPr>
                <w:rFonts w:ascii="Times New Roman" w:hAnsi="Times New Roman"/>
                <w:sz w:val="20"/>
              </w:rPr>
              <w:t>Lo âu</w:t>
            </w:r>
          </w:p>
        </w:tc>
        <w:tc>
          <w:tcPr>
            <w:tcW w:type="dxa" w:w="2351"/>
            <w:tcW w:w="1701" w:type="dxa"/>
          </w:tcPr>
          <w:p>
            <w:r>
              <w:rPr>
                <w:rFonts w:ascii="Times New Roman" w:hAnsi="Times New Roman"/>
                <w:sz w:val="20"/>
              </w:rPr>
              <w:t>MẠNH HƠN ở Đợt 2</w:t>
            </w:r>
          </w:p>
        </w:tc>
        <w:tc>
          <w:tcPr>
            <w:tcW w:type="dxa" w:w="2351"/>
            <w:tcW w:w="2268" w:type="dxa"/>
          </w:tcPr>
          <w:p>
            <w:r>
              <w:rPr>
                <w:rFonts w:ascii="Times New Roman" w:hAnsi="Times New Roman"/>
                <w:sz w:val="20"/>
              </w:rPr>
              <w:t>Khoảng cách giới mở rộng</w:t>
            </w:r>
          </w:p>
        </w:tc>
      </w:tr>
      <w:tr>
        <w:tc>
          <w:tcPr>
            <w:tcW w:type="dxa" w:w="2351"/>
            <w:tcW w:w="2268" w:type="dxa"/>
          </w:tcPr>
          <w:p>
            <w:r>
              <w:rPr>
                <w:rFonts w:ascii="Times New Roman" w:hAnsi="Times New Roman"/>
                <w:sz w:val="20"/>
              </w:rPr>
              <w:t>Tìm kiếm giúp đỡ chuyên môn</w:t>
            </w:r>
          </w:p>
        </w:tc>
        <w:tc>
          <w:tcPr>
            <w:tcW w:type="dxa" w:w="2351"/>
            <w:tcW w:w="1417" w:type="dxa"/>
          </w:tcPr>
          <w:p>
            <w:r>
              <w:rPr>
                <w:rFonts w:ascii="Times New Roman" w:hAnsi="Times New Roman"/>
                <w:sz w:val="20"/>
              </w:rPr>
              <w:t>Lo âu</w:t>
            </w:r>
          </w:p>
        </w:tc>
        <w:tc>
          <w:tcPr>
            <w:tcW w:type="dxa" w:w="2351"/>
            <w:tcW w:w="1701" w:type="dxa"/>
          </w:tcPr>
          <w:p>
            <w:r>
              <w:rPr>
                <w:rFonts w:ascii="Times New Roman" w:hAnsi="Times New Roman"/>
                <w:sz w:val="20"/>
              </w:rPr>
              <w:t>MẠNH HƠN ở Đợt 2</w:t>
            </w:r>
          </w:p>
        </w:tc>
        <w:tc>
          <w:tcPr>
            <w:tcW w:type="dxa" w:w="2351"/>
            <w:tcW w:w="2268" w:type="dxa"/>
          </w:tcPr>
          <w:p>
            <w:r>
              <w:rPr>
                <w:rFonts w:ascii="Times New Roman" w:hAnsi="Times New Roman"/>
                <w:sz w:val="20"/>
              </w:rPr>
              <w:t>Phản ánh nhu cầu tăng</w:t>
            </w:r>
          </w:p>
        </w:tc>
      </w:tr>
      <w:tr>
        <w:tc>
          <w:tcPr>
            <w:tcW w:type="dxa" w:w="2351"/>
            <w:tcW w:w="2268" w:type="dxa"/>
          </w:tcPr>
          <w:p>
            <w:r>
              <w:rPr>
                <w:rFonts w:ascii="Times New Roman" w:hAnsi="Times New Roman"/>
                <w:sz w:val="20"/>
              </w:rPr>
              <w:t>Tự trọng thấp</w:t>
            </w:r>
          </w:p>
        </w:tc>
        <w:tc>
          <w:tcPr>
            <w:tcW w:type="dxa" w:w="2351"/>
            <w:tcW w:w="1417" w:type="dxa"/>
          </w:tcPr>
          <w:p>
            <w:r>
              <w:rPr>
                <w:rFonts w:ascii="Times New Roman" w:hAnsi="Times New Roman"/>
                <w:sz w:val="20"/>
              </w:rPr>
              <w:t>Lo âu + Trầm cảm</w:t>
            </w:r>
          </w:p>
        </w:tc>
        <w:tc>
          <w:tcPr>
            <w:tcW w:type="dxa" w:w="2351"/>
            <w:tcW w:w="1701" w:type="dxa"/>
          </w:tcPr>
          <w:p>
            <w:r>
              <w:rPr>
                <w:rFonts w:ascii="Times New Roman" w:hAnsi="Times New Roman"/>
                <w:sz w:val="20"/>
              </w:rPr>
              <w:t>MẠNH HƠN ở Đợt 2</w:t>
            </w:r>
          </w:p>
        </w:tc>
        <w:tc>
          <w:tcPr>
            <w:tcW w:type="dxa" w:w="2351"/>
            <w:tcW w:w="2268" w:type="dxa"/>
          </w:tcPr>
          <w:p>
            <w:r>
              <w:rPr>
                <w:rFonts w:ascii="Times New Roman" w:hAnsi="Times New Roman"/>
                <w:sz w:val="20"/>
              </w:rPr>
              <w:t>Tự trọng quan trọng hơn theo thời gian</w:t>
            </w:r>
          </w:p>
        </w:tc>
      </w:tr>
      <w:tr>
        <w:tc>
          <w:tcPr>
            <w:tcW w:type="dxa" w:w="2351"/>
            <w:tcW w:w="2268" w:type="dxa"/>
          </w:tcPr>
          <w:p>
            <w:r>
              <w:rPr>
                <w:rFonts w:ascii="Times New Roman" w:hAnsi="Times New Roman"/>
                <w:sz w:val="20"/>
              </w:rPr>
              <w:t>Resilience thấp (năng lực cá nhân)</w:t>
            </w:r>
          </w:p>
        </w:tc>
        <w:tc>
          <w:tcPr>
            <w:tcW w:type="dxa" w:w="2351"/>
            <w:tcW w:w="1417" w:type="dxa"/>
          </w:tcPr>
          <w:p>
            <w:r>
              <w:rPr>
                <w:rFonts w:ascii="Times New Roman" w:hAnsi="Times New Roman"/>
                <w:sz w:val="20"/>
              </w:rPr>
              <w:t>Lo âu + Trầm cảm</w:t>
            </w:r>
          </w:p>
        </w:tc>
        <w:tc>
          <w:tcPr>
            <w:tcW w:type="dxa" w:w="2351"/>
            <w:tcW w:w="1701" w:type="dxa"/>
          </w:tcPr>
          <w:p>
            <w:r>
              <w:rPr>
                <w:rFonts w:ascii="Times New Roman" w:hAnsi="Times New Roman"/>
                <w:sz w:val="20"/>
              </w:rPr>
              <w:t>MẠNH HƠN ở Đợt 2</w:t>
            </w:r>
          </w:p>
        </w:tc>
        <w:tc>
          <w:tcPr>
            <w:tcW w:type="dxa" w:w="2351"/>
            <w:tcW w:w="2268" w:type="dxa"/>
          </w:tcPr>
          <w:p>
            <w:r>
              <w:rPr>
                <w:rFonts w:ascii="Times New Roman" w:hAnsi="Times New Roman"/>
                <w:sz w:val="20"/>
              </w:rPr>
              <w:t>Resilience quan trọng hơn</w:t>
            </w:r>
          </w:p>
        </w:tc>
      </w:tr>
      <w:tr>
        <w:tc>
          <w:tcPr>
            <w:tcW w:type="dxa" w:w="2351"/>
            <w:tcW w:w="2268" w:type="dxa"/>
          </w:tcPr>
          <w:p>
            <w:r>
              <w:rPr>
                <w:rFonts w:ascii="Times New Roman" w:hAnsi="Times New Roman"/>
                <w:sz w:val="20"/>
              </w:rPr>
              <w:t>Rượu</w:t>
            </w:r>
          </w:p>
        </w:tc>
        <w:tc>
          <w:tcPr>
            <w:tcW w:type="dxa" w:w="2351"/>
            <w:tcW w:w="1417" w:type="dxa"/>
          </w:tcPr>
          <w:p>
            <w:r>
              <w:rPr>
                <w:rFonts w:ascii="Times New Roman" w:hAnsi="Times New Roman"/>
                <w:sz w:val="20"/>
              </w:rPr>
              <w:t>Lo âu</w:t>
            </w:r>
          </w:p>
        </w:tc>
        <w:tc>
          <w:tcPr>
            <w:tcW w:type="dxa" w:w="2351"/>
            <w:tcW w:w="1701" w:type="dxa"/>
          </w:tcPr>
          <w:p>
            <w:r>
              <w:rPr>
                <w:rFonts w:ascii="Times New Roman" w:hAnsi="Times New Roman"/>
                <w:sz w:val="20"/>
              </w:rPr>
              <w:t>YẾU HƠN ở Đợt 2</w:t>
            </w:r>
          </w:p>
        </w:tc>
        <w:tc>
          <w:tcPr>
            <w:tcW w:type="dxa" w:w="2351"/>
            <w:tcW w:w="2268" w:type="dxa"/>
          </w:tcPr>
          <w:p>
            <w:r>
              <w:rPr>
                <w:rFonts w:ascii="Times New Roman" w:hAnsi="Times New Roman"/>
                <w:sz w:val="20"/>
              </w:rPr>
              <w:t>Giảm vai trò (VTN uống ít hơn)</w:t>
            </w:r>
          </w:p>
        </w:tc>
      </w:tr>
      <w:tr>
        <w:tc>
          <w:tcPr>
            <w:tcW w:type="dxa" w:w="2351"/>
            <w:tcW w:w="2268" w:type="dxa"/>
          </w:tcPr>
          <w:p>
            <w:r>
              <w:rPr>
                <w:rFonts w:ascii="Times New Roman" w:hAnsi="Times New Roman"/>
                <w:sz w:val="20"/>
              </w:rPr>
              <w:t>Rượu</w:t>
            </w:r>
          </w:p>
        </w:tc>
        <w:tc>
          <w:tcPr>
            <w:tcW w:type="dxa" w:w="2351"/>
            <w:tcW w:w="1417" w:type="dxa"/>
          </w:tcPr>
          <w:p>
            <w:r>
              <w:rPr>
                <w:rFonts w:ascii="Times New Roman" w:hAnsi="Times New Roman"/>
                <w:sz w:val="20"/>
              </w:rPr>
              <w:t>Trầm cảm</w:t>
            </w:r>
          </w:p>
        </w:tc>
        <w:tc>
          <w:tcPr>
            <w:tcW w:type="dxa" w:w="2351"/>
            <w:tcW w:w="1701" w:type="dxa"/>
          </w:tcPr>
          <w:p>
            <w:r>
              <w:rPr>
                <w:rFonts w:ascii="Times New Roman" w:hAnsi="Times New Roman"/>
                <w:sz w:val="20"/>
              </w:rPr>
              <w:t>YẾU HƠN ở Đợt 2</w:t>
            </w:r>
          </w:p>
        </w:tc>
        <w:tc>
          <w:tcPr>
            <w:tcW w:type="dxa" w:w="2351"/>
            <w:tcW w:w="2268" w:type="dxa"/>
          </w:tcPr>
          <w:p>
            <w:r>
              <w:rPr>
                <w:rFonts w:ascii="Times New Roman" w:hAnsi="Times New Roman"/>
                <w:sz w:val="20"/>
              </w:rPr>
            </w:r>
          </w:p>
        </w:tc>
      </w:tr>
      <w:tr>
        <w:tc>
          <w:tcPr>
            <w:tcW w:type="dxa" w:w="2351"/>
            <w:tcW w:w="2268" w:type="dxa"/>
          </w:tcPr>
          <w:p>
            <w:r>
              <w:rPr>
                <w:rFonts w:ascii="Times New Roman" w:hAnsi="Times New Roman"/>
                <w:sz w:val="20"/>
              </w:rPr>
              <w:t>Hỗ trợ xã hội</w:t>
            </w:r>
          </w:p>
        </w:tc>
        <w:tc>
          <w:tcPr>
            <w:tcW w:type="dxa" w:w="2351"/>
            <w:tcW w:w="1417" w:type="dxa"/>
          </w:tcPr>
          <w:p>
            <w:r>
              <w:rPr>
                <w:rFonts w:ascii="Times New Roman" w:hAnsi="Times New Roman"/>
                <w:sz w:val="20"/>
              </w:rPr>
              <w:t>Trầm cảm</w:t>
            </w:r>
          </w:p>
        </w:tc>
        <w:tc>
          <w:tcPr>
            <w:tcW w:type="dxa" w:w="2351"/>
            <w:tcW w:w="1701" w:type="dxa"/>
          </w:tcPr>
          <w:p>
            <w:r>
              <w:rPr>
                <w:rFonts w:ascii="Times New Roman" w:hAnsi="Times New Roman"/>
                <w:sz w:val="20"/>
              </w:rPr>
              <w:t>YẾU HƠN ở Đợt 2</w:t>
            </w:r>
          </w:p>
        </w:tc>
        <w:tc>
          <w:tcPr>
            <w:tcW w:type="dxa" w:w="2351"/>
            <w:tcW w:w="2268" w:type="dxa"/>
          </w:tcPr>
          <w:p>
            <w:r>
              <w:rPr>
                <w:rFonts w:ascii="Times New Roman" w:hAnsi="Times New Roman"/>
                <w:sz w:val="20"/>
              </w:rPr>
            </w:r>
          </w:p>
        </w:tc>
      </w:tr>
    </w:tbl>
    <w:p>
      <w:r>
        <w:rPr>
          <w:rFonts w:ascii="Times New Roman" w:hAnsi="Times New Roman"/>
          <w:b w:val="0"/>
          <w:i/>
          <w:sz w:val="18"/>
        </w:rPr>
        <w:t>Phát hiện then chốt: Tự trọng và resilience trở nên QUAN TRỌNG HƠN cho lo âu/trầm cảm ở 2019 so với 2012. Rượu trở nên ÍT quan trọng hơn.</w:t>
      </w:r>
    </w:p>
    <w:p>
      <w:r>
        <w:rPr>
          <w:rFonts w:ascii="Times New Roman" w:hAnsi="Times New Roman"/>
          <w:i/>
          <w:color w:val="808080"/>
          <w:sz w:val="18"/>
        </w:rPr>
        <w:t>--- Trang 7–10, Early Intervention in Psychiatry, 2024 ---</w:t>
      </w:r>
    </w:p>
    <w:p>
      <w:pPr>
        <w:pStyle w:val="Heading2"/>
      </w:pPr>
      <w:r>
        <w:rPr>
          <w:rFonts w:ascii="Times New Roman" w:hAnsi="Times New Roman"/>
          <w:color w:val="000000"/>
        </w:rPr>
        <w:t>4. THẢO LUẬN</w:t>
      </w:r>
    </w:p>
    <w:p>
      <w:r>
        <w:rPr>
          <w:rFonts w:ascii="Times New Roman" w:hAnsi="Times New Roman"/>
          <w:b w:val="0"/>
          <w:i w:val="0"/>
          <w:sz w:val="24"/>
        </w:rPr>
        <w:t>Sử dụng dữ liệu từ hai đợt mẫu lớn dựa trên cộng đồng, nghiên cứu này điều tra xu hướng SKTT VTN và kiểm tra 26 yếu tố nguy cơ/bảo vệ liên quan đến thay đổi mức lo âu và trầm cảm. Phù hợp với xu hướng tăng SKTT VTN toàn cầu (Keyes et al., 2019; Lu, 2019; Tørmoen et al., 2020), tỷ lệ lo âu và trầm cảm cao hơn năm 2019 so với 2012, đặc biệt ở nữ và VTN lớn tuổi hơn.</w:t>
      </w:r>
    </w:p>
    <w:p>
      <w:r>
        <w:rPr>
          <w:rFonts w:ascii="Times New Roman" w:hAnsi="Times New Roman"/>
          <w:b w:val="0"/>
          <w:i w:val="0"/>
          <w:sz w:val="24"/>
        </w:rPr>
        <w:t>Đáng khích lệ, VTN Đợt 2 cho thấy mức cao hơn về ứng phó tập trung vấn đề, hỗ trợ xã hội, kết nối bạn bè, chấp thuận cha mẹ và có One Good Adult, cùng với mức thấp hơn về bắt nạt, rượu và phê phán cha mẹ so với Đợt 1. Phát hiện này phù hợp với báo cáo HBSC (Gavin et al., 2020): giảm bắt nạt, giảm rượu, cải thiện giao tiếp cha mẹ ở VTN 10–18 tuổi từ 1998–2018.</w:t>
      </w:r>
    </w:p>
    <w:p>
      <w:r>
        <w:rPr>
          <w:rFonts w:ascii="Times New Roman" w:hAnsi="Times New Roman"/>
          <w:b w:val="0"/>
          <w:i w:val="0"/>
          <w:sz w:val="24"/>
        </w:rPr>
        <w:t>Tuy nhiên, VTN Đợt 2 cũng có mức thấp hơn về tự trọng, resilience cá nhân và lạc quan, và nhiều khả năng báo cáo triệu chứng loạn thần, sử dụng cần sa, vấn đề cần giúp đỡ chuyên môn, và cha mẹ có khó khăn SKTT/nghiện.</w:t>
      </w:r>
    </w:p>
    <w:p>
      <w:r>
        <w:rPr>
          <w:rFonts w:ascii="Times New Roman" w:hAnsi="Times New Roman"/>
          <w:b/>
          <w:i w:val="0"/>
          <w:sz w:val="24"/>
        </w:rPr>
        <w:t>Giới tính:</w:t>
      </w:r>
    </w:p>
    <w:p>
      <w:r>
        <w:rPr>
          <w:rFonts w:ascii="Times New Roman" w:hAnsi="Times New Roman"/>
          <w:b w:val="0"/>
          <w:i w:val="0"/>
          <w:sz w:val="24"/>
        </w:rPr>
        <w:t>Nữ giới dự báo lo âu MẠNH HƠN ở Đợt 2 so với Đợt 1. Phù hợp với: khó khăn SKTT tăng ở nữ VTN nhanh hơn nam (Potrebny et al., 2017; Wiens et al., 2020). Khoảng cách giới mở rộng — phù hợp Úc 2025 (QT25): flourishing nữ 36,3% vs nam 52,2%. Ireland 2024 (QT32) và 59 Countries 2025 (QT31, AOR = 1,51) đều xác nhận.</w:t>
      </w:r>
    </w:p>
    <w:p>
      <w:r>
        <w:rPr>
          <w:rFonts w:ascii="Times New Roman" w:hAnsi="Times New Roman"/>
          <w:b/>
          <w:i w:val="0"/>
          <w:sz w:val="24"/>
        </w:rPr>
        <w:t>Tự trọng và Resilience:</w:t>
      </w:r>
    </w:p>
    <w:p>
      <w:r>
        <w:rPr>
          <w:rFonts w:ascii="Times New Roman" w:hAnsi="Times New Roman"/>
          <w:b w:val="0"/>
          <w:i w:val="0"/>
          <w:sz w:val="24"/>
        </w:rPr>
        <w:t>Tự trọng thấp và resilience cá nhân thấp liên quan MẠNH HƠN với lo âu và trầm cảm ở Đợt 2. Có thể giải thích một phần xu hướng tăng: nếu tự trọng trở nên quan trọng hơn nhưng đồng thời giảm (28,67 → 26,46), thì tác động tích lũy sẽ lớn. Tuy nhiên, chiều nhân quả chưa rõ: tự trọng thấp → tăng lo âu hay lo âu tăng → giảm tự trọng? Cần NC dọc.</w:t>
      </w:r>
    </w:p>
    <w:p>
      <w:r>
        <w:rPr>
          <w:rFonts w:ascii="Times New Roman" w:hAnsi="Times New Roman"/>
          <w:b/>
          <w:i w:val="0"/>
          <w:sz w:val="24"/>
        </w:rPr>
        <w:t>One Good Adult (OGA):</w:t>
      </w:r>
    </w:p>
    <w:p>
      <w:r>
        <w:rPr>
          <w:rFonts w:ascii="Times New Roman" w:hAnsi="Times New Roman"/>
          <w:b w:val="0"/>
          <w:i w:val="0"/>
          <w:sz w:val="24"/>
        </w:rPr>
        <w:t>Có OGA nhất quán liên quan giảm lo âu và trầm cảm qua cả 2 đợt. Đây là yếu tố bảo vệ đáng chú ý — có thể là thầy/cô giáo, cha mẹ, huấn luyện viên, hay người cố vấn. Tại VN, xây dựng chương trình mentor/OGA tại trường học có thể là can thiệp khả thi và hiệu quả — phù hợp Wen 2020 (hỗ trợ SKTT trường OR = 0,562).</w:t>
      </w:r>
    </w:p>
    <w:p>
      <w:r>
        <w:rPr>
          <w:rFonts w:ascii="Times New Roman" w:hAnsi="Times New Roman"/>
          <w:b/>
          <w:i w:val="0"/>
          <w:sz w:val="24"/>
        </w:rPr>
        <w:t>Rượu giảm vai trò:</w:t>
      </w:r>
    </w:p>
    <w:p>
      <w:r>
        <w:rPr>
          <w:rFonts w:ascii="Times New Roman" w:hAnsi="Times New Roman"/>
          <w:b w:val="0"/>
          <w:i w:val="0"/>
          <w:sz w:val="24"/>
        </w:rPr>
        <w:t>Rượu liên quan yếu hơn với lo âu/trầm cảm ở Đợt 2. Phù hợp xu hướng toàn cầu: VTN uống ít rượu hơn trong thập kỷ qua (Von Soest et al., 2014). Tuy nhiên, cần sa TĂNG (12,0% → 15,2%) — có thể thay thế rượu.</w:t>
      </w:r>
    </w:p>
    <w:p>
      <w:r>
        <w:rPr>
          <w:rFonts w:ascii="Times New Roman" w:hAnsi="Times New Roman"/>
          <w:b/>
          <w:i w:val="0"/>
          <w:sz w:val="24"/>
        </w:rPr>
        <w:t>Hạn chế:</w:t>
      </w:r>
    </w:p>
    <w:p>
      <w:r>
        <w:rPr>
          <w:rFonts w:ascii="Times New Roman" w:hAnsi="Times New Roman"/>
          <w:b w:val="0"/>
          <w:i w:val="0"/>
          <w:sz w:val="24"/>
        </w:rPr>
        <w:t>• Cắt ngang lặp lại — không theo dõi cùng cá nhân. Không xác lập nhân quả. Li 2025 (QT22) dùng thiết kế dọc nhưng cũng gặp khó khăn nhân quả.</w:t>
      </w:r>
    </w:p>
    <w:p>
      <w:r>
        <w:rPr>
          <w:rFonts w:ascii="Times New Roman" w:hAnsi="Times New Roman"/>
          <w:b w:val="0"/>
          <w:i w:val="0"/>
          <w:sz w:val="24"/>
        </w:rPr>
        <w:t>• DASS-21 sàng lọc — không chẩn đoán. Tỷ lệ có thể cao hơn chẩn đoán lâm sàng. So V-NAMHS 2022: sàng lọc vs DISC-5 chênh 17 lần.</w:t>
      </w:r>
    </w:p>
    <w:p>
      <w:r>
        <w:rPr>
          <w:rFonts w:ascii="Times New Roman" w:hAnsi="Times New Roman"/>
          <w:b w:val="0"/>
          <w:i w:val="0"/>
          <w:sz w:val="24"/>
        </w:rPr>
        <w:t>• Chỉ Ireland — giàu, Tây Âu. Văn hóa khác châu Á/VN. Tuy nhiên, xu hướng tăng phù hợp toàn cầu.</w:t>
      </w:r>
    </w:p>
    <w:p>
      <w:r>
        <w:rPr>
          <w:rFonts w:ascii="Times New Roman" w:hAnsi="Times New Roman"/>
          <w:b w:val="0"/>
          <w:i w:val="0"/>
          <w:sz w:val="24"/>
        </w:rPr>
        <w:t>• Mẫu Đợt 2 lớn hơn nhiều (9.844 vs 5.490) — có thể tạo bất đối xứng thống kê.</w:t>
      </w:r>
    </w:p>
    <w:p>
      <w:r>
        <w:rPr>
          <w:rFonts w:ascii="Times New Roman" w:hAnsi="Times New Roman"/>
          <w:b w:val="0"/>
          <w:i w:val="0"/>
          <w:sz w:val="24"/>
        </w:rPr>
        <w:t>• Tự báo cáo — có thể bị ảnh hưởng bởi tăng nhận thức SKTT (prevalence inflation hypothesis — Foulkes &amp; Andrews, 2023).</w:t>
      </w:r>
    </w:p>
    <w:p>
      <w:r>
        <w:rPr>
          <w:rFonts w:ascii="Times New Roman" w:hAnsi="Times New Roman"/>
          <w:b w:val="0"/>
          <w:i w:val="0"/>
          <w:sz w:val="24"/>
        </w:rPr>
        <w:t>• Đợt 2 (2019) — trước COVID. Không phản ánh tình hình hiện tại. Korea 2024 (QT34): SKTT xấu đi sau COVID.</w:t>
      </w:r>
    </w:p>
    <w:p>
      <w:pPr>
        <w:pStyle w:val="Heading2"/>
      </w:pPr>
      <w:r>
        <w:rPr>
          <w:rFonts w:ascii="Times New Roman" w:hAnsi="Times New Roman"/>
          <w:color w:val="000000"/>
        </w:rPr>
        <w:t>5. KẾT LUẬN</w:t>
      </w:r>
    </w:p>
    <w:p>
      <w:r>
        <w:rPr>
          <w:rFonts w:ascii="Times New Roman" w:hAnsi="Times New Roman"/>
          <w:b w:val="0"/>
          <w:i w:val="0"/>
          <w:sz w:val="24"/>
        </w:rPr>
        <w:t>Dữ liệu 15.334 VTN Ireland qua 2 đợt (2012 và 2019) cho thấy lo âu tăng 48% và trầm cảm tăng 36%, đặc biệt ở nữ — xu hướng TRƯỚC COVID. Tự trọng và resilience trở nên QUAN TRỌNG HƠN cho SKTT VTN theo thời gian, trong khi đồng thời giảm — tạo vòng xoáy tiêu cực. One Good Adult (OGA) là yếu tố bảo vệ nhất quán. Bắt nạt giảm nhưng lo âu vẫn tăng — gợi ý yếu tố khác (MXH, tự trọng, cha mẹ SKTT) đang đóng góp.</w:t>
      </w:r>
    </w:p>
    <w:p>
      <w:r>
        <w:rPr>
          <w:rFonts w:ascii="Times New Roman" w:hAnsi="Times New Roman"/>
          <w:b w:val="0"/>
          <w:i w:val="0"/>
          <w:sz w:val="24"/>
        </w:rPr>
        <w:t>Hàm ý: Cần ưu tiên dịch vụ SKTT VTN, đặc biệt cho nữ. Can thiệp xây dựng tự trọng + resilience + OGA tại trường — mục tiêu can thiệp quan trọng nhất dựa trên bằng chứng này.</w:t>
      </w:r>
    </w:p>
    <w:p>
      <w:pPr>
        <w:pStyle w:val="Heading2"/>
      </w:pPr>
      <w:r>
        <w:rPr>
          <w:rFonts w:ascii="Times New Roman" w:hAnsi="Times New Roman"/>
          <w:color w:val="000000"/>
        </w:rPr>
        <w:t>TÀI LIỆU THAM KHẢO</w:t>
      </w:r>
    </w:p>
    <w:p>
      <w:r>
        <w:rPr>
          <w:rFonts w:ascii="Times New Roman" w:hAnsi="Times New Roman"/>
          <w:b w:val="0"/>
          <w:i w:val="0"/>
          <w:sz w:val="20"/>
        </w:rPr>
        <w:t>Fitzgerald, A., Mahon, C., Shevlin, M., Dooley, B., &amp; O'Reilly, A. (2024). Exploring changing trends in depression and anxiety among adolescents from 2012 to 2019. Early Intervention in Psychiatry.</w:t>
      </w:r>
    </w:p>
    <w:p>
      <w:r>
        <w:rPr>
          <w:rFonts w:ascii="Times New Roman" w:hAnsi="Times New Roman"/>
          <w:b w:val="0"/>
          <w:i w:val="0"/>
          <w:sz w:val="20"/>
        </w:rPr>
        <w:t>Dooley, B., &amp; Fitzgerald, A. (2013). My World Survey 1: National Study of Youth Mental Health in Ireland. Dublin: Headstrong/UCD.</w:t>
      </w:r>
    </w:p>
    <w:p>
      <w:r>
        <w:rPr>
          <w:rFonts w:ascii="Times New Roman" w:hAnsi="Times New Roman"/>
          <w:b w:val="0"/>
          <w:i w:val="0"/>
          <w:sz w:val="20"/>
        </w:rPr>
        <w:t>Dooley, B., O'Connor, C., Fitzgerald, A., &amp; O'Reilly, A. (2019). My World Survey 2: National Study of Youth Mental Health in Ireland. Dublin: Jigsaw/UCD.</w:t>
      </w:r>
    </w:p>
    <w:p>
      <w:r>
        <w:rPr>
          <w:rFonts w:ascii="Times New Roman" w:hAnsi="Times New Roman"/>
          <w:b w:val="0"/>
          <w:i w:val="0"/>
          <w:sz w:val="20"/>
        </w:rPr>
        <w:t>Lovibond, P.F. &amp; Lovibond, S.H. (1995). The structure of negative emotional states: Comparison of the DASS with the Beck Depression and Anxiety Inventories. Behaviour Research and Therapy, 33, 335–343.</w:t>
      </w:r>
    </w:p>
    <w:p>
      <w:r>
        <w:rPr>
          <w:rFonts w:ascii="Times New Roman" w:hAnsi="Times New Roman"/>
          <w:b w:val="0"/>
          <w:i w:val="0"/>
          <w:sz w:val="20"/>
        </w:rPr>
        <w:t>Keyes, K.M., Gary, D., O'Malley, P.M., Hamilton, A., &amp; Schulenberg, J. (2019). Recent increases in depressive symptoms among US adolescents. Journal of Adolescent Health, 65, 590–598.</w:t>
      </w:r>
    </w:p>
    <w:p>
      <w:r>
        <w:rPr>
          <w:rFonts w:ascii="Times New Roman" w:hAnsi="Times New Roman"/>
          <w:b w:val="0"/>
          <w:i w:val="0"/>
          <w:sz w:val="20"/>
        </w:rPr>
        <w:t>Von Soest, T., Wichstrøm, L., &amp; Kvalem, I.L. (2014). The development of global and domain-specific self-esteem from age 13 to 31. Journal of Personality and Social Psychology, 110, 592–608.</w:t>
      </w:r>
    </w:p>
    <w:p>
      <w:r>
        <w:rPr>
          <w:rFonts w:ascii="Times New Roman" w:hAnsi="Times New Roman"/>
          <w:b w:val="0"/>
          <w:i w:val="0"/>
          <w:sz w:val="20"/>
        </w:rPr>
        <w:t>Solmi, M., et al. (2022). Age at onset of mental disorders worldwide: Large-scale meta-analysis. Molecular Psychiatry, 27, 281–295.</w:t>
      </w:r>
    </w:p>
    <w:p>
      <w:r>
        <w:rPr>
          <w:rFonts w:ascii="Times New Roman" w:hAnsi="Times New Roman"/>
          <w:b w:val="0"/>
          <w:i w:val="0"/>
          <w:sz w:val="20"/>
        </w:rPr>
        <w:t>Foulkes, L. &amp; Andrews, J.L. (2023). Are mental health awareness efforts contributing to the rise in reported mental health problems? New Ideas in Psychology, 69, 101010.</w:t>
      </w:r>
    </w:p>
    <w:p>
      <w:r>
        <w:rPr>
          <w:rFonts w:ascii="Times New Roman" w:hAnsi="Times New Roman"/>
          <w:b w:val="0"/>
          <w:i/>
          <w:sz w:val="20"/>
        </w:rPr>
        <w:t>(Xem danh mục đầy đủ trong bài gốc — 50+ tài liệu tham khảo)</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DASS-21</w:t>
            </w:r>
          </w:p>
        </w:tc>
        <w:tc>
          <w:tcPr>
            <w:tcW w:type="dxa" w:w="4702"/>
            <w:tcW w:w="7371" w:type="dxa"/>
          </w:tcPr>
          <w:p>
            <w:r>
              <w:rPr>
                <w:rFonts w:ascii="Times New Roman" w:hAnsi="Times New Roman"/>
                <w:sz w:val="20"/>
              </w:rPr>
              <w:t>Depression Anxiety Stress Scale 21 — Thang Trầm cảm Lo âu Căng thẳng 21 mục</w:t>
            </w:r>
          </w:p>
        </w:tc>
      </w:tr>
      <w:tr>
        <w:tc>
          <w:tcPr>
            <w:tcW w:type="dxa" w:w="4702"/>
            <w:tcW w:w="1701" w:type="dxa"/>
          </w:tcPr>
          <w:p>
            <w:r>
              <w:rPr>
                <w:rFonts w:ascii="Times New Roman" w:hAnsi="Times New Roman"/>
                <w:sz w:val="20"/>
              </w:rPr>
              <w:t>LOT-R</w:t>
            </w:r>
          </w:p>
        </w:tc>
        <w:tc>
          <w:tcPr>
            <w:tcW w:type="dxa" w:w="4702"/>
            <w:tcW w:w="7371" w:type="dxa"/>
          </w:tcPr>
          <w:p>
            <w:r>
              <w:rPr>
                <w:rFonts w:ascii="Times New Roman" w:hAnsi="Times New Roman"/>
                <w:sz w:val="20"/>
              </w:rPr>
              <w:t>Life Orientation Test-Revised — Trắc nghiệm Định hướng Cuộc sống Chỉnh sửa</w:t>
            </w:r>
          </w:p>
        </w:tc>
      </w:tr>
      <w:tr>
        <w:tc>
          <w:tcPr>
            <w:tcW w:type="dxa" w:w="4702"/>
            <w:tcW w:w="1701" w:type="dxa"/>
          </w:tcPr>
          <w:p>
            <w:r>
              <w:rPr>
                <w:rFonts w:ascii="Times New Roman" w:hAnsi="Times New Roman"/>
                <w:sz w:val="20"/>
              </w:rPr>
              <w:t>AUDIT</w:t>
            </w:r>
          </w:p>
        </w:tc>
        <w:tc>
          <w:tcPr>
            <w:tcW w:type="dxa" w:w="4702"/>
            <w:tcW w:w="7371" w:type="dxa"/>
          </w:tcPr>
          <w:p>
            <w:r>
              <w:rPr>
                <w:rFonts w:ascii="Times New Roman" w:hAnsi="Times New Roman"/>
                <w:sz w:val="20"/>
              </w:rPr>
              <w:t>Alcohol Use Disorders Identification Test — Bài kiểm tra Nhận diện Rối loạn Sử dụng Rượu</w:t>
            </w:r>
          </w:p>
        </w:tc>
      </w:tr>
      <w:tr>
        <w:tc>
          <w:tcPr>
            <w:tcW w:type="dxa" w:w="4702"/>
            <w:tcW w:w="1701" w:type="dxa"/>
          </w:tcPr>
          <w:p>
            <w:r>
              <w:rPr>
                <w:rFonts w:ascii="Times New Roman" w:hAnsi="Times New Roman"/>
                <w:sz w:val="20"/>
              </w:rPr>
              <w:t>READ</w:t>
            </w:r>
          </w:p>
        </w:tc>
        <w:tc>
          <w:tcPr>
            <w:tcW w:type="dxa" w:w="4702"/>
            <w:tcW w:w="7371" w:type="dxa"/>
          </w:tcPr>
          <w:p>
            <w:r>
              <w:rPr>
                <w:rFonts w:ascii="Times New Roman" w:hAnsi="Times New Roman"/>
                <w:sz w:val="20"/>
              </w:rPr>
              <w:t>Resilience Scale for Adolescence — Thang Khả năng Phục hồi cho VTN</w:t>
            </w:r>
          </w:p>
        </w:tc>
      </w:tr>
      <w:tr>
        <w:tc>
          <w:tcPr>
            <w:tcW w:type="dxa" w:w="4702"/>
            <w:tcW w:w="1701" w:type="dxa"/>
          </w:tcPr>
          <w:p>
            <w:r>
              <w:rPr>
                <w:rFonts w:ascii="Times New Roman" w:hAnsi="Times New Roman"/>
                <w:sz w:val="20"/>
              </w:rPr>
              <w:t>BMSLSS</w:t>
            </w:r>
          </w:p>
        </w:tc>
        <w:tc>
          <w:tcPr>
            <w:tcW w:type="dxa" w:w="4702"/>
            <w:tcW w:w="7371" w:type="dxa"/>
          </w:tcPr>
          <w:p>
            <w:r>
              <w:rPr>
                <w:rFonts w:ascii="Times New Roman" w:hAnsi="Times New Roman"/>
                <w:sz w:val="20"/>
              </w:rPr>
              <w:t>Brief Multidimensional Students' Life Satisfaction Scale</w:t>
            </w:r>
          </w:p>
        </w:tc>
      </w:tr>
      <w:tr>
        <w:tc>
          <w:tcPr>
            <w:tcW w:type="dxa" w:w="4702"/>
            <w:tcW w:w="1701" w:type="dxa"/>
          </w:tcPr>
          <w:p>
            <w:r>
              <w:rPr>
                <w:rFonts w:ascii="Times New Roman" w:hAnsi="Times New Roman"/>
                <w:sz w:val="20"/>
              </w:rPr>
              <w:t>MAC</w:t>
            </w:r>
          </w:p>
        </w:tc>
        <w:tc>
          <w:tcPr>
            <w:tcW w:type="dxa" w:w="4702"/>
            <w:tcW w:w="7371" w:type="dxa"/>
          </w:tcPr>
          <w:p>
            <w:r>
              <w:rPr>
                <w:rFonts w:ascii="Times New Roman" w:hAnsi="Times New Roman"/>
                <w:sz w:val="20"/>
              </w:rPr>
              <w:t>Hemingway Measure of Adolescent Connectedness</w:t>
            </w:r>
          </w:p>
        </w:tc>
      </w:tr>
      <w:tr>
        <w:tc>
          <w:tcPr>
            <w:tcW w:type="dxa" w:w="4702"/>
            <w:tcW w:w="1701" w:type="dxa"/>
          </w:tcPr>
          <w:p>
            <w:r>
              <w:rPr>
                <w:rFonts w:ascii="Times New Roman" w:hAnsi="Times New Roman"/>
                <w:sz w:val="20"/>
              </w:rPr>
              <w:t>MSPSS</w:t>
            </w:r>
          </w:p>
        </w:tc>
        <w:tc>
          <w:tcPr>
            <w:tcW w:type="dxa" w:w="4702"/>
            <w:tcW w:w="7371" w:type="dxa"/>
          </w:tcPr>
          <w:p>
            <w:r>
              <w:rPr>
                <w:rFonts w:ascii="Times New Roman" w:hAnsi="Times New Roman"/>
                <w:sz w:val="20"/>
              </w:rPr>
              <w:t>Multidimensional Scale of Perceived Social Support — Thang Hỗ trợ Xã hội Đa chiều</w:t>
            </w:r>
          </w:p>
        </w:tc>
      </w:tr>
      <w:tr>
        <w:tc>
          <w:tcPr>
            <w:tcW w:type="dxa" w:w="4702"/>
            <w:tcW w:w="1701" w:type="dxa"/>
          </w:tcPr>
          <w:p>
            <w:r>
              <w:rPr>
                <w:rFonts w:ascii="Times New Roman" w:hAnsi="Times New Roman"/>
                <w:sz w:val="20"/>
              </w:rPr>
              <w:t>OGA</w:t>
            </w:r>
          </w:p>
        </w:tc>
        <w:tc>
          <w:tcPr>
            <w:tcW w:type="dxa" w:w="4702"/>
            <w:tcW w:w="7371" w:type="dxa"/>
          </w:tcPr>
          <w:p>
            <w:r>
              <w:rPr>
                <w:rFonts w:ascii="Times New Roman" w:hAnsi="Times New Roman"/>
                <w:sz w:val="20"/>
              </w:rPr>
              <w:t>One Good Adult — Một Người Lớn Tốt</w:t>
            </w:r>
          </w:p>
        </w:tc>
      </w:tr>
      <w:tr>
        <w:tc>
          <w:tcPr>
            <w:tcW w:type="dxa" w:w="4702"/>
            <w:tcW w:w="1701" w:type="dxa"/>
          </w:tcPr>
          <w:p>
            <w:r>
              <w:rPr>
                <w:rFonts w:ascii="Times New Roman" w:hAnsi="Times New Roman"/>
                <w:sz w:val="20"/>
              </w:rPr>
              <w:t>APSS</w:t>
            </w:r>
          </w:p>
        </w:tc>
        <w:tc>
          <w:tcPr>
            <w:tcW w:type="dxa" w:w="4702"/>
            <w:tcW w:w="7371" w:type="dxa"/>
          </w:tcPr>
          <w:p>
            <w:r>
              <w:rPr>
                <w:rFonts w:ascii="Times New Roman" w:hAnsi="Times New Roman"/>
                <w:sz w:val="20"/>
              </w:rPr>
              <w:t>Adolescent Psychotic-Like Symptom Screener</w:t>
            </w:r>
          </w:p>
        </w:tc>
      </w:tr>
      <w:tr>
        <w:tc>
          <w:tcPr>
            <w:tcW w:type="dxa" w:w="4702"/>
            <w:tcW w:w="1701" w:type="dxa"/>
          </w:tcPr>
          <w:p>
            <w:r>
              <w:rPr>
                <w:rFonts w:ascii="Times New Roman" w:hAnsi="Times New Roman"/>
                <w:sz w:val="20"/>
              </w:rPr>
              <w:t>CFI</w:t>
            </w:r>
          </w:p>
        </w:tc>
        <w:tc>
          <w:tcPr>
            <w:tcW w:type="dxa" w:w="4702"/>
            <w:tcW w:w="7371" w:type="dxa"/>
          </w:tcPr>
          <w:p>
            <w:r>
              <w:rPr>
                <w:rFonts w:ascii="Times New Roman" w:hAnsi="Times New Roman"/>
                <w:sz w:val="20"/>
              </w:rPr>
              <w:t>Comparative Fit Index</w:t>
            </w:r>
          </w:p>
        </w:tc>
      </w:tr>
      <w:tr>
        <w:tc>
          <w:tcPr>
            <w:tcW w:type="dxa" w:w="4702"/>
            <w:tcW w:w="1701" w:type="dxa"/>
          </w:tcPr>
          <w:p>
            <w:r>
              <w:rPr>
                <w:rFonts w:ascii="Times New Roman" w:hAnsi="Times New Roman"/>
                <w:sz w:val="20"/>
              </w:rPr>
              <w:t>RMSEA</w:t>
            </w:r>
          </w:p>
        </w:tc>
        <w:tc>
          <w:tcPr>
            <w:tcW w:type="dxa" w:w="4702"/>
            <w:tcW w:w="7371" w:type="dxa"/>
          </w:tcPr>
          <w:p>
            <w:r>
              <w:rPr>
                <w:rFonts w:ascii="Times New Roman" w:hAnsi="Times New Roman"/>
                <w:sz w:val="20"/>
              </w:rPr>
              <w:t>Root Mean Square Error of Approximation</w:t>
            </w:r>
          </w:p>
        </w:tc>
      </w:tr>
      <w:tr>
        <w:tc>
          <w:tcPr>
            <w:tcW w:type="dxa" w:w="4702"/>
            <w:tcW w:w="1701" w:type="dxa"/>
          </w:tcPr>
          <w:p>
            <w:r>
              <w:rPr>
                <w:rFonts w:ascii="Times New Roman" w:hAnsi="Times New Roman"/>
                <w:sz w:val="20"/>
              </w:rPr>
              <w:t>MI</w:t>
            </w:r>
          </w:p>
        </w:tc>
        <w:tc>
          <w:tcPr>
            <w:tcW w:type="dxa" w:w="4702"/>
            <w:tcW w:w="7371" w:type="dxa"/>
          </w:tcPr>
          <w:p>
            <w:r>
              <w:rPr>
                <w:rFonts w:ascii="Times New Roman" w:hAnsi="Times New Roman"/>
                <w:sz w:val="20"/>
              </w:rPr>
              <w:t>Modification Index — Chỉ số Sửa đổi</w:t>
            </w:r>
          </w:p>
        </w:tc>
      </w:tr>
      <w:tr>
        <w:tc>
          <w:tcPr>
            <w:tcW w:type="dxa" w:w="4702"/>
            <w:tcW w:w="1701" w:type="dxa"/>
          </w:tcPr>
          <w:p>
            <w:r>
              <w:rPr>
                <w:rFonts w:ascii="Times New Roman" w:hAnsi="Times New Roman"/>
                <w:sz w:val="20"/>
              </w:rPr>
              <w:t>HBSC</w:t>
            </w:r>
          </w:p>
        </w:tc>
        <w:tc>
          <w:tcPr>
            <w:tcW w:type="dxa" w:w="4702"/>
            <w:tcW w:w="7371" w:type="dxa"/>
          </w:tcPr>
          <w:p>
            <w:r>
              <w:rPr>
                <w:rFonts w:ascii="Times New Roman" w:hAnsi="Times New Roman"/>
                <w:sz w:val="20"/>
              </w:rPr>
              <w:t>Health Behaviour in School-aged Children</w:t>
            </w:r>
          </w:p>
        </w:tc>
      </w:tr>
      <w:tr>
        <w:tc>
          <w:tcPr>
            <w:tcW w:type="dxa" w:w="4702"/>
            <w:tcW w:w="1701" w:type="dxa"/>
          </w:tcPr>
          <w:p>
            <w:r>
              <w:rPr>
                <w:rFonts w:ascii="Times New Roman" w:hAnsi="Times New Roman"/>
                <w:sz w:val="20"/>
              </w:rPr>
              <w:t>UCD</w:t>
            </w:r>
          </w:p>
        </w:tc>
        <w:tc>
          <w:tcPr>
            <w:tcW w:type="dxa" w:w="4702"/>
            <w:tcW w:w="7371" w:type="dxa"/>
          </w:tcPr>
          <w:p>
            <w:r>
              <w:rPr>
                <w:rFonts w:ascii="Times New Roman" w:hAnsi="Times New Roman"/>
                <w:sz w:val="20"/>
              </w:rPr>
              <w:t>University College Dublin</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VTN</w:t>
            </w:r>
          </w:p>
        </w:tc>
        <w:tc>
          <w:tcPr>
            <w:tcW w:type="dxa" w:w="4702"/>
            <w:tcW w:w="7371" w:type="dxa"/>
          </w:tcPr>
          <w:p>
            <w:r>
              <w:rPr>
                <w:rFonts w:ascii="Times New Roman" w:hAnsi="Times New Roman"/>
                <w:sz w:val="20"/>
              </w:rPr>
              <w:t>Vị thành niên</w:t>
            </w:r>
          </w:p>
        </w:tc>
      </w:tr>
      <w:tr>
        <w:tc>
          <w:tcPr>
            <w:tcW w:type="dxa" w:w="4702"/>
            <w:tcW w:w="1701" w:type="dxa"/>
          </w:tcPr>
          <w:p>
            <w:r>
              <w:rPr>
                <w:rFonts w:ascii="Times New Roman" w:hAnsi="Times New Roman"/>
                <w:sz w:val="20"/>
              </w:rPr>
              <w:t>MXH</w:t>
            </w:r>
          </w:p>
        </w:tc>
        <w:tc>
          <w:tcPr>
            <w:tcW w:type="dxa" w:w="4702"/>
            <w:tcW w:w="7371" w:type="dxa"/>
          </w:tcPr>
          <w:p>
            <w:r>
              <w:rPr>
                <w:rFonts w:ascii="Times New Roman" w:hAnsi="Times New Roman"/>
                <w:sz w:val="20"/>
              </w:rPr>
              <w:t>Mạng xã hội</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My World Survey — khảo sát SKTT thanh niên lớn nhất Ireland. 2 đợt, tổng 15.334 VTN.</w:t>
      </w:r>
    </w:p>
    <w:p>
      <w:r>
        <w:rPr>
          <w:rFonts w:ascii="Times New Roman" w:hAnsi="Times New Roman"/>
          <w:b w:val="0"/>
          <w:color w:val="FF0000"/>
          <w:sz w:val="24"/>
        </w:rPr>
        <w:t>• Multi-group path analysis — phương pháp nâng cao kiểm tra YẾU TỐ NÀO thay đổi, không chỉ mô tả xu hướng. Phù hợp Norway 2025 (QT21) dùng decomposition.</w:t>
      </w:r>
    </w:p>
    <w:p>
      <w:r>
        <w:rPr>
          <w:rFonts w:ascii="Times New Roman" w:hAnsi="Times New Roman"/>
          <w:b w:val="0"/>
          <w:color w:val="FF0000"/>
          <w:sz w:val="24"/>
        </w:rPr>
        <w:t>• 26 yếu tố nguy cơ/bảo vệ — toàn diện nhất trong các NC của Đề tài. AJP 2024 (QT28) chỉ review CBT/SSRI.</w:t>
      </w:r>
    </w:p>
    <w:p>
      <w:r>
        <w:rPr>
          <w:rFonts w:ascii="Times New Roman" w:hAnsi="Times New Roman"/>
          <w:b w:val="0"/>
          <w:color w:val="FF0000"/>
          <w:sz w:val="24"/>
        </w:rPr>
        <w:t>• Xu hướng TRƯỚC COVID (2012→2019) — xác nhận tăng lo âu/trầm cảm không chỉ do đại dịch. Phù hợp Norway 2025 (2011–2024), JAACAP 2024 (2013–2021, AOR=2,17), GBD 2025 (AAPC 0,84%).</w:t>
      </w:r>
    </w:p>
    <w:p>
      <w:r>
        <w:rPr>
          <w:rFonts w:ascii="Times New Roman" w:hAnsi="Times New Roman"/>
          <w:b w:val="0"/>
          <w:color w:val="FF0000"/>
          <w:sz w:val="24"/>
        </w:rPr>
        <w:t>• OGA (One Good Adult) — khái niệm đặc sắc, yếu tố bảo vệ nhất quán. Phù hợp Wen 2020 (hỗ trợ trường OR=0,562), 59 Countries (QT31, cha mẹ kiểm tra bài AOR=0,75).</w:t>
      </w:r>
    </w:p>
    <w:p>
      <w:r>
        <w:rPr>
          <w:rFonts w:ascii="Times New Roman" w:hAnsi="Times New Roman"/>
          <w:b/>
          <w:color w:val="FF0000"/>
          <w:sz w:val="24"/>
        </w:rPr>
        <w:t>Hạn chế chi tiết:</w:t>
      </w:r>
    </w:p>
    <w:p>
      <w:r>
        <w:rPr>
          <w:rFonts w:ascii="Times New Roman" w:hAnsi="Times New Roman"/>
          <w:b w:val="0"/>
          <w:color w:val="FF0000"/>
          <w:sz w:val="24"/>
        </w:rPr>
        <w:t>• Chỉ Ireland — giàu, Tây Âu, dân số nhỏ (~5 triệu). Văn hóa khác VN rất lớn (tôn giáo, gia đình, giáo dục). Tuy nhiên, xu hướng tăng phù hợp toàn cầu.</w:t>
      </w:r>
    </w:p>
    <w:p>
      <w:r>
        <w:rPr>
          <w:rFonts w:ascii="Times New Roman" w:hAnsi="Times New Roman"/>
          <w:b w:val="0"/>
          <w:color w:val="FF0000"/>
          <w:sz w:val="24"/>
        </w:rPr>
        <w:t>• Cắt ngang lặp lại — KHÔNG theo dõi cùng cá nhân. Không xác lập nhân quả (tự trọng thấp → tăng lo âu hay ngược lại?). Li 2025 (QT22) dùng dọc nhưng cũng gặp vấn đề nhân quả.</w:t>
      </w:r>
    </w:p>
    <w:p>
      <w:r>
        <w:rPr>
          <w:rFonts w:ascii="Times New Roman" w:hAnsi="Times New Roman"/>
          <w:b w:val="0"/>
          <w:color w:val="FF0000"/>
          <w:sz w:val="24"/>
        </w:rPr>
        <w:t>• DASS-21 sàng lọc — không chẩn đoán. Tỷ lệ cao có thể phản ánh triệu chứng, không phải rối loạn. So V-NAMHS 2022 (DISC-5: 2,3% chẩn đoán) — chênh lớn. Cần so sánh trên cùng mẫu (Gap #2 cross-study).</w:t>
      </w:r>
    </w:p>
    <w:p>
      <w:r>
        <w:rPr>
          <w:rFonts w:ascii="Times New Roman" w:hAnsi="Times New Roman"/>
          <w:b w:val="0"/>
          <w:color w:val="FF0000"/>
          <w:sz w:val="24"/>
        </w:rPr>
        <w:t>• Mẫu Đợt 2 lớn hơn nhiều (9.844 vs 5.490) — bất đối xứng có thể ảnh hưởng phân tích. Path analysis nhạy cảm với cỡ mẫu.</w:t>
      </w:r>
    </w:p>
    <w:p>
      <w:r>
        <w:rPr>
          <w:rFonts w:ascii="Times New Roman" w:hAnsi="Times New Roman"/>
          <w:b w:val="0"/>
          <w:color w:val="FF0000"/>
          <w:sz w:val="24"/>
        </w:rPr>
        <w:t>• Đợt 2 chỉ đến 2019 — KHÔNG phản ánh hậu COVID. Korea 2024 (QT34): SKTT đảo chiều sau COVID. Cần đợt 3 (2022+).</w:t>
      </w:r>
    </w:p>
    <w:p>
      <w:r>
        <w:rPr>
          <w:rFonts w:ascii="Times New Roman" w:hAnsi="Times New Roman"/>
          <w:b w:val="0"/>
          <w:color w:val="FF0000"/>
          <w:sz w:val="24"/>
        </w:rPr>
        <w:t>• Tự báo cáo — có thể bị ảnh hưởng bởi tăng nhận thức SKTT (Foulkes &amp; Andrews, 2023: prevalence inflation hypothesis). Cùng thang đo nhưng VTN 2019 có thể BÁO CÁO triệu chứng dễ dàng hơn 2012.</w:t>
      </w:r>
    </w:p>
    <w:p>
      <w:r>
        <w:rPr>
          <w:rFonts w:ascii="Times New Roman" w:hAnsi="Times New Roman"/>
          <w:b w:val="0"/>
          <w:color w:val="FF0000"/>
          <w:sz w:val="24"/>
        </w:rPr>
        <w:t>• Không đo screen time/MXH — yếu tố quan trọng theo Norway 2025 (QT21: giải thích xu hướng) và Nature 2025 (QT27: g=0,46).</w:t>
      </w:r>
    </w:p>
    <w:p>
      <w:r>
        <w:rPr>
          <w:rFonts w:ascii="Times New Roman" w:hAnsi="Times New Roman"/>
          <w:b/>
          <w:color w:val="FF0000"/>
          <w:sz w:val="24"/>
        </w:rPr>
        <w:t>Khoảng trống nghiên cứu / Research Gap:</w:t>
      </w:r>
    </w:p>
    <w:p>
      <w:r>
        <w:rPr>
          <w:rFonts w:ascii="Times New Roman" w:hAnsi="Times New Roman"/>
          <w:b w:val="0"/>
          <w:color w:val="FF0000"/>
          <w:sz w:val="24"/>
        </w:rPr>
        <w:t>• VN CẦN khảo sát lặp lại tương tự My World — so sánh trước/sau COVID. V-NAMHS 2022 là thời điểm 1, cần thời điểm 2 (2025–2026).</w:t>
      </w:r>
    </w:p>
    <w:p>
      <w:r>
        <w:rPr>
          <w:rFonts w:ascii="Times New Roman" w:hAnsi="Times New Roman"/>
          <w:b w:val="0"/>
          <w:color w:val="FF0000"/>
          <w:sz w:val="24"/>
        </w:rPr>
        <w:t>• Áp dụng OGA (One Good Adult) cho VN — xây dựng chương trình mentor tại trường THCS/THPT. Phù hợp văn hóa VN (thầy/cô, cha mẹ). Can thiệp chi phí thấp, dễ triển khai.</w:t>
      </w:r>
    </w:p>
    <w:p>
      <w:r>
        <w:rPr>
          <w:rFonts w:ascii="Times New Roman" w:hAnsi="Times New Roman"/>
          <w:b w:val="0"/>
          <w:color w:val="FF0000"/>
          <w:sz w:val="24"/>
        </w:rPr>
        <w:t>• Tự trọng và resilience ở VTN VN — chưa có NC. Ireland cho thấy 2 yếu tố này QUAN TRỌNG HƠN theo thời gian. VN có xu hướng tương tự không?</w:t>
      </w:r>
    </w:p>
    <w:p>
      <w:r>
        <w:rPr>
          <w:rFonts w:ascii="Times New Roman" w:hAnsi="Times New Roman"/>
          <w:b w:val="0"/>
          <w:color w:val="FF0000"/>
          <w:sz w:val="24"/>
        </w:rPr>
        <w:t>• So sánh Ireland vs VN — cùng dùng DASS-21 (Bảo Quyên 2025, Thảo Vi 2025, An Giang 2025) → có thể so sánh trực tiếp một số chỉ số.</w:t>
      </w:r>
    </w:p>
    <w:p>
      <w:r>
        <w:rPr>
          <w:rFonts w:ascii="Times New Roman" w:hAnsi="Times New Roman"/>
          <w:b w:val="0"/>
          <w:color w:val="FF0000"/>
          <w:sz w:val="24"/>
        </w:rPr>
        <w:t>• Kết hợp yếu tố bảo vệ (OGA, lạc quan, peer connectedness) vào can thiệp trường: Thảo Vi 2025 (VN19) cho thấy lạc quan giảm lo âu (β gián tiếp = −0,24). BMC NMA 2025 (QT29): ACT + CBT + PE hiệu quả.</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