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https://doi.org/10.1038/s41598-024-XXXXX</w:t>
      </w:r>
    </w:p>
    <w:p>
      <w:pPr>
        <w:pStyle w:val="Heading1"/>
      </w:pPr>
      <w:r>
        <w:rPr>
          <w:rFonts w:ascii="Times New Roman" w:hAnsi="Times New Roman"/>
          <w:color w:val="000000"/>
        </w:rPr>
        <w:t>Xu hướng quốc gia về sức khỏe tâm thần thanh thiếu niên theo mức thu nhập tại Hàn Quốc, trước và sau COVID-19, 2006–2022</w:t>
      </w:r>
    </w:p>
    <w:p>
      <w:r>
        <w:rPr>
          <w:rFonts w:ascii="Times New Roman" w:hAnsi="Times New Roman"/>
          <w:i/>
          <w:sz w:val="26"/>
        </w:rPr>
        <w:t>National Trends in Adolescents' Mental Health by Income Level in South Korea, Pre- and Post-COVID-19, 2006-2022</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National Trends in Adolescents' Mental Health by Income Level in South Korea, Pre- and Post-COVID-19, 2006-2022</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Xu hướng quốc gia về sức khỏe tâm thần thanh thiếu niên theo mức thu nhập tại Hàn Quốc, trước và sau COVID-19, 2006–2022</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Jaehyeong Cho, Jaeyu Park, Hayeon Lee, Hyesu Jo, Sooji Lee, Hyeon Jin Kim, Yejun Son, Hyunjee Kim, Selin Woo, Seokjun Kim, Jiseung Kang, Damiano Pizzol, Jiyoung Hwang, Lee Smith, Dong Keon Yon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Center for Digital Health, Medical Science Research Institute, Kyung Hee University; Department of Pediatrics, Kyung Hee University Medical Center, Seoul; Nhiều cơ quan khác tại Hàn Quốc, Ý, Anh</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Nature Scientific Reports (Q1, IF ≈ 4,6)</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2024, 14 trang, 4 bảng, 1 hình</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10.1038/s41598-024-XXXXX</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Phân tích xu hướng 17 năm (2006–2022) — dữ liệu khảo sát quốc gia</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1.138.804 VTN Hàn Quốc (tuổi TB = 15,01; SD = 0,75; 51,57% nam) từ KYRBS</w:t>
            </w:r>
          </w:p>
        </w:tc>
      </w:tr>
      <w:tr>
        <w:tc>
          <w:tcPr>
            <w:tcW w:type="dxa" w:w="4702"/>
            <w:tcW w:w="1984" w:type="dxa"/>
            <w:shd w:fill="D9E2F3" w:val="clear"/>
          </w:tcPr>
          <w:p>
            <w:r>
              <w:rPr>
                <w:rFonts w:ascii="Times New Roman" w:hAnsi="Times New Roman"/>
                <w:b/>
                <w:sz w:val="20"/>
              </w:rPr>
              <w:t>Nguồn dữ liệu</w:t>
            </w:r>
          </w:p>
        </w:tc>
        <w:tc>
          <w:tcPr>
            <w:tcW w:type="dxa" w:w="4702"/>
            <w:tcW w:w="7087" w:type="dxa"/>
          </w:tcPr>
          <w:p>
            <w:r>
              <w:rPr>
                <w:rFonts w:ascii="Times New Roman" w:hAnsi="Times New Roman"/>
                <w:sz w:val="20"/>
              </w:rPr>
              <w:t>KYRBS — Korea Youth Risk Behavior Web-based Survey (Bộ Giáo dục + KCDC)</w:t>
            </w:r>
          </w:p>
        </w:tc>
      </w:tr>
    </w:tbl>
    <w:p>
      <w:r>
        <w:rPr>
          <w:rFonts w:ascii="Times New Roman" w:hAnsi="Times New Roman"/>
          <w:i/>
          <w:color w:val="808080"/>
          <w:sz w:val="18"/>
        </w:rPr>
        <w:t>--- Trang 1–14, Nature Scientific Reports, 2024 ---</w:t>
      </w:r>
    </w:p>
    <w:p>
      <w:pPr>
        <w:pStyle w:val="Heading2"/>
      </w:pPr>
      <w:r>
        <w:rPr>
          <w:rFonts w:ascii="Times New Roman" w:hAnsi="Times New Roman"/>
          <w:color w:val="000000"/>
        </w:rPr>
        <w:t>TÓM TẮT</w:t>
      </w:r>
    </w:p>
    <w:p>
      <w:r>
        <w:rPr>
          <w:rFonts w:ascii="Times New Roman" w:hAnsi="Times New Roman"/>
          <w:b w:val="0"/>
          <w:i w:val="0"/>
          <w:sz w:val="24"/>
        </w:rPr>
        <w:t>Mặc dù tác động đáng kể của đại dịch COVID-19 lên nhiều yếu tố liên quan SKTT VTN như stress, buồn bã, ý tưởng tự tử và cố gắng tự tử, NC về chủ đề này vẫn chưa đủ.</w:t>
      </w:r>
    </w:p>
    <w:p>
      <w:r>
        <w:rPr>
          <w:rFonts w:ascii="Times New Roman" w:hAnsi="Times New Roman"/>
          <w:color w:val="CC0000"/>
          <w:sz w:val="24"/>
        </w:rPr>
        <w:t>Phương pháp: Dựa trên KYRBS (Korea Youth Risk Behavior Web-based Survey) từ 2006 đến 2022. Phân tích vấn đề SKTT VTN dựa trên bảng hỏi + phỏng vấn y tế, trong 5 nhóm thu nhập, so sánh với nhiều yếu tố nguy cơ. Tổng 1.138.804 người tham gia (tuổi TB = 15,01; SD = 0,75; 51,57% nam). Phân tích hồi quy xu hướng, chia 8 giai đoạn (5 trước COVID + 3 trong/sau COVID).</w:t>
      </w:r>
    </w:p>
    <w:p>
      <w:r>
        <w:rPr>
          <w:rFonts w:ascii="Times New Roman" w:hAnsi="Times New Roman"/>
          <w:color w:val="CC0000"/>
          <w:sz w:val="24"/>
        </w:rPr>
        <w:t>Kết quả: Năm 2022, tỷ lệ stress ở nhóm thu nhập CAO nhất: 40,07% (KTC 95%: 38,67–41,48), buồn bã 28,15%, ý tưởng tự tử 13,92%, cố tự tử 3,42%. Ở nhóm thu nhập THẤP nhất: stress 62,77% (59,42–66,13), buồn bã 46,83%, ý tưởng tự tử 31,70%, cố tự tử 10,45%. Nhóm thu nhập thấp có tỷ lệ cao hơn đáng kể với nhiều yếu tố nguy cơ. Tổng thể: xu hướng GIẢM trước COVID → TĂNG đáng kể trong/sau COVID. Bất bình đẳng thu nhập MỞ RỘNG trong đại dịch.</w:t>
      </w:r>
    </w:p>
    <w:p>
      <w:r>
        <w:rPr>
          <w:rFonts w:ascii="Times New Roman" w:hAnsi="Times New Roman"/>
          <w:b w:val="0"/>
          <w:i w:val="0"/>
          <w:sz w:val="24"/>
        </w:rPr>
        <w:t>Kết luận: NC cho thấy mối liên quan giữa mức thu nhập hộ gia đình và tỷ lệ bệnh tật SKTT ở VTN. COVID-19 đã làm trầm trọng hơn bệnh tật SKTT ở VTN từ hộ thu nhập thấp, nhấn mạnh nhu cầu tăng cường giám sát và hỗ trợ SKTT.</w:t>
      </w:r>
    </w:p>
    <w:p>
      <w:pPr>
        <w:pStyle w:val="Heading2"/>
      </w:pPr>
      <w:r>
        <w:rPr>
          <w:rFonts w:ascii="Times New Roman" w:hAnsi="Times New Roman"/>
          <w:color w:val="000000"/>
        </w:rPr>
        <w:t>TÓM TẮT ĐÁNH GIÁ NHANH</w:t>
      </w:r>
    </w:p>
    <w:p>
      <w:r>
        <w:rPr>
          <w:rFonts w:ascii="Times New Roman" w:hAnsi="Times New Roman"/>
          <w:b w:val="0"/>
          <w:i w:val="0"/>
          <w:sz w:val="24"/>
        </w:rPr>
        <w:t>• Nature Scientific Reports Q1 IF ≈ 4,6 — tạp chí uy tín.</w:t>
      </w:r>
    </w:p>
    <w:p>
      <w:r>
        <w:rPr>
          <w:rFonts w:ascii="Times New Roman" w:hAnsi="Times New Roman"/>
          <w:b w:val="0"/>
          <w:i w:val="0"/>
          <w:sz w:val="24"/>
        </w:rPr>
        <w:t>• KYRBS quốc gia — MẪU CỰC LỚN: 1.138.804 VTN, 17 năm (2006–2022). Dài nhất trong tất cả NC của Đề tài.</w:t>
      </w:r>
    </w:p>
    <w:p>
      <w:r>
        <w:rPr>
          <w:rFonts w:ascii="Times New Roman" w:hAnsi="Times New Roman"/>
          <w:b w:val="0"/>
          <w:i w:val="0"/>
          <w:sz w:val="24"/>
        </w:rPr>
        <w:t>• Phân tầng theo THU NHẬP (5 nhóm) — ÍT NC nào làm. Chênh 22,7 điểm stress giữa giàu/nghèo.</w:t>
      </w:r>
    </w:p>
    <w:p>
      <w:r>
        <w:rPr>
          <w:rFonts w:ascii="Times New Roman" w:hAnsi="Times New Roman"/>
          <w:b w:val="0"/>
          <w:i w:val="0"/>
          <w:sz w:val="24"/>
        </w:rPr>
        <w:t>• Mô hình ĐẢO CHIỀU: SKTT CẢI THIỆN trước COVID (2006–2019) → XẤU ĐI sau COVID — DUY NHẤT trong Đề tài (phương Tây tăng liên tục).</w:t>
      </w:r>
    </w:p>
    <w:p>
      <w:r>
        <w:rPr>
          <w:rFonts w:ascii="Times New Roman" w:hAnsi="Times New Roman"/>
          <w:b w:val="0"/>
          <w:i w:val="0"/>
          <w:sz w:val="24"/>
        </w:rPr>
        <w:t>• Bất bình đẳng thu nhập MỞ RỘNG trong COVID — nhóm nghèo bị ảnh hưởng nặng hơn.</w:t>
      </w:r>
    </w:p>
    <w:p>
      <w:r>
        <w:rPr>
          <w:rFonts w:ascii="Times New Roman" w:hAnsi="Times New Roman"/>
          <w:b w:val="0"/>
          <w:i w:val="0"/>
          <w:sz w:val="24"/>
        </w:rPr>
        <w:t>• Nhiều yếu tố nguy cơ phân tích: giới, rượu, thuốc lá, trình độ cha mẹ, thành tích học tập, vùng.</w:t>
      </w:r>
    </w:p>
    <w:p>
      <w:r>
        <w:rPr>
          <w:rFonts w:ascii="Times New Roman" w:hAnsi="Times New Roman"/>
          <w:b w:val="0"/>
          <w:i w:val="0"/>
          <w:sz w:val="24"/>
        </w:rPr>
        <w:t>• Tự tử: ý tưởng 13,92% nhóm giàu vs 31,70% nhóm nghèo — chênh GẤP 2,3 lần.</w:t>
      </w:r>
    </w:p>
    <w:p>
      <w:r>
        <w:rPr>
          <w:rFonts w:ascii="Times New Roman" w:hAnsi="Times New Roman"/>
          <w:b/>
          <w:i w:val="0"/>
          <w:sz w:val="24"/>
        </w:rPr>
        <w:t>Hạn chế:</w:t>
      </w:r>
    </w:p>
    <w:p>
      <w:r>
        <w:rPr>
          <w:rFonts w:ascii="Times New Roman" w:hAnsi="Times New Roman"/>
          <w:b w:val="0"/>
          <w:i w:val="0"/>
          <w:sz w:val="24"/>
        </w:rPr>
        <w:t>• Chỉ Hàn Quốc — hệ thống giáo dục cạnh tranh cực cao (suneung), văn hóa khác VN.</w:t>
      </w:r>
    </w:p>
    <w:p>
      <w:r>
        <w:rPr>
          <w:rFonts w:ascii="Times New Roman" w:hAnsi="Times New Roman"/>
          <w:b w:val="0"/>
          <w:i w:val="0"/>
          <w:sz w:val="24"/>
        </w:rPr>
        <w:t>• Đo stress/buồn bã/tự tử bằng câu hỏi đơn — KHÔNG tách lo âu riêng (không GAD-7, DASS-21).</w:t>
      </w:r>
    </w:p>
    <w:p>
      <w:r>
        <w:rPr>
          <w:rFonts w:ascii="Times New Roman" w:hAnsi="Times New Roman"/>
          <w:b w:val="0"/>
          <w:i w:val="0"/>
          <w:sz w:val="24"/>
        </w:rPr>
        <w:t>• KYRBS tự báo cáo trực tuyến — thiên lệch tự báo cáo.</w:t>
      </w:r>
    </w:p>
    <w:p>
      <w:r>
        <w:rPr>
          <w:rFonts w:ascii="Times New Roman" w:hAnsi="Times New Roman"/>
          <w:b w:val="0"/>
          <w:i w:val="0"/>
          <w:sz w:val="24"/>
        </w:rPr>
        <w:t>• Thu nhập gia đình tự báo cáo bởi VTN — có thể không chính xác.</w:t>
      </w:r>
    </w:p>
    <w:p>
      <w:r>
        <w:rPr>
          <w:rFonts w:ascii="Times New Roman" w:hAnsi="Times New Roman"/>
          <w:b w:val="0"/>
          <w:i w:val="0"/>
          <w:sz w:val="24"/>
        </w:rPr>
        <w:t>• Sinh thái — xu hướng cấp quốc gia, không cá nhân.</w:t>
      </w:r>
    </w:p>
    <w:p>
      <w:r>
        <w:rPr>
          <w:rFonts w:ascii="Times New Roman" w:hAnsi="Times New Roman"/>
          <w:i/>
          <w:color w:val="808080"/>
          <w:sz w:val="18"/>
        </w:rPr>
        <w:t>--- Trang 1–3, Nature Scientific Reports, 2024 ---</w:t>
      </w:r>
    </w:p>
    <w:p>
      <w:pPr>
        <w:pStyle w:val="Heading2"/>
      </w:pPr>
      <w:r>
        <w:rPr>
          <w:rFonts w:ascii="Times New Roman" w:hAnsi="Times New Roman"/>
          <w:color w:val="000000"/>
        </w:rPr>
        <w:t>1. GIỚI THIỆU</w:t>
      </w:r>
    </w:p>
    <w:p>
      <w:r>
        <w:rPr>
          <w:rFonts w:ascii="Times New Roman" w:hAnsi="Times New Roman"/>
          <w:b w:val="0"/>
          <w:i w:val="0"/>
          <w:sz w:val="24"/>
        </w:rPr>
        <w:t>Mặc dù tác động lớn của COVID-19 lên nhiều yếu tố liên quan SKTT VTN, NC về chủ đề này vẫn chưa đủ. Hầu hết NC tập trung vào stress học tập hoặc vấn đề SKTT riêng của VTN, nhưng cần điều tra sâu hơn về yếu tố kinh tế xã hội — đặc biệt bất bình đẳng thu nhập hộ gia đình.</w:t>
      </w:r>
    </w:p>
    <w:p>
      <w:r>
        <w:rPr>
          <w:rFonts w:ascii="Times New Roman" w:hAnsi="Times New Roman"/>
          <w:b w:val="0"/>
          <w:i w:val="0"/>
          <w:sz w:val="24"/>
        </w:rPr>
        <w:t>Từ khi COVID-19 bùng phát và phong tỏa, cá nhân trải qua stress và lo âu tăng do sợ lây nhiễm và gián đoạn sinh hoạt. Nhiều người đối mặt cô lập xã hội, cô đơn, giảm tiếp cận dịch vụ trị liệu — dẫn đến giảm cả sức khỏe thể chất và tâm thần. Tác động tiêu cực đặc biệt rõ ở VTN, với tăng đáng kể các chỉ số SKTT tiêu cực.</w:t>
      </w:r>
    </w:p>
    <w:p>
      <w:r>
        <w:rPr>
          <w:rFonts w:ascii="Times New Roman" w:hAnsi="Times New Roman"/>
          <w:b w:val="0"/>
          <w:i w:val="0"/>
          <w:sz w:val="24"/>
        </w:rPr>
        <w:t>VTN là giai đoạn quan trọng cho phát triển cá nhân, hình thành nhân cách. Trạng thái SKTT trong giai đoạn này không chỉ định hình giá trị cốt lõi mà còn có tác động lâu dài lên quỹ đạo cuộc sống. Do đó, đảm bảo sức khỏe SKTT VTN trong những năm then chốt là thiết yếu cho chuyển đổi lành mạnh sang tuổi trưởng thành.</w:t>
      </w:r>
    </w:p>
    <w:p>
      <w:r>
        <w:rPr>
          <w:rFonts w:ascii="Times New Roman" w:hAnsi="Times New Roman"/>
          <w:b w:val="0"/>
          <w:i w:val="0"/>
          <w:sz w:val="24"/>
        </w:rPr>
        <w:t>Hàn Quốc có hệ thống giáo dục cạnh tranh cực cao — kỳ thi suneung (대학수학능력시험) quyết định tương lai, tạo áp lực khổng lồ. Tỷ lệ tự tử VTN cao nhất OECD. KYRBS (Korea Youth Risk Behavior Web-based Survey) được triển khai hàng năm từ 2005 bởi KCDC và Bộ Giáo dục, lấy mẫu cụm nhiều bậc đại diện quốc gia cho HS THCS + THPT.</w:t>
      </w:r>
    </w:p>
    <w:p>
      <w:r>
        <w:rPr>
          <w:rFonts w:ascii="Times New Roman" w:hAnsi="Times New Roman"/>
          <w:b w:val="0"/>
          <w:i w:val="0"/>
          <w:sz w:val="24"/>
        </w:rPr>
        <w:t>Hàn Quốc phản ứng COVID khác nhiều nước: không phong tỏa toàn diện (lockdown), thay vào đó dùng truy vết + cách ly + xét nghiệm quy mô lớn. Tuy nhiên, vẫn có đóng cửa trường và chuyển sang học trực tuyến. Tỷ lệ tử vong chỉ 0,13% — thấp nhất trong 30 nước có ca nhiễm cao nhất. Giai đoạn COVID chia 3: 2020, 2021, 2022.</w:t>
      </w:r>
    </w:p>
    <w:p>
      <w:r>
        <w:rPr>
          <w:rFonts w:ascii="Times New Roman" w:hAnsi="Times New Roman"/>
          <w:i/>
          <w:color w:val="808080"/>
          <w:sz w:val="18"/>
        </w:rPr>
        <w:t>--- Trang 2–3, Nature Scientific Reports, 2024 ---</w:t>
      </w:r>
    </w:p>
    <w:p>
      <w:pPr>
        <w:pStyle w:val="Heading2"/>
      </w:pPr>
      <w:r>
        <w:rPr>
          <w:rFonts w:ascii="Times New Roman" w:hAnsi="Times New Roman"/>
          <w:color w:val="000000"/>
        </w:rPr>
        <w:t>2. PHƯƠNG PHÁP</w:t>
      </w:r>
    </w:p>
    <w:p>
      <w:r>
        <w:rPr>
          <w:rFonts w:ascii="Times New Roman" w:hAnsi="Times New Roman"/>
          <w:b/>
          <w:i w:val="0"/>
          <w:sz w:val="24"/>
        </w:rPr>
        <w:t>2.1. Nguồn dữ liệu</w:t>
      </w:r>
    </w:p>
    <w:p>
      <w:r>
        <w:rPr>
          <w:rFonts w:ascii="Times New Roman" w:hAnsi="Times New Roman"/>
          <w:b w:val="0"/>
          <w:i w:val="0"/>
          <w:sz w:val="24"/>
        </w:rPr>
        <w:t>KYRBS: Khảo sát Hành vi Nguy cơ Thanh niên Hàn Quốc, tự báo cáo trực tuyến, hàng năm từ 2005. Lấy mẫu cụm nhiều bậc — đại diện quốc gia cho HS THCS (lớp 7–9) + THPT (lớp 10–12). Tổng 1.138.804 người tham gia 2006–2022. Tuổi TB = 15,01 (SD = 0,75). 587.256 nam (51,57%).</w:t>
      </w:r>
    </w:p>
    <w:p>
      <w:r>
        <w:rPr>
          <w:rFonts w:ascii="Times New Roman" w:hAnsi="Times New Roman"/>
          <w:b/>
          <w:i w:val="0"/>
          <w:sz w:val="24"/>
        </w:rPr>
        <w:t>2.2. Biến số</w:t>
      </w:r>
    </w:p>
    <w:p>
      <w:r>
        <w:rPr>
          <w:rFonts w:ascii="Times New Roman" w:hAnsi="Times New Roman"/>
          <w:b w:val="0"/>
          <w:i w:val="0"/>
          <w:sz w:val="24"/>
        </w:rPr>
        <w:t>4 chỉ số SKTT (câu hỏi đơn):</w:t>
      </w:r>
    </w:p>
    <w:p>
      <w:r>
        <w:rPr>
          <w:rFonts w:ascii="Times New Roman" w:hAnsi="Times New Roman"/>
          <w:b w:val="0"/>
          <w:i w:val="0"/>
          <w:sz w:val="24"/>
        </w:rPr>
        <w:t>• Mức stress nhận thức: "Bạn thường trải qua bao nhiêu stress?" (1–5, phân loại: thấp/trung bình/cao).</w:t>
      </w:r>
    </w:p>
    <w:p>
      <w:r>
        <w:rPr>
          <w:rFonts w:ascii="Times New Roman" w:hAnsi="Times New Roman"/>
          <w:b w:val="0"/>
          <w:i w:val="0"/>
          <w:sz w:val="24"/>
        </w:rPr>
        <w:t>• Buồn bã: "Trong 12 tháng qua, bạn có trải qua buồn bã hoặc tuyệt vọng nghiêm trọng đến mức gián đoạn hoạt động hàng ngày liên tục 2 tuần?" (Có/Không).</w:t>
      </w:r>
    </w:p>
    <w:p>
      <w:r>
        <w:rPr>
          <w:rFonts w:ascii="Times New Roman" w:hAnsi="Times New Roman"/>
          <w:b w:val="0"/>
          <w:i w:val="0"/>
          <w:sz w:val="24"/>
        </w:rPr>
        <w:t>• Ý tưởng tự tử: "Trong 12 tháng qua, bạn có nghiêm túc nghĩ đến tự tử?" (Có/Không).</w:t>
      </w:r>
    </w:p>
    <w:p>
      <w:r>
        <w:rPr>
          <w:rFonts w:ascii="Times New Roman" w:hAnsi="Times New Roman"/>
          <w:b w:val="0"/>
          <w:i w:val="0"/>
          <w:sz w:val="24"/>
        </w:rPr>
        <w:t>• Cố gắng tự tử: "Trong 12 tháng qua, bạn có cố gắng tự tử?" (Có/Không).</w:t>
      </w:r>
    </w:p>
    <w:p>
      <w:r>
        <w:rPr>
          <w:rFonts w:ascii="Times New Roman" w:hAnsi="Times New Roman"/>
          <w:b w:val="0"/>
          <w:i w:val="0"/>
          <w:sz w:val="24"/>
        </w:rPr>
        <w:t>Thu nhập hộ gia đình: 5 nhóm (cao, trung cao, trung, trung thấp, thấp) — tự báo cáo bởi VTN.</w:t>
      </w:r>
    </w:p>
    <w:p>
      <w:r>
        <w:rPr>
          <w:rFonts w:ascii="Times New Roman" w:hAnsi="Times New Roman"/>
          <w:b w:val="0"/>
          <w:i w:val="0"/>
          <w:sz w:val="24"/>
        </w:rPr>
        <w:t>Yếu tố phân tầng: giới, lớp, vùng cư trú, rượu gần đây, hút thuốc, trình độ cha mẹ, thành tích học tập.</w:t>
      </w:r>
    </w:p>
    <w:p>
      <w:r>
        <w:rPr>
          <w:rFonts w:ascii="Times New Roman" w:hAnsi="Times New Roman"/>
          <w:b/>
          <w:i w:val="0"/>
          <w:sz w:val="24"/>
        </w:rPr>
        <w:t>2.3. Phân tích</w:t>
      </w:r>
    </w:p>
    <w:p>
      <w:r>
        <w:rPr>
          <w:rFonts w:ascii="Times New Roman" w:hAnsi="Times New Roman"/>
          <w:b w:val="0"/>
          <w:i w:val="0"/>
          <w:sz w:val="24"/>
        </w:rPr>
        <w:t>Hồi quy xu hướng — β (95% CI). 8 giai đoạn: Trước COVID (2006–2008, 2009–2011, 2012–2014, 2015–2017, 2018–2019) + Trong/Sau COVID (2020, 2021, 2022). So sánh xu hướng trước vs sau COVID: βdiff (khác biệt β). Trọng số dân số — ước tính tỷ lệ có trọng số.</w:t>
      </w:r>
    </w:p>
    <w:p>
      <w:r>
        <w:rPr>
          <w:rFonts w:ascii="Times New Roman" w:hAnsi="Times New Roman"/>
          <w:i/>
          <w:color w:val="808080"/>
          <w:sz w:val="18"/>
        </w:rPr>
        <w:t>--- Trang 3–8, Nature Scientific Reports, 2024 ---</w:t>
      </w:r>
    </w:p>
    <w:p>
      <w:pPr>
        <w:pStyle w:val="Heading2"/>
      </w:pPr>
      <w:r>
        <w:rPr>
          <w:rFonts w:ascii="Times New Roman" w:hAnsi="Times New Roman"/>
          <w:color w:val="000000"/>
        </w:rPr>
        <w:t>3. KẾT QUẢ</w:t>
      </w:r>
    </w:p>
    <w:p>
      <w:r>
        <w:rPr>
          <w:rFonts w:ascii="Times New Roman" w:hAnsi="Times New Roman"/>
          <w:b/>
          <w:i w:val="0"/>
          <w:sz w:val="24"/>
        </w:rPr>
        <w:t>3.1. Tổng quan mẫu</w:t>
      </w:r>
    </w:p>
    <w:p>
      <w:r>
        <w:rPr>
          <w:rFonts w:ascii="Times New Roman" w:hAnsi="Times New Roman"/>
          <w:b w:val="0"/>
          <w:i w:val="0"/>
          <w:sz w:val="24"/>
        </w:rPr>
        <w:t>Tổng 1.138.804 VTN, 17 năm. Phân bố đều theo giới (51,57% nam). Đại diện quốc gia cho HS THCS+THPT Hàn Quốc.</w:t>
      </w:r>
    </w:p>
    <w:p>
      <w:pPr>
        <w:pStyle w:val="Heading3"/>
      </w:pPr>
      <w:r>
        <w:rPr>
          <w:rFonts w:ascii="Times New Roman" w:hAnsi="Times New Roman"/>
          <w:color w:val="000000"/>
        </w:rPr>
        <w:t>Bảng 1. Xu hướng stress nhận thức cao theo thu nhập 2006–2022</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W w:w="1134" w:type="dxa"/>
            <w:shd w:fill="D9E2F3" w:val="clear"/>
          </w:tcPr>
          <w:p>
            <w:pPr>
              <w:jc w:val="center"/>
            </w:pPr>
            <w:r>
              <w:rPr>
                <w:rFonts w:ascii="Times New Roman" w:hAnsi="Times New Roman"/>
                <w:b/>
                <w:sz w:val="20"/>
              </w:rPr>
              <w:t>Thu nhập</w:t>
            </w:r>
          </w:p>
        </w:tc>
        <w:tc>
          <w:tcPr>
            <w:tcW w:type="dxa" w:w="1045"/>
            <w:tcW w:w="850" w:type="dxa"/>
            <w:shd w:fill="D9E2F3" w:val="clear"/>
          </w:tcPr>
          <w:p>
            <w:pPr>
              <w:jc w:val="center"/>
            </w:pPr>
            <w:r>
              <w:rPr>
                <w:rFonts w:ascii="Times New Roman" w:hAnsi="Times New Roman"/>
                <w:b/>
                <w:sz w:val="20"/>
              </w:rPr>
              <w:t>2006–08</w:t>
            </w:r>
          </w:p>
        </w:tc>
        <w:tc>
          <w:tcPr>
            <w:tcW w:type="dxa" w:w="1045"/>
            <w:tcW w:w="850" w:type="dxa"/>
            <w:shd w:fill="D9E2F3" w:val="clear"/>
          </w:tcPr>
          <w:p>
            <w:pPr>
              <w:jc w:val="center"/>
            </w:pPr>
            <w:r>
              <w:rPr>
                <w:rFonts w:ascii="Times New Roman" w:hAnsi="Times New Roman"/>
                <w:b/>
                <w:sz w:val="20"/>
              </w:rPr>
              <w:t>2012–14</w:t>
            </w:r>
          </w:p>
        </w:tc>
        <w:tc>
          <w:tcPr>
            <w:tcW w:type="dxa" w:w="1045"/>
            <w:tcW w:w="850" w:type="dxa"/>
            <w:shd w:fill="D9E2F3" w:val="clear"/>
          </w:tcPr>
          <w:p>
            <w:pPr>
              <w:jc w:val="center"/>
            </w:pPr>
            <w:r>
              <w:rPr>
                <w:rFonts w:ascii="Times New Roman" w:hAnsi="Times New Roman"/>
                <w:b/>
                <w:sz w:val="20"/>
              </w:rPr>
              <w:t>2018–19</w:t>
            </w:r>
          </w:p>
        </w:tc>
        <w:tc>
          <w:tcPr>
            <w:tcW w:type="dxa" w:w="1045"/>
            <w:tcW w:w="850" w:type="dxa"/>
            <w:shd w:fill="D9E2F3" w:val="clear"/>
          </w:tcPr>
          <w:p>
            <w:pPr>
              <w:jc w:val="center"/>
            </w:pPr>
            <w:r>
              <w:rPr>
                <w:rFonts w:ascii="Times New Roman" w:hAnsi="Times New Roman"/>
                <w:b/>
                <w:sz w:val="20"/>
              </w:rPr>
              <w:t>2020</w:t>
            </w:r>
          </w:p>
        </w:tc>
        <w:tc>
          <w:tcPr>
            <w:tcW w:type="dxa" w:w="1045"/>
            <w:tcW w:w="850" w:type="dxa"/>
            <w:shd w:fill="D9E2F3" w:val="clear"/>
          </w:tcPr>
          <w:p>
            <w:pPr>
              <w:jc w:val="center"/>
            </w:pPr>
            <w:r>
              <w:rPr>
                <w:rFonts w:ascii="Times New Roman" w:hAnsi="Times New Roman"/>
                <w:b/>
                <w:sz w:val="20"/>
              </w:rPr>
              <w:t>2022</w:t>
            </w:r>
          </w:p>
        </w:tc>
        <w:tc>
          <w:tcPr>
            <w:tcW w:type="dxa" w:w="1045"/>
            <w:tcW w:w="1134" w:type="dxa"/>
            <w:shd w:fill="D9E2F3" w:val="clear"/>
          </w:tcPr>
          <w:p>
            <w:pPr>
              <w:jc w:val="center"/>
            </w:pPr>
            <w:r>
              <w:rPr>
                <w:rFonts w:ascii="Times New Roman" w:hAnsi="Times New Roman"/>
                <w:b/>
                <w:sz w:val="20"/>
              </w:rPr>
              <w:t>β trước COVID</w:t>
            </w:r>
          </w:p>
        </w:tc>
        <w:tc>
          <w:tcPr>
            <w:tcW w:type="dxa" w:w="1045"/>
            <w:tcW w:w="1134" w:type="dxa"/>
            <w:shd w:fill="D9E2F3" w:val="clear"/>
          </w:tcPr>
          <w:p>
            <w:pPr>
              <w:jc w:val="center"/>
            </w:pPr>
            <w:r>
              <w:rPr>
                <w:rFonts w:ascii="Times New Roman" w:hAnsi="Times New Roman"/>
                <w:b/>
                <w:sz w:val="20"/>
              </w:rPr>
              <w:t>β sau COVID</w:t>
            </w:r>
          </w:p>
        </w:tc>
        <w:tc>
          <w:tcPr>
            <w:tcW w:type="dxa" w:w="1045"/>
            <w:tcW w:w="850" w:type="dxa"/>
            <w:shd w:fill="D9E2F3" w:val="clear"/>
          </w:tcPr>
          <w:p>
            <w:pPr>
              <w:jc w:val="center"/>
            </w:pPr>
            <w:r>
              <w:rPr>
                <w:rFonts w:ascii="Times New Roman" w:hAnsi="Times New Roman"/>
                <w:b/>
                <w:sz w:val="20"/>
              </w:rPr>
              <w:t>βdiff</w:t>
            </w:r>
          </w:p>
        </w:tc>
      </w:tr>
      <w:tr>
        <w:tc>
          <w:tcPr>
            <w:tcW w:type="dxa" w:w="1045"/>
            <w:tcW w:w="1134" w:type="dxa"/>
          </w:tcPr>
          <w:p>
            <w:r>
              <w:rPr>
                <w:rFonts w:ascii="Times New Roman" w:hAnsi="Times New Roman"/>
                <w:sz w:val="20"/>
              </w:rPr>
              <w:t>Cao nhất</w:t>
            </w:r>
          </w:p>
        </w:tc>
        <w:tc>
          <w:tcPr>
            <w:tcW w:type="dxa" w:w="1045"/>
            <w:tcW w:w="850" w:type="dxa"/>
          </w:tcPr>
          <w:p>
            <w:r>
              <w:rPr>
                <w:rFonts w:ascii="Times New Roman" w:hAnsi="Times New Roman"/>
                <w:sz w:val="20"/>
              </w:rPr>
              <w:t>38,93%</w:t>
            </w:r>
          </w:p>
        </w:tc>
        <w:tc>
          <w:tcPr>
            <w:tcW w:type="dxa" w:w="1045"/>
            <w:tcW w:w="850" w:type="dxa"/>
          </w:tcPr>
          <w:p>
            <w:r>
              <w:rPr>
                <w:rFonts w:ascii="Times New Roman" w:hAnsi="Times New Roman"/>
                <w:sz w:val="20"/>
              </w:rPr>
              <w:t>33,93%</w:t>
            </w:r>
          </w:p>
        </w:tc>
        <w:tc>
          <w:tcPr>
            <w:tcW w:type="dxa" w:w="1045"/>
            <w:tcW w:w="850" w:type="dxa"/>
          </w:tcPr>
          <w:p>
            <w:r>
              <w:rPr>
                <w:rFonts w:ascii="Times New Roman" w:hAnsi="Times New Roman"/>
                <w:sz w:val="20"/>
              </w:rPr>
              <w:t>34,81%</w:t>
            </w:r>
          </w:p>
        </w:tc>
        <w:tc>
          <w:tcPr>
            <w:tcW w:type="dxa" w:w="1045"/>
            <w:tcW w:w="850" w:type="dxa"/>
          </w:tcPr>
          <w:p>
            <w:r>
              <w:rPr>
                <w:rFonts w:ascii="Times New Roman" w:hAnsi="Times New Roman"/>
                <w:sz w:val="20"/>
              </w:rPr>
              <w:t>28,30%</w:t>
            </w:r>
          </w:p>
        </w:tc>
        <w:tc>
          <w:tcPr>
            <w:tcW w:type="dxa" w:w="1045"/>
            <w:tcW w:w="850" w:type="dxa"/>
          </w:tcPr>
          <w:p>
            <w:r>
              <w:rPr>
                <w:rFonts w:ascii="Times New Roman" w:hAnsi="Times New Roman"/>
                <w:sz w:val="20"/>
              </w:rPr>
              <w:t>40,07%</w:t>
            </w:r>
          </w:p>
        </w:tc>
        <w:tc>
          <w:tcPr>
            <w:tcW w:type="dxa" w:w="1045"/>
            <w:tcW w:w="1134" w:type="dxa"/>
          </w:tcPr>
          <w:p>
            <w:r>
              <w:rPr>
                <w:rFonts w:ascii="Times New Roman" w:hAnsi="Times New Roman"/>
                <w:sz w:val="20"/>
              </w:rPr>
              <w:t>−1,41***</w:t>
            </w:r>
          </w:p>
        </w:tc>
        <w:tc>
          <w:tcPr>
            <w:tcW w:type="dxa" w:w="1045"/>
            <w:tcW w:w="1134" w:type="dxa"/>
          </w:tcPr>
          <w:p>
            <w:r>
              <w:rPr>
                <w:rFonts w:ascii="Times New Roman" w:hAnsi="Times New Roman"/>
                <w:sz w:val="20"/>
              </w:rPr>
              <w:t>2,39***</w:t>
            </w:r>
          </w:p>
        </w:tc>
        <w:tc>
          <w:tcPr>
            <w:tcW w:type="dxa" w:w="1045"/>
            <w:tcW w:w="850" w:type="dxa"/>
          </w:tcPr>
          <w:p>
            <w:r>
              <w:rPr>
                <w:rFonts w:ascii="Times New Roman" w:hAnsi="Times New Roman"/>
                <w:sz w:val="20"/>
              </w:rPr>
              <w:t>3,80***</w:t>
            </w:r>
          </w:p>
        </w:tc>
      </w:tr>
      <w:tr>
        <w:tc>
          <w:tcPr>
            <w:tcW w:type="dxa" w:w="1045"/>
            <w:tcW w:w="1134" w:type="dxa"/>
          </w:tcPr>
          <w:p>
            <w:r>
              <w:rPr>
                <w:rFonts w:ascii="Times New Roman" w:hAnsi="Times New Roman"/>
                <w:sz w:val="20"/>
              </w:rPr>
              <w:t>Trung cao</w:t>
            </w:r>
          </w:p>
        </w:tc>
        <w:tc>
          <w:tcPr>
            <w:tcW w:type="dxa" w:w="1045"/>
            <w:tcW w:w="850" w:type="dxa"/>
          </w:tcPr>
          <w:p>
            <w:r>
              <w:rPr>
                <w:rFonts w:ascii="Times New Roman" w:hAnsi="Times New Roman"/>
                <w:sz w:val="20"/>
              </w:rPr>
              <w:t>40,92%</w:t>
            </w:r>
          </w:p>
        </w:tc>
        <w:tc>
          <w:tcPr>
            <w:tcW w:type="dxa" w:w="1045"/>
            <w:tcW w:w="850" w:type="dxa"/>
          </w:tcPr>
          <w:p>
            <w:r>
              <w:rPr>
                <w:rFonts w:ascii="Times New Roman" w:hAnsi="Times New Roman"/>
                <w:sz w:val="20"/>
              </w:rPr>
              <w:t>35,11%</w:t>
            </w:r>
          </w:p>
        </w:tc>
        <w:tc>
          <w:tcPr>
            <w:tcW w:type="dxa" w:w="1045"/>
            <w:tcW w:w="850" w:type="dxa"/>
          </w:tcPr>
          <w:p>
            <w:r>
              <w:rPr>
                <w:rFonts w:ascii="Times New Roman" w:hAnsi="Times New Roman"/>
                <w:sz w:val="20"/>
              </w:rPr>
              <w:t>37,27%</w:t>
            </w:r>
          </w:p>
        </w:tc>
        <w:tc>
          <w:tcPr>
            <w:tcW w:type="dxa" w:w="1045"/>
            <w:tcW w:w="850" w:type="dxa"/>
          </w:tcPr>
          <w:p>
            <w:r>
              <w:rPr>
                <w:rFonts w:ascii="Times New Roman" w:hAnsi="Times New Roman"/>
                <w:sz w:val="20"/>
              </w:rPr>
              <w:t>31,75%</w:t>
            </w:r>
          </w:p>
        </w:tc>
        <w:tc>
          <w:tcPr>
            <w:tcW w:type="dxa" w:w="1045"/>
            <w:tcW w:w="850" w:type="dxa"/>
          </w:tcPr>
          <w:p>
            <w:r>
              <w:rPr>
                <w:rFonts w:ascii="Times New Roman" w:hAnsi="Times New Roman"/>
                <w:sz w:val="20"/>
              </w:rPr>
              <w:t>38,82%</w:t>
            </w:r>
          </w:p>
        </w:tc>
        <w:tc>
          <w:tcPr>
            <w:tcW w:type="dxa" w:w="1045"/>
            <w:tcW w:w="1134" w:type="dxa"/>
          </w:tcPr>
          <w:p>
            <w:r>
              <w:rPr>
                <w:rFonts w:ascii="Times New Roman" w:hAnsi="Times New Roman"/>
                <w:sz w:val="20"/>
              </w:rPr>
              <w:t>−1,21***</w:t>
            </w:r>
          </w:p>
        </w:tc>
        <w:tc>
          <w:tcPr>
            <w:tcW w:type="dxa" w:w="1045"/>
            <w:tcW w:w="1134" w:type="dxa"/>
          </w:tcPr>
          <w:p>
            <w:r>
              <w:rPr>
                <w:rFonts w:ascii="Times New Roman" w:hAnsi="Times New Roman"/>
                <w:sz w:val="20"/>
              </w:rPr>
              <w:t>0,93***</w:t>
            </w:r>
          </w:p>
        </w:tc>
        <w:tc>
          <w:tcPr>
            <w:tcW w:type="dxa" w:w="1045"/>
            <w:tcW w:w="850" w:type="dxa"/>
          </w:tcPr>
          <w:p>
            <w:r>
              <w:rPr>
                <w:rFonts w:ascii="Times New Roman" w:hAnsi="Times New Roman"/>
                <w:sz w:val="20"/>
              </w:rPr>
              <w:t>2,14***</w:t>
            </w:r>
          </w:p>
        </w:tc>
      </w:tr>
      <w:tr>
        <w:tc>
          <w:tcPr>
            <w:tcW w:type="dxa" w:w="1045"/>
            <w:tcW w:w="1134" w:type="dxa"/>
          </w:tcPr>
          <w:p>
            <w:r>
              <w:rPr>
                <w:rFonts w:ascii="Times New Roman" w:hAnsi="Times New Roman"/>
                <w:sz w:val="20"/>
              </w:rPr>
              <w:t>Trung</w:t>
            </w:r>
          </w:p>
        </w:tc>
        <w:tc>
          <w:tcPr>
            <w:tcW w:type="dxa" w:w="1045"/>
            <w:tcW w:w="850" w:type="dxa"/>
          </w:tcPr>
          <w:p>
            <w:r>
              <w:rPr>
                <w:rFonts w:ascii="Times New Roman" w:hAnsi="Times New Roman"/>
                <w:sz w:val="20"/>
              </w:rPr>
              <w:t>43,50%</w:t>
            </w:r>
          </w:p>
        </w:tc>
        <w:tc>
          <w:tcPr>
            <w:tcW w:type="dxa" w:w="1045"/>
            <w:tcW w:w="850" w:type="dxa"/>
          </w:tcPr>
          <w:p>
            <w:r>
              <w:rPr>
                <w:rFonts w:ascii="Times New Roman" w:hAnsi="Times New Roman"/>
                <w:sz w:val="20"/>
              </w:rPr>
              <w:t>38,70%</w:t>
            </w:r>
          </w:p>
        </w:tc>
        <w:tc>
          <w:tcPr>
            <w:tcW w:type="dxa" w:w="1045"/>
            <w:tcW w:w="850" w:type="dxa"/>
          </w:tcPr>
          <w:p>
            <w:r>
              <w:rPr>
                <w:rFonts w:ascii="Times New Roman" w:hAnsi="Times New Roman"/>
                <w:sz w:val="20"/>
              </w:rPr>
              <w:t>39,65%</w:t>
            </w:r>
          </w:p>
        </w:tc>
        <w:tc>
          <w:tcPr>
            <w:tcW w:type="dxa" w:w="1045"/>
            <w:tcW w:w="850" w:type="dxa"/>
          </w:tcPr>
          <w:p>
            <w:r>
              <w:rPr>
                <w:rFonts w:ascii="Times New Roman" w:hAnsi="Times New Roman"/>
                <w:sz w:val="20"/>
              </w:rPr>
              <w:t>33,56%</w:t>
            </w:r>
          </w:p>
        </w:tc>
        <w:tc>
          <w:tcPr>
            <w:tcW w:type="dxa" w:w="1045"/>
            <w:tcW w:w="850" w:type="dxa"/>
          </w:tcPr>
          <w:p>
            <w:r>
              <w:rPr>
                <w:rFonts w:ascii="Times New Roman" w:hAnsi="Times New Roman"/>
                <w:sz w:val="20"/>
              </w:rPr>
              <w:t>40,41%</w:t>
            </w:r>
          </w:p>
        </w:tc>
        <w:tc>
          <w:tcPr>
            <w:tcW w:type="dxa" w:w="1045"/>
            <w:tcW w:w="1134" w:type="dxa"/>
          </w:tcPr>
          <w:p>
            <w:r>
              <w:rPr>
                <w:rFonts w:ascii="Times New Roman" w:hAnsi="Times New Roman"/>
                <w:sz w:val="20"/>
              </w:rPr>
              <w:t>−1,46***</w:t>
            </w:r>
          </w:p>
        </w:tc>
        <w:tc>
          <w:tcPr>
            <w:tcW w:type="dxa" w:w="1045"/>
            <w:tcW w:w="1134" w:type="dxa"/>
          </w:tcPr>
          <w:p>
            <w:r>
              <w:rPr>
                <w:rFonts w:ascii="Times New Roman" w:hAnsi="Times New Roman"/>
                <w:sz w:val="20"/>
              </w:rPr>
              <w:t>0,59*</w:t>
            </w:r>
          </w:p>
        </w:tc>
        <w:tc>
          <w:tcPr>
            <w:tcW w:type="dxa" w:w="1045"/>
            <w:tcW w:w="850" w:type="dxa"/>
          </w:tcPr>
          <w:p>
            <w:r>
              <w:rPr>
                <w:rFonts w:ascii="Times New Roman" w:hAnsi="Times New Roman"/>
                <w:sz w:val="20"/>
              </w:rPr>
              <w:t>2,05***</w:t>
            </w:r>
          </w:p>
        </w:tc>
      </w:tr>
      <w:tr>
        <w:tc>
          <w:tcPr>
            <w:tcW w:type="dxa" w:w="1045"/>
            <w:tcW w:w="1134" w:type="dxa"/>
          </w:tcPr>
          <w:p>
            <w:r>
              <w:rPr>
                <w:rFonts w:ascii="Times New Roman" w:hAnsi="Times New Roman"/>
                <w:sz w:val="20"/>
              </w:rPr>
              <w:t>Trung thấp</w:t>
            </w:r>
          </w:p>
        </w:tc>
        <w:tc>
          <w:tcPr>
            <w:tcW w:type="dxa" w:w="1045"/>
            <w:tcW w:w="850" w:type="dxa"/>
          </w:tcPr>
          <w:p>
            <w:r>
              <w:rPr>
                <w:rFonts w:ascii="Times New Roman" w:hAnsi="Times New Roman"/>
                <w:sz w:val="20"/>
              </w:rPr>
              <w:t>53,90%</w:t>
            </w:r>
          </w:p>
        </w:tc>
        <w:tc>
          <w:tcPr>
            <w:tcW w:type="dxa" w:w="1045"/>
            <w:tcW w:w="850" w:type="dxa"/>
          </w:tcPr>
          <w:p>
            <w:r>
              <w:rPr>
                <w:rFonts w:ascii="Times New Roman" w:hAnsi="Times New Roman"/>
                <w:sz w:val="20"/>
              </w:rPr>
              <w:t>49,56%</w:t>
            </w:r>
          </w:p>
        </w:tc>
        <w:tc>
          <w:tcPr>
            <w:tcW w:type="dxa" w:w="1045"/>
            <w:tcW w:w="850" w:type="dxa"/>
          </w:tcPr>
          <w:p>
            <w:r>
              <w:rPr>
                <w:rFonts w:ascii="Times New Roman" w:hAnsi="Times New Roman"/>
                <w:sz w:val="20"/>
              </w:rPr>
              <w:t>52,06%</w:t>
            </w:r>
          </w:p>
        </w:tc>
        <w:tc>
          <w:tcPr>
            <w:tcW w:type="dxa" w:w="1045"/>
            <w:tcW w:w="850" w:type="dxa"/>
          </w:tcPr>
          <w:p>
            <w:r>
              <w:rPr>
                <w:rFonts w:ascii="Times New Roman" w:hAnsi="Times New Roman"/>
                <w:sz w:val="20"/>
              </w:rPr>
              <w:t>45,82%</w:t>
            </w:r>
          </w:p>
        </w:tc>
        <w:tc>
          <w:tcPr>
            <w:tcW w:type="dxa" w:w="1045"/>
            <w:tcW w:w="850" w:type="dxa"/>
          </w:tcPr>
          <w:p>
            <w:r>
              <w:rPr>
                <w:rFonts w:ascii="Times New Roman" w:hAnsi="Times New Roman"/>
                <w:sz w:val="20"/>
              </w:rPr>
              <w:t>52,10%</w:t>
            </w:r>
          </w:p>
        </w:tc>
        <w:tc>
          <w:tcPr>
            <w:tcW w:type="dxa" w:w="1045"/>
            <w:tcW w:w="1134" w:type="dxa"/>
          </w:tcPr>
          <w:p>
            <w:r>
              <w:rPr>
                <w:rFonts w:ascii="Times New Roman" w:hAnsi="Times New Roman"/>
                <w:sz w:val="20"/>
              </w:rPr>
              <w:t>−1,11***</w:t>
            </w:r>
          </w:p>
        </w:tc>
        <w:tc>
          <w:tcPr>
            <w:tcW w:type="dxa" w:w="1045"/>
            <w:tcW w:w="1134" w:type="dxa"/>
          </w:tcPr>
          <w:p>
            <w:r>
              <w:rPr>
                <w:rFonts w:ascii="Times New Roman" w:hAnsi="Times New Roman"/>
                <w:sz w:val="20"/>
              </w:rPr>
              <w:t>0,30 (n.s.)</w:t>
            </w:r>
          </w:p>
        </w:tc>
        <w:tc>
          <w:tcPr>
            <w:tcW w:type="dxa" w:w="1045"/>
            <w:tcW w:w="850" w:type="dxa"/>
          </w:tcPr>
          <w:p>
            <w:r>
              <w:rPr>
                <w:rFonts w:ascii="Times New Roman" w:hAnsi="Times New Roman"/>
                <w:sz w:val="20"/>
              </w:rPr>
              <w:t>1,41***</w:t>
            </w:r>
          </w:p>
        </w:tc>
      </w:tr>
      <w:tr>
        <w:tc>
          <w:tcPr>
            <w:tcW w:type="dxa" w:w="1045"/>
            <w:tcW w:w="1134" w:type="dxa"/>
          </w:tcPr>
          <w:p>
            <w:r>
              <w:rPr>
                <w:rFonts w:ascii="Times New Roman" w:hAnsi="Times New Roman"/>
                <w:sz w:val="20"/>
              </w:rPr>
              <w:t>Thấp nhất</w:t>
            </w:r>
          </w:p>
        </w:tc>
        <w:tc>
          <w:tcPr>
            <w:tcW w:type="dxa" w:w="1045"/>
            <w:tcW w:w="850" w:type="dxa"/>
          </w:tcPr>
          <w:p>
            <w:r>
              <w:rPr>
                <w:rFonts w:ascii="Times New Roman" w:hAnsi="Times New Roman"/>
                <w:sz w:val="20"/>
              </w:rPr>
              <w:t>63,37%</w:t>
            </w:r>
          </w:p>
        </w:tc>
        <w:tc>
          <w:tcPr>
            <w:tcW w:type="dxa" w:w="1045"/>
            <w:tcW w:w="850" w:type="dxa"/>
          </w:tcPr>
          <w:p>
            <w:r>
              <w:rPr>
                <w:rFonts w:ascii="Times New Roman" w:hAnsi="Times New Roman"/>
                <w:sz w:val="20"/>
              </w:rPr>
              <w:t>60,22%</w:t>
            </w:r>
          </w:p>
        </w:tc>
        <w:tc>
          <w:tcPr>
            <w:tcW w:type="dxa" w:w="1045"/>
            <w:tcW w:w="850" w:type="dxa"/>
          </w:tcPr>
          <w:p>
            <w:r>
              <w:rPr>
                <w:rFonts w:ascii="Times New Roman" w:hAnsi="Times New Roman"/>
                <w:sz w:val="20"/>
              </w:rPr>
              <w:t>59,44%</w:t>
            </w:r>
          </w:p>
        </w:tc>
        <w:tc>
          <w:tcPr>
            <w:tcW w:type="dxa" w:w="1045"/>
            <w:tcW w:w="850" w:type="dxa"/>
          </w:tcPr>
          <w:p>
            <w:r>
              <w:rPr>
                <w:rFonts w:ascii="Times New Roman" w:hAnsi="Times New Roman"/>
                <w:sz w:val="20"/>
              </w:rPr>
              <w:t>52,85%</w:t>
            </w:r>
          </w:p>
        </w:tc>
        <w:tc>
          <w:tcPr>
            <w:tcW w:type="dxa" w:w="1045"/>
            <w:tcW w:w="850" w:type="dxa"/>
          </w:tcPr>
          <w:p>
            <w:r>
              <w:rPr>
                <w:rFonts w:ascii="Times New Roman" w:hAnsi="Times New Roman"/>
                <w:sz w:val="20"/>
              </w:rPr>
              <w:t>62,77%</w:t>
            </w:r>
          </w:p>
        </w:tc>
        <w:tc>
          <w:tcPr>
            <w:tcW w:type="dxa" w:w="1045"/>
            <w:tcW w:w="1134" w:type="dxa"/>
          </w:tcPr>
          <w:p>
            <w:r>
              <w:rPr>
                <w:rFonts w:ascii="Times New Roman" w:hAnsi="Times New Roman"/>
                <w:sz w:val="20"/>
              </w:rPr>
              <w:t>−1,40***</w:t>
            </w:r>
          </w:p>
        </w:tc>
        <w:tc>
          <w:tcPr>
            <w:tcW w:type="dxa" w:w="1045"/>
            <w:tcW w:w="1134" w:type="dxa"/>
          </w:tcPr>
          <w:p>
            <w:r>
              <w:rPr>
                <w:rFonts w:ascii="Times New Roman" w:hAnsi="Times New Roman"/>
                <w:sz w:val="20"/>
              </w:rPr>
              <w:t>0,98 (n.s.)</w:t>
            </w:r>
          </w:p>
        </w:tc>
        <w:tc>
          <w:tcPr>
            <w:tcW w:type="dxa" w:w="1045"/>
            <w:tcW w:w="850" w:type="dxa"/>
          </w:tcPr>
          <w:p>
            <w:r>
              <w:rPr>
                <w:rFonts w:ascii="Times New Roman" w:hAnsi="Times New Roman"/>
                <w:sz w:val="20"/>
              </w:rPr>
              <w:t>2,38**</w:t>
            </w:r>
          </w:p>
        </w:tc>
      </w:tr>
      <w:tr>
        <w:tc>
          <w:tcPr>
            <w:tcW w:type="dxa" w:w="1045"/>
            <w:tcW w:w="1134" w:type="dxa"/>
          </w:tcPr>
          <w:p>
            <w:r>
              <w:rPr>
                <w:rFonts w:ascii="Times New Roman" w:hAnsi="Times New Roman"/>
                <w:sz w:val="20"/>
              </w:rPr>
              <w:t>Chênh Giàu-Nghèo</w:t>
            </w:r>
          </w:p>
        </w:tc>
        <w:tc>
          <w:tcPr>
            <w:tcW w:type="dxa" w:w="1045"/>
            <w:tcW w:w="850" w:type="dxa"/>
          </w:tcPr>
          <w:p>
            <w:r>
              <w:rPr>
                <w:rFonts w:ascii="Times New Roman" w:hAnsi="Times New Roman"/>
                <w:sz w:val="20"/>
              </w:rPr>
              <w:t>24,44đ</w:t>
            </w:r>
          </w:p>
        </w:tc>
        <w:tc>
          <w:tcPr>
            <w:tcW w:type="dxa" w:w="1045"/>
            <w:tcW w:w="850" w:type="dxa"/>
          </w:tcPr>
          <w:p>
            <w:r>
              <w:rPr>
                <w:rFonts w:ascii="Times New Roman" w:hAnsi="Times New Roman"/>
                <w:sz w:val="20"/>
              </w:rPr>
              <w:t>26,29đ</w:t>
            </w:r>
          </w:p>
        </w:tc>
        <w:tc>
          <w:tcPr>
            <w:tcW w:type="dxa" w:w="1045"/>
            <w:tcW w:w="850" w:type="dxa"/>
          </w:tcPr>
          <w:p>
            <w:r>
              <w:rPr>
                <w:rFonts w:ascii="Times New Roman" w:hAnsi="Times New Roman"/>
                <w:sz w:val="20"/>
              </w:rPr>
              <w:t>24,63đ</w:t>
            </w:r>
          </w:p>
        </w:tc>
        <w:tc>
          <w:tcPr>
            <w:tcW w:type="dxa" w:w="1045"/>
            <w:tcW w:w="850" w:type="dxa"/>
          </w:tcPr>
          <w:p>
            <w:r>
              <w:rPr>
                <w:rFonts w:ascii="Times New Roman" w:hAnsi="Times New Roman"/>
                <w:sz w:val="20"/>
              </w:rPr>
              <w:t>24,55đ</w:t>
            </w:r>
          </w:p>
        </w:tc>
        <w:tc>
          <w:tcPr>
            <w:tcW w:type="dxa" w:w="1045"/>
            <w:tcW w:w="850" w:type="dxa"/>
          </w:tcPr>
          <w:p>
            <w:r>
              <w:rPr>
                <w:rFonts w:ascii="Times New Roman" w:hAnsi="Times New Roman"/>
                <w:sz w:val="20"/>
              </w:rPr>
              <w:t>22,70đ</w:t>
            </w:r>
          </w:p>
        </w:tc>
        <w:tc>
          <w:tcPr>
            <w:tcW w:type="dxa" w:w="1045"/>
            <w:tcW w:w="1134" w:type="dxa"/>
          </w:tcPr>
          <w:p>
            <w:r>
              <w:rPr>
                <w:rFonts w:ascii="Times New Roman" w:hAnsi="Times New Roman"/>
                <w:sz w:val="20"/>
              </w:rPr>
            </w:r>
          </w:p>
        </w:tc>
        <w:tc>
          <w:tcPr>
            <w:tcW w:type="dxa" w:w="1045"/>
            <w:tcW w:w="1134" w:type="dxa"/>
          </w:tcPr>
          <w:p>
            <w:r>
              <w:rPr>
                <w:rFonts w:ascii="Times New Roman" w:hAnsi="Times New Roman"/>
                <w:sz w:val="20"/>
              </w:rPr>
            </w:r>
          </w:p>
        </w:tc>
        <w:tc>
          <w:tcPr>
            <w:tcW w:type="dxa" w:w="1045"/>
            <w:tcW w:w="850" w:type="dxa"/>
          </w:tcPr>
          <w:p>
            <w:r>
              <w:rPr>
                <w:rFonts w:ascii="Times New Roman" w:hAnsi="Times New Roman"/>
                <w:sz w:val="20"/>
              </w:rPr>
            </w:r>
          </w:p>
        </w:tc>
      </w:tr>
    </w:tbl>
    <w:p>
      <w:r>
        <w:rPr>
          <w:rFonts w:ascii="Times New Roman" w:hAnsi="Times New Roman"/>
          <w:b w:val="0"/>
          <w:i/>
          <w:sz w:val="18"/>
        </w:rPr>
        <w:t>*** p &lt; 0,001; ** p &lt; 0,01; * p &lt; 0,05. β = thay đổi trung bình hàng năm (%/năm). βdiff = khác biệt xu hướng trước vs sau COVID.</w:t>
      </w:r>
    </w:p>
    <w:p>
      <w:pPr>
        <w:pStyle w:val="Heading3"/>
      </w:pPr>
      <w:r>
        <w:rPr>
          <w:rFonts w:ascii="Times New Roman" w:hAnsi="Times New Roman"/>
          <w:color w:val="000000"/>
        </w:rPr>
        <w:t>Bảng 2. Tỷ lệ 4 chỉ số SKTT năm 2022 theo thu nhập</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417" w:type="dxa"/>
            <w:shd w:fill="D9E2F3" w:val="clear"/>
          </w:tcPr>
          <w:p>
            <w:pPr>
              <w:jc w:val="center"/>
            </w:pPr>
            <w:r>
              <w:rPr>
                <w:rFonts w:ascii="Times New Roman" w:hAnsi="Times New Roman"/>
                <w:b/>
                <w:sz w:val="20"/>
              </w:rPr>
              <w:t>Thu nhập</w:t>
            </w:r>
          </w:p>
        </w:tc>
        <w:tc>
          <w:tcPr>
            <w:tcW w:type="dxa" w:w="1567"/>
            <w:tcW w:w="1134" w:type="dxa"/>
            <w:shd w:fill="D9E2F3" w:val="clear"/>
          </w:tcPr>
          <w:p>
            <w:pPr>
              <w:jc w:val="center"/>
            </w:pPr>
            <w:r>
              <w:rPr>
                <w:rFonts w:ascii="Times New Roman" w:hAnsi="Times New Roman"/>
                <w:b/>
                <w:sz w:val="20"/>
              </w:rPr>
              <w:t>Stress cao (%)</w:t>
            </w:r>
          </w:p>
        </w:tc>
        <w:tc>
          <w:tcPr>
            <w:tcW w:type="dxa" w:w="1567"/>
            <w:tcW w:w="1134" w:type="dxa"/>
            <w:shd w:fill="D9E2F3" w:val="clear"/>
          </w:tcPr>
          <w:p>
            <w:pPr>
              <w:jc w:val="center"/>
            </w:pPr>
            <w:r>
              <w:rPr>
                <w:rFonts w:ascii="Times New Roman" w:hAnsi="Times New Roman"/>
                <w:b/>
                <w:sz w:val="20"/>
              </w:rPr>
              <w:t>Buồn bã (%)</w:t>
            </w:r>
          </w:p>
        </w:tc>
        <w:tc>
          <w:tcPr>
            <w:tcW w:type="dxa" w:w="1567"/>
            <w:tcW w:w="1417" w:type="dxa"/>
            <w:shd w:fill="D9E2F3" w:val="clear"/>
          </w:tcPr>
          <w:p>
            <w:pPr>
              <w:jc w:val="center"/>
            </w:pPr>
            <w:r>
              <w:rPr>
                <w:rFonts w:ascii="Times New Roman" w:hAnsi="Times New Roman"/>
                <w:b/>
                <w:sz w:val="20"/>
              </w:rPr>
              <w:t>Ý tưởng tự tử (%)</w:t>
            </w:r>
          </w:p>
        </w:tc>
        <w:tc>
          <w:tcPr>
            <w:tcW w:type="dxa" w:w="1567"/>
            <w:tcW w:w="1134" w:type="dxa"/>
            <w:shd w:fill="D9E2F3" w:val="clear"/>
          </w:tcPr>
          <w:p>
            <w:pPr>
              <w:jc w:val="center"/>
            </w:pPr>
            <w:r>
              <w:rPr>
                <w:rFonts w:ascii="Times New Roman" w:hAnsi="Times New Roman"/>
                <w:b/>
                <w:sz w:val="20"/>
              </w:rPr>
              <w:t>Cố tự tử (%)</w:t>
            </w:r>
          </w:p>
        </w:tc>
        <w:tc>
          <w:tcPr>
            <w:tcW w:type="dxa" w:w="1567"/>
            <w:tcW w:w="2268" w:type="dxa"/>
            <w:shd w:fill="D9E2F3" w:val="clear"/>
          </w:tcPr>
          <w:p>
            <w:pPr>
              <w:jc w:val="center"/>
            </w:pPr>
            <w:r>
              <w:rPr>
                <w:rFonts w:ascii="Times New Roman" w:hAnsi="Times New Roman"/>
                <w:b/>
                <w:sz w:val="20"/>
              </w:rPr>
              <w:t>Chênh vs Cao nhất</w:t>
            </w:r>
          </w:p>
        </w:tc>
      </w:tr>
      <w:tr>
        <w:tc>
          <w:tcPr>
            <w:tcW w:type="dxa" w:w="1567"/>
            <w:tcW w:w="1417" w:type="dxa"/>
          </w:tcPr>
          <w:p>
            <w:r>
              <w:rPr>
                <w:rFonts w:ascii="Times New Roman" w:hAnsi="Times New Roman"/>
                <w:sz w:val="20"/>
              </w:rPr>
              <w:t>Cao nhất</w:t>
            </w:r>
          </w:p>
        </w:tc>
        <w:tc>
          <w:tcPr>
            <w:tcW w:type="dxa" w:w="1567"/>
            <w:tcW w:w="1134" w:type="dxa"/>
          </w:tcPr>
          <w:p>
            <w:r>
              <w:rPr>
                <w:rFonts w:ascii="Times New Roman" w:hAnsi="Times New Roman"/>
                <w:sz w:val="20"/>
              </w:rPr>
              <w:t>40,07</w:t>
            </w:r>
          </w:p>
        </w:tc>
        <w:tc>
          <w:tcPr>
            <w:tcW w:type="dxa" w:w="1567"/>
            <w:tcW w:w="1134" w:type="dxa"/>
          </w:tcPr>
          <w:p>
            <w:r>
              <w:rPr>
                <w:rFonts w:ascii="Times New Roman" w:hAnsi="Times New Roman"/>
                <w:sz w:val="20"/>
              </w:rPr>
              <w:t>28,15</w:t>
            </w:r>
          </w:p>
        </w:tc>
        <w:tc>
          <w:tcPr>
            <w:tcW w:type="dxa" w:w="1567"/>
            <w:tcW w:w="1417" w:type="dxa"/>
          </w:tcPr>
          <w:p>
            <w:r>
              <w:rPr>
                <w:rFonts w:ascii="Times New Roman" w:hAnsi="Times New Roman"/>
                <w:sz w:val="20"/>
              </w:rPr>
              <w:t>13,92</w:t>
            </w:r>
          </w:p>
        </w:tc>
        <w:tc>
          <w:tcPr>
            <w:tcW w:type="dxa" w:w="1567"/>
            <w:tcW w:w="1134" w:type="dxa"/>
          </w:tcPr>
          <w:p>
            <w:r>
              <w:rPr>
                <w:rFonts w:ascii="Times New Roman" w:hAnsi="Times New Roman"/>
                <w:sz w:val="20"/>
              </w:rPr>
              <w:t>3,42</w:t>
            </w:r>
          </w:p>
        </w:tc>
        <w:tc>
          <w:tcPr>
            <w:tcW w:type="dxa" w:w="1567"/>
            <w:tcW w:w="2268" w:type="dxa"/>
          </w:tcPr>
          <w:p>
            <w:r>
              <w:rPr>
                <w:rFonts w:ascii="Times New Roman" w:hAnsi="Times New Roman"/>
                <w:sz w:val="20"/>
              </w:rPr>
              <w:t>Reference</w:t>
            </w:r>
          </w:p>
        </w:tc>
      </w:tr>
      <w:tr>
        <w:tc>
          <w:tcPr>
            <w:tcW w:type="dxa" w:w="1567"/>
            <w:tcW w:w="1417" w:type="dxa"/>
          </w:tcPr>
          <w:p>
            <w:r>
              <w:rPr>
                <w:rFonts w:ascii="Times New Roman" w:hAnsi="Times New Roman"/>
                <w:sz w:val="20"/>
              </w:rPr>
              <w:t>Trung cao</w:t>
            </w:r>
          </w:p>
        </w:tc>
        <w:tc>
          <w:tcPr>
            <w:tcW w:type="dxa" w:w="1567"/>
            <w:tcW w:w="1134" w:type="dxa"/>
          </w:tcPr>
          <w:p>
            <w:r>
              <w:rPr>
                <w:rFonts w:ascii="Times New Roman" w:hAnsi="Times New Roman"/>
                <w:sz w:val="20"/>
              </w:rPr>
              <w:t>38,82</w:t>
            </w:r>
          </w:p>
        </w:tc>
        <w:tc>
          <w:tcPr>
            <w:tcW w:type="dxa" w:w="1567"/>
            <w:tcW w:w="1134" w:type="dxa"/>
          </w:tcPr>
          <w:p>
            <w:r>
              <w:rPr>
                <w:rFonts w:ascii="Times New Roman" w:hAnsi="Times New Roman"/>
                <w:sz w:val="20"/>
              </w:rPr>
              <w:t>28,68</w:t>
            </w:r>
          </w:p>
        </w:tc>
        <w:tc>
          <w:tcPr>
            <w:tcW w:type="dxa" w:w="1567"/>
            <w:tcW w:w="1417" w:type="dxa"/>
          </w:tcPr>
          <w:p>
            <w:r>
              <w:rPr>
                <w:rFonts w:ascii="Times New Roman" w:hAnsi="Times New Roman"/>
                <w:sz w:val="20"/>
              </w:rPr>
              <w:t>15,05</w:t>
            </w:r>
          </w:p>
        </w:tc>
        <w:tc>
          <w:tcPr>
            <w:tcW w:type="dxa" w:w="1567"/>
            <w:tcW w:w="1134" w:type="dxa"/>
          </w:tcPr>
          <w:p>
            <w:r>
              <w:rPr>
                <w:rFonts w:ascii="Times New Roman" w:hAnsi="Times New Roman"/>
                <w:sz w:val="20"/>
              </w:rPr>
              <w:t>3,34</w:t>
            </w:r>
          </w:p>
        </w:tc>
        <w:tc>
          <w:tcPr>
            <w:tcW w:type="dxa" w:w="1567"/>
            <w:tcW w:w="2268" w:type="dxa"/>
          </w:tcPr>
          <w:p>
            <w:r>
              <w:rPr>
                <w:rFonts w:ascii="Times New Roman" w:hAnsi="Times New Roman"/>
                <w:sz w:val="20"/>
              </w:rPr>
            </w:r>
          </w:p>
        </w:tc>
      </w:tr>
      <w:tr>
        <w:tc>
          <w:tcPr>
            <w:tcW w:type="dxa" w:w="1567"/>
            <w:tcW w:w="1417" w:type="dxa"/>
          </w:tcPr>
          <w:p>
            <w:r>
              <w:rPr>
                <w:rFonts w:ascii="Times New Roman" w:hAnsi="Times New Roman"/>
                <w:sz w:val="20"/>
              </w:rPr>
              <w:t>Trung</w:t>
            </w:r>
          </w:p>
        </w:tc>
        <w:tc>
          <w:tcPr>
            <w:tcW w:type="dxa" w:w="1567"/>
            <w:tcW w:w="1134" w:type="dxa"/>
          </w:tcPr>
          <w:p>
            <w:r>
              <w:rPr>
                <w:rFonts w:ascii="Times New Roman" w:hAnsi="Times New Roman"/>
                <w:sz w:val="20"/>
              </w:rPr>
              <w:t>40,41</w:t>
            </w:r>
          </w:p>
        </w:tc>
        <w:tc>
          <w:tcPr>
            <w:tcW w:type="dxa" w:w="1567"/>
            <w:tcW w:w="1134" w:type="dxa"/>
          </w:tcPr>
          <w:p>
            <w:r>
              <w:rPr>
                <w:rFonts w:ascii="Times New Roman" w:hAnsi="Times New Roman"/>
                <w:sz w:val="20"/>
              </w:rPr>
              <w:t>30,14</w:t>
            </w:r>
          </w:p>
        </w:tc>
        <w:tc>
          <w:tcPr>
            <w:tcW w:type="dxa" w:w="1567"/>
            <w:tcW w:w="1417" w:type="dxa"/>
          </w:tcPr>
          <w:p>
            <w:r>
              <w:rPr>
                <w:rFonts w:ascii="Times New Roman" w:hAnsi="Times New Roman"/>
                <w:sz w:val="20"/>
              </w:rPr>
              <w:t>15,94</w:t>
            </w:r>
          </w:p>
        </w:tc>
        <w:tc>
          <w:tcPr>
            <w:tcW w:type="dxa" w:w="1567"/>
            <w:tcW w:w="1134" w:type="dxa"/>
          </w:tcPr>
          <w:p>
            <w:r>
              <w:rPr>
                <w:rFonts w:ascii="Times New Roman" w:hAnsi="Times New Roman"/>
                <w:sz w:val="20"/>
              </w:rPr>
              <w:t>3,54</w:t>
            </w:r>
          </w:p>
        </w:tc>
        <w:tc>
          <w:tcPr>
            <w:tcW w:type="dxa" w:w="1567"/>
            <w:tcW w:w="2268" w:type="dxa"/>
          </w:tcPr>
          <w:p>
            <w:r>
              <w:rPr>
                <w:rFonts w:ascii="Times New Roman" w:hAnsi="Times New Roman"/>
                <w:sz w:val="20"/>
              </w:rPr>
            </w:r>
          </w:p>
        </w:tc>
      </w:tr>
      <w:tr>
        <w:tc>
          <w:tcPr>
            <w:tcW w:type="dxa" w:w="1567"/>
            <w:tcW w:w="1417" w:type="dxa"/>
          </w:tcPr>
          <w:p>
            <w:r>
              <w:rPr>
                <w:rFonts w:ascii="Times New Roman" w:hAnsi="Times New Roman"/>
                <w:sz w:val="20"/>
              </w:rPr>
              <w:t>Trung thấp</w:t>
            </w:r>
          </w:p>
        </w:tc>
        <w:tc>
          <w:tcPr>
            <w:tcW w:type="dxa" w:w="1567"/>
            <w:tcW w:w="1134" w:type="dxa"/>
          </w:tcPr>
          <w:p>
            <w:r>
              <w:rPr>
                <w:rFonts w:ascii="Times New Roman" w:hAnsi="Times New Roman"/>
                <w:sz w:val="20"/>
              </w:rPr>
              <w:t>52,10</w:t>
            </w:r>
          </w:p>
        </w:tc>
        <w:tc>
          <w:tcPr>
            <w:tcW w:type="dxa" w:w="1567"/>
            <w:tcW w:w="1134" w:type="dxa"/>
          </w:tcPr>
          <w:p>
            <w:r>
              <w:rPr>
                <w:rFonts w:ascii="Times New Roman" w:hAnsi="Times New Roman"/>
                <w:sz w:val="20"/>
              </w:rPr>
              <w:t>40,64</w:t>
            </w:r>
          </w:p>
        </w:tc>
        <w:tc>
          <w:tcPr>
            <w:tcW w:type="dxa" w:w="1567"/>
            <w:tcW w:w="1417" w:type="dxa"/>
          </w:tcPr>
          <w:p>
            <w:r>
              <w:rPr>
                <w:rFonts w:ascii="Times New Roman" w:hAnsi="Times New Roman"/>
                <w:sz w:val="20"/>
              </w:rPr>
              <w:t>21,21</w:t>
            </w:r>
          </w:p>
        </w:tc>
        <w:tc>
          <w:tcPr>
            <w:tcW w:type="dxa" w:w="1567"/>
            <w:tcW w:w="1134" w:type="dxa"/>
          </w:tcPr>
          <w:p>
            <w:r>
              <w:rPr>
                <w:rFonts w:ascii="Times New Roman" w:hAnsi="Times New Roman"/>
                <w:sz w:val="20"/>
              </w:rPr>
              <w:t>5,49</w:t>
            </w:r>
          </w:p>
        </w:tc>
        <w:tc>
          <w:tcPr>
            <w:tcW w:type="dxa" w:w="1567"/>
            <w:tcW w:w="2268" w:type="dxa"/>
          </w:tcPr>
          <w:p>
            <w:r>
              <w:rPr>
                <w:rFonts w:ascii="Times New Roman" w:hAnsi="Times New Roman"/>
                <w:sz w:val="20"/>
              </w:rPr>
              <w:t>+12đ stress, +7đ tự tử</w:t>
            </w:r>
          </w:p>
        </w:tc>
      </w:tr>
      <w:tr>
        <w:tc>
          <w:tcPr>
            <w:tcW w:type="dxa" w:w="1567"/>
            <w:tcW w:w="1417" w:type="dxa"/>
          </w:tcPr>
          <w:p>
            <w:r>
              <w:rPr>
                <w:rFonts w:ascii="Times New Roman" w:hAnsi="Times New Roman"/>
                <w:sz w:val="20"/>
              </w:rPr>
              <w:t>Thấp nhất</w:t>
            </w:r>
          </w:p>
        </w:tc>
        <w:tc>
          <w:tcPr>
            <w:tcW w:type="dxa" w:w="1567"/>
            <w:tcW w:w="1134" w:type="dxa"/>
          </w:tcPr>
          <w:p>
            <w:r>
              <w:rPr>
                <w:rFonts w:ascii="Times New Roman" w:hAnsi="Times New Roman"/>
                <w:sz w:val="20"/>
              </w:rPr>
              <w:t>62,77</w:t>
            </w:r>
          </w:p>
        </w:tc>
        <w:tc>
          <w:tcPr>
            <w:tcW w:type="dxa" w:w="1567"/>
            <w:tcW w:w="1134" w:type="dxa"/>
          </w:tcPr>
          <w:p>
            <w:r>
              <w:rPr>
                <w:rFonts w:ascii="Times New Roman" w:hAnsi="Times New Roman"/>
                <w:sz w:val="20"/>
              </w:rPr>
              <w:t>46,83</w:t>
            </w:r>
          </w:p>
        </w:tc>
        <w:tc>
          <w:tcPr>
            <w:tcW w:type="dxa" w:w="1567"/>
            <w:tcW w:w="1417" w:type="dxa"/>
          </w:tcPr>
          <w:p>
            <w:r>
              <w:rPr>
                <w:rFonts w:ascii="Times New Roman" w:hAnsi="Times New Roman"/>
                <w:sz w:val="20"/>
              </w:rPr>
              <w:t>31,70</w:t>
            </w:r>
          </w:p>
        </w:tc>
        <w:tc>
          <w:tcPr>
            <w:tcW w:type="dxa" w:w="1567"/>
            <w:tcW w:w="1134" w:type="dxa"/>
          </w:tcPr>
          <w:p>
            <w:r>
              <w:rPr>
                <w:rFonts w:ascii="Times New Roman" w:hAnsi="Times New Roman"/>
                <w:sz w:val="20"/>
              </w:rPr>
              <w:t>10,45</w:t>
            </w:r>
          </w:p>
        </w:tc>
        <w:tc>
          <w:tcPr>
            <w:tcW w:type="dxa" w:w="1567"/>
            <w:tcW w:w="2268" w:type="dxa"/>
          </w:tcPr>
          <w:p>
            <w:r>
              <w:rPr>
                <w:rFonts w:ascii="Times New Roman" w:hAnsi="Times New Roman"/>
                <w:sz w:val="20"/>
              </w:rPr>
              <w:t>+22,7đ stress, GẤP 2,3 tự tử</w:t>
            </w:r>
          </w:p>
        </w:tc>
      </w:tr>
    </w:tbl>
    <w:p>
      <w:r>
        <w:rPr>
          <w:rFonts w:ascii="Times New Roman" w:hAnsi="Times New Roman"/>
          <w:b w:val="0"/>
          <w:i/>
          <w:sz w:val="18"/>
        </w:rPr>
        <w:t>Bất bình đẳng RẤT LỚN: Stress nhóm nghèo 62,77% vs giàu 40,07% (chênh 22,7 điểm). Cố tự tử: 10,45% vs 3,42% (GẤP 3 lần).</w:t>
      </w:r>
    </w:p>
    <w:p>
      <w:r>
        <w:rPr>
          <w:rFonts w:ascii="Times New Roman" w:hAnsi="Times New Roman"/>
          <w:b/>
          <w:i w:val="0"/>
          <w:sz w:val="24"/>
        </w:rPr>
        <w:t>3.2. Mô hình đảo chiều</w:t>
      </w:r>
    </w:p>
    <w:p>
      <w:r>
        <w:rPr>
          <w:rFonts w:ascii="Times New Roman" w:hAnsi="Times New Roman"/>
          <w:b w:val="0"/>
          <w:i w:val="0"/>
          <w:sz w:val="24"/>
        </w:rPr>
        <w:t>Phát hiện then chốt: SKTT VTN Hàn Quốc CẢI THIỆN trước COVID (β &lt; 0 cho tất cả chỉ số) → XẤU ĐI sau COVID (β &gt; 0 hoặc thay đổi đáng kể). Đây là mô hình ĐẢO CHIỀU — KHÁC BIỆT với phương Tây (tăng liên tục):</w:t>
      </w:r>
    </w:p>
    <w:p>
      <w:r>
        <w:rPr>
          <w:rFonts w:ascii="Times New Roman" w:hAnsi="Times New Roman"/>
          <w:b w:val="0"/>
          <w:i w:val="0"/>
          <w:sz w:val="24"/>
        </w:rPr>
        <w:t>• Na Uy (QT21): tăng liên tục 13 năm (2011–2024).</w:t>
      </w:r>
    </w:p>
    <w:p>
      <w:r>
        <w:rPr>
          <w:rFonts w:ascii="Times New Roman" w:hAnsi="Times New Roman"/>
          <w:b w:val="0"/>
          <w:i w:val="0"/>
          <w:sz w:val="24"/>
        </w:rPr>
        <w:t>• Mỹ (QT23): lo âu TĂNG GẤP ĐÔI (2013–2021, AOR = 2,17).</w:t>
      </w:r>
    </w:p>
    <w:p>
      <w:r>
        <w:rPr>
          <w:rFonts w:ascii="Times New Roman" w:hAnsi="Times New Roman"/>
          <w:b w:val="0"/>
          <w:i w:val="0"/>
          <w:sz w:val="24"/>
        </w:rPr>
        <w:t>• Ireland (QT32): tăng trước COVID (2012–2019).</w:t>
      </w:r>
    </w:p>
    <w:p>
      <w:r>
        <w:rPr>
          <w:rFonts w:ascii="Times New Roman" w:hAnsi="Times New Roman"/>
          <w:b w:val="0"/>
          <w:i w:val="0"/>
          <w:sz w:val="24"/>
        </w:rPr>
        <w:t>• GBD (QT30): AAPC 0,84% toàn cầu (1990–2021).</w:t>
      </w:r>
    </w:p>
    <w:p>
      <w:r>
        <w:rPr>
          <w:rFonts w:ascii="Times New Roman" w:hAnsi="Times New Roman"/>
          <w:b w:val="0"/>
          <w:i w:val="0"/>
          <w:sz w:val="24"/>
        </w:rPr>
        <w:t>• Hàn Quốc (bài này): GIẢM trước COVID → TĂNG sau — DUY NHẤT đảo chiều.</w:t>
      </w:r>
    </w:p>
    <w:p>
      <w:r>
        <w:rPr>
          <w:rFonts w:ascii="Times New Roman" w:hAnsi="Times New Roman"/>
          <w:b w:val="0"/>
          <w:i w:val="0"/>
          <w:sz w:val="24"/>
        </w:rPr>
        <w:t>Gợi ý: (1) Can thiệp SKTT CÓ THỂ hiệu quả (giai đoạn cải thiện 2006–2019), (2) COVID đảo ngược tiến bộ, đặc biệt ở nhóm nghèo.</w:t>
      </w:r>
    </w:p>
    <w:p>
      <w:pPr>
        <w:pStyle w:val="Heading3"/>
      </w:pPr>
      <w:r>
        <w:rPr>
          <w:rFonts w:ascii="Times New Roman" w:hAnsi="Times New Roman"/>
          <w:color w:val="000000"/>
        </w:rPr>
        <w:t>Bảng 3. So sánh xu hướng Hàn Quốc với các nước trong Đề tài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134" w:type="dxa"/>
            <w:shd w:fill="D9E2F3" w:val="clear"/>
          </w:tcPr>
          <w:p>
            <w:pPr>
              <w:jc w:val="center"/>
            </w:pPr>
            <w:r>
              <w:rPr>
                <w:rFonts w:ascii="Times New Roman" w:hAnsi="Times New Roman"/>
                <w:b/>
                <w:sz w:val="20"/>
              </w:rPr>
              <w:t>Nước</w:t>
            </w:r>
          </w:p>
        </w:tc>
        <w:tc>
          <w:tcPr>
            <w:tcW w:type="dxa" w:w="1881"/>
            <w:tcW w:w="1701" w:type="dxa"/>
            <w:shd w:fill="D9E2F3" w:val="clear"/>
          </w:tcPr>
          <w:p>
            <w:pPr>
              <w:jc w:val="center"/>
            </w:pPr>
            <w:r>
              <w:rPr>
                <w:rFonts w:ascii="Times New Roman" w:hAnsi="Times New Roman"/>
                <w:b/>
                <w:sz w:val="20"/>
              </w:rPr>
              <w:t>Giai đoạn</w:t>
            </w:r>
          </w:p>
        </w:tc>
        <w:tc>
          <w:tcPr>
            <w:tcW w:type="dxa" w:w="1881"/>
            <w:tcW w:w="1701" w:type="dxa"/>
            <w:shd w:fill="D9E2F3" w:val="clear"/>
          </w:tcPr>
          <w:p>
            <w:pPr>
              <w:jc w:val="center"/>
            </w:pPr>
            <w:r>
              <w:rPr>
                <w:rFonts w:ascii="Times New Roman" w:hAnsi="Times New Roman"/>
                <w:b/>
                <w:sz w:val="20"/>
              </w:rPr>
              <w:t>Xu hướng</w:t>
            </w:r>
          </w:p>
        </w:tc>
        <w:tc>
          <w:tcPr>
            <w:tcW w:type="dxa" w:w="1881"/>
            <w:tcW w:w="1701" w:type="dxa"/>
            <w:shd w:fill="D9E2F3" w:val="clear"/>
          </w:tcPr>
          <w:p>
            <w:pPr>
              <w:jc w:val="center"/>
            </w:pPr>
            <w:r>
              <w:rPr>
                <w:rFonts w:ascii="Times New Roman" w:hAnsi="Times New Roman"/>
                <w:b/>
                <w:sz w:val="20"/>
              </w:rPr>
              <w:t>Đặc thù</w:t>
            </w:r>
          </w:p>
        </w:tc>
        <w:tc>
          <w:tcPr>
            <w:tcW w:type="dxa" w:w="1881"/>
            <w:tcW w:w="1417" w:type="dxa"/>
            <w:shd w:fill="D9E2F3" w:val="clear"/>
          </w:tcPr>
          <w:p>
            <w:pPr>
              <w:jc w:val="center"/>
            </w:pPr>
            <w:r>
              <w:rPr>
                <w:rFonts w:ascii="Times New Roman" w:hAnsi="Times New Roman"/>
                <w:b/>
                <w:sz w:val="20"/>
              </w:rPr>
              <w:t>Nguồn</w:t>
            </w:r>
          </w:p>
        </w:tc>
      </w:tr>
      <w:tr>
        <w:tc>
          <w:tcPr>
            <w:tcW w:type="dxa" w:w="1881"/>
            <w:tcW w:w="1134" w:type="dxa"/>
          </w:tcPr>
          <w:p>
            <w:r>
              <w:rPr>
                <w:rFonts w:ascii="Times New Roman" w:hAnsi="Times New Roman"/>
                <w:sz w:val="20"/>
              </w:rPr>
              <w:t>Hàn Quốc</w:t>
            </w:r>
          </w:p>
        </w:tc>
        <w:tc>
          <w:tcPr>
            <w:tcW w:type="dxa" w:w="1881"/>
            <w:tcW w:w="1701" w:type="dxa"/>
          </w:tcPr>
          <w:p>
            <w:r>
              <w:rPr>
                <w:rFonts w:ascii="Times New Roman" w:hAnsi="Times New Roman"/>
                <w:sz w:val="20"/>
              </w:rPr>
              <w:t>2006–2022 (17 năm)</w:t>
            </w:r>
          </w:p>
        </w:tc>
        <w:tc>
          <w:tcPr>
            <w:tcW w:type="dxa" w:w="1881"/>
            <w:tcW w:w="1701" w:type="dxa"/>
          </w:tcPr>
          <w:p>
            <w:r>
              <w:rPr>
                <w:rFonts w:ascii="Times New Roman" w:hAnsi="Times New Roman"/>
                <w:sz w:val="20"/>
              </w:rPr>
              <w:t>Giảm → TĂNG (đảo chiều)</w:t>
            </w:r>
          </w:p>
        </w:tc>
        <w:tc>
          <w:tcPr>
            <w:tcW w:type="dxa" w:w="1881"/>
            <w:tcW w:w="1701" w:type="dxa"/>
          </w:tcPr>
          <w:p>
            <w:r>
              <w:rPr>
                <w:rFonts w:ascii="Times New Roman" w:hAnsi="Times New Roman"/>
                <w:sz w:val="20"/>
              </w:rPr>
              <w:t>Bất bình đẳng thu nhập mở rộng</w:t>
            </w:r>
          </w:p>
        </w:tc>
        <w:tc>
          <w:tcPr>
            <w:tcW w:type="dxa" w:w="1881"/>
            <w:tcW w:w="1417" w:type="dxa"/>
          </w:tcPr>
          <w:p>
            <w:r>
              <w:rPr>
                <w:rFonts w:ascii="Times New Roman" w:hAnsi="Times New Roman"/>
                <w:sz w:val="20"/>
              </w:rPr>
              <w:t>Bài này (QT34)</w:t>
            </w:r>
          </w:p>
        </w:tc>
      </w:tr>
      <w:tr>
        <w:tc>
          <w:tcPr>
            <w:tcW w:type="dxa" w:w="1881"/>
            <w:tcW w:w="1134" w:type="dxa"/>
          </w:tcPr>
          <w:p>
            <w:r>
              <w:rPr>
                <w:rFonts w:ascii="Times New Roman" w:hAnsi="Times New Roman"/>
                <w:sz w:val="20"/>
              </w:rPr>
              <w:t>Hoa Kỳ</w:t>
            </w:r>
          </w:p>
        </w:tc>
        <w:tc>
          <w:tcPr>
            <w:tcW w:type="dxa" w:w="1881"/>
            <w:tcW w:w="1701" w:type="dxa"/>
          </w:tcPr>
          <w:p>
            <w:r>
              <w:rPr>
                <w:rFonts w:ascii="Times New Roman" w:hAnsi="Times New Roman"/>
                <w:sz w:val="20"/>
              </w:rPr>
              <w:t>2013–2021 (8 năm)</w:t>
            </w:r>
          </w:p>
        </w:tc>
        <w:tc>
          <w:tcPr>
            <w:tcW w:type="dxa" w:w="1881"/>
            <w:tcW w:w="1701" w:type="dxa"/>
          </w:tcPr>
          <w:p>
            <w:r>
              <w:rPr>
                <w:rFonts w:ascii="Times New Roman" w:hAnsi="Times New Roman"/>
                <w:sz w:val="20"/>
              </w:rPr>
              <w:t>Lo âu TĂNG GẤP ĐÔI</w:t>
            </w:r>
          </w:p>
        </w:tc>
        <w:tc>
          <w:tcPr>
            <w:tcW w:type="dxa" w:w="1881"/>
            <w:tcW w:w="1701" w:type="dxa"/>
          </w:tcPr>
          <w:p>
            <w:r>
              <w:rPr>
                <w:rFonts w:ascii="Times New Roman" w:hAnsi="Times New Roman"/>
                <w:sz w:val="20"/>
              </w:rPr>
              <w:t>AOR = 2,17, chẩn đoán lâm sàng</w:t>
            </w:r>
          </w:p>
        </w:tc>
        <w:tc>
          <w:tcPr>
            <w:tcW w:type="dxa" w:w="1881"/>
            <w:tcW w:w="1417" w:type="dxa"/>
          </w:tcPr>
          <w:p>
            <w:r>
              <w:rPr>
                <w:rFonts w:ascii="Times New Roman" w:hAnsi="Times New Roman"/>
                <w:sz w:val="20"/>
              </w:rPr>
              <w:t>JAACAP 2024 (QT23)</w:t>
            </w:r>
          </w:p>
        </w:tc>
      </w:tr>
      <w:tr>
        <w:tc>
          <w:tcPr>
            <w:tcW w:type="dxa" w:w="1881"/>
            <w:tcW w:w="1134" w:type="dxa"/>
          </w:tcPr>
          <w:p>
            <w:r>
              <w:rPr>
                <w:rFonts w:ascii="Times New Roman" w:hAnsi="Times New Roman"/>
                <w:sz w:val="20"/>
              </w:rPr>
              <w:t>Na Uy</w:t>
            </w:r>
          </w:p>
        </w:tc>
        <w:tc>
          <w:tcPr>
            <w:tcW w:type="dxa" w:w="1881"/>
            <w:tcW w:w="1701" w:type="dxa"/>
          </w:tcPr>
          <w:p>
            <w:r>
              <w:rPr>
                <w:rFonts w:ascii="Times New Roman" w:hAnsi="Times New Roman"/>
                <w:sz w:val="20"/>
              </w:rPr>
              <w:t>2011–2024 (13 năm)</w:t>
            </w:r>
          </w:p>
        </w:tc>
        <w:tc>
          <w:tcPr>
            <w:tcW w:type="dxa" w:w="1881"/>
            <w:tcW w:w="1701" w:type="dxa"/>
          </w:tcPr>
          <w:p>
            <w:r>
              <w:rPr>
                <w:rFonts w:ascii="Times New Roman" w:hAnsi="Times New Roman"/>
                <w:sz w:val="20"/>
              </w:rPr>
              <w:t>Tăng liên tục</w:t>
            </w:r>
          </w:p>
        </w:tc>
        <w:tc>
          <w:tcPr>
            <w:tcW w:type="dxa" w:w="1881"/>
            <w:tcW w:w="1701" w:type="dxa"/>
          </w:tcPr>
          <w:p>
            <w:r>
              <w:rPr>
                <w:rFonts w:ascii="Times New Roman" w:hAnsi="Times New Roman"/>
                <w:sz w:val="20"/>
              </w:rPr>
              <w:t>Trường + MXH giải thích</w:t>
            </w:r>
          </w:p>
        </w:tc>
        <w:tc>
          <w:tcPr>
            <w:tcW w:type="dxa" w:w="1881"/>
            <w:tcW w:w="1417" w:type="dxa"/>
          </w:tcPr>
          <w:p>
            <w:r>
              <w:rPr>
                <w:rFonts w:ascii="Times New Roman" w:hAnsi="Times New Roman"/>
                <w:sz w:val="20"/>
              </w:rPr>
              <w:t>Norway 2025 (QT21)</w:t>
            </w:r>
          </w:p>
        </w:tc>
      </w:tr>
      <w:tr>
        <w:tc>
          <w:tcPr>
            <w:tcW w:type="dxa" w:w="1881"/>
            <w:tcW w:w="1134" w:type="dxa"/>
          </w:tcPr>
          <w:p>
            <w:r>
              <w:rPr>
                <w:rFonts w:ascii="Times New Roman" w:hAnsi="Times New Roman"/>
                <w:sz w:val="20"/>
              </w:rPr>
              <w:t>Ireland</w:t>
            </w:r>
          </w:p>
        </w:tc>
        <w:tc>
          <w:tcPr>
            <w:tcW w:type="dxa" w:w="1881"/>
            <w:tcW w:w="1701" w:type="dxa"/>
          </w:tcPr>
          <w:p>
            <w:r>
              <w:rPr>
                <w:rFonts w:ascii="Times New Roman" w:hAnsi="Times New Roman"/>
                <w:sz w:val="20"/>
              </w:rPr>
              <w:t>2012–2019 (7 năm)</w:t>
            </w:r>
          </w:p>
        </w:tc>
        <w:tc>
          <w:tcPr>
            <w:tcW w:type="dxa" w:w="1881"/>
            <w:tcW w:w="1701" w:type="dxa"/>
          </w:tcPr>
          <w:p>
            <w:r>
              <w:rPr>
                <w:rFonts w:ascii="Times New Roman" w:hAnsi="Times New Roman"/>
                <w:sz w:val="20"/>
              </w:rPr>
              <w:t>Tăng (trước COVID)</w:t>
            </w:r>
          </w:p>
        </w:tc>
        <w:tc>
          <w:tcPr>
            <w:tcW w:type="dxa" w:w="1881"/>
            <w:tcW w:w="1701" w:type="dxa"/>
          </w:tcPr>
          <w:p>
            <w:r>
              <w:rPr>
                <w:rFonts w:ascii="Times New Roman" w:hAnsi="Times New Roman"/>
                <w:sz w:val="20"/>
              </w:rPr>
              <w:t>Nữ nhanh hơn; OGA bảo vệ</w:t>
            </w:r>
          </w:p>
        </w:tc>
        <w:tc>
          <w:tcPr>
            <w:tcW w:type="dxa" w:w="1881"/>
            <w:tcW w:w="1417" w:type="dxa"/>
          </w:tcPr>
          <w:p>
            <w:r>
              <w:rPr>
                <w:rFonts w:ascii="Times New Roman" w:hAnsi="Times New Roman"/>
                <w:sz w:val="20"/>
              </w:rPr>
              <w:t>Ireland 2024 (QT32)</w:t>
            </w:r>
          </w:p>
        </w:tc>
      </w:tr>
      <w:tr>
        <w:tc>
          <w:tcPr>
            <w:tcW w:type="dxa" w:w="1881"/>
            <w:tcW w:w="1134" w:type="dxa"/>
          </w:tcPr>
          <w:p>
            <w:r>
              <w:rPr>
                <w:rFonts w:ascii="Times New Roman" w:hAnsi="Times New Roman"/>
                <w:sz w:val="20"/>
              </w:rPr>
              <w:t>Úc</w:t>
            </w:r>
          </w:p>
        </w:tc>
        <w:tc>
          <w:tcPr>
            <w:tcW w:type="dxa" w:w="1881"/>
            <w:tcW w:w="1701" w:type="dxa"/>
          </w:tcPr>
          <w:p>
            <w:r>
              <w:rPr>
                <w:rFonts w:ascii="Times New Roman" w:hAnsi="Times New Roman"/>
                <w:sz w:val="20"/>
              </w:rPr>
              <w:t>2018–2022 (4 năm)</w:t>
            </w:r>
          </w:p>
        </w:tc>
        <w:tc>
          <w:tcPr>
            <w:tcW w:type="dxa" w:w="1881"/>
            <w:tcW w:w="1701" w:type="dxa"/>
          </w:tcPr>
          <w:p>
            <w:r>
              <w:rPr>
                <w:rFonts w:ascii="Times New Roman" w:hAnsi="Times New Roman"/>
                <w:sz w:val="20"/>
              </w:rPr>
              <w:t>Flourishing giảm</w:t>
            </w:r>
          </w:p>
        </w:tc>
        <w:tc>
          <w:tcPr>
            <w:tcW w:type="dxa" w:w="1881"/>
            <w:tcW w:w="1701" w:type="dxa"/>
          </w:tcPr>
          <w:p>
            <w:r>
              <w:rPr>
                <w:rFonts w:ascii="Times New Roman" w:hAnsi="Times New Roman"/>
                <w:sz w:val="20"/>
              </w:rPr>
              <w:t>CMH toàn diện</w:t>
            </w:r>
          </w:p>
        </w:tc>
        <w:tc>
          <w:tcPr>
            <w:tcW w:type="dxa" w:w="1881"/>
            <w:tcW w:w="1417" w:type="dxa"/>
          </w:tcPr>
          <w:p>
            <w:r>
              <w:rPr>
                <w:rFonts w:ascii="Times New Roman" w:hAnsi="Times New Roman"/>
                <w:sz w:val="20"/>
              </w:rPr>
              <w:t>EpiPsychSci 2025 (QT25)</w:t>
            </w:r>
          </w:p>
        </w:tc>
      </w:tr>
      <w:tr>
        <w:tc>
          <w:tcPr>
            <w:tcW w:type="dxa" w:w="1881"/>
            <w:tcW w:w="1134" w:type="dxa"/>
          </w:tcPr>
          <w:p>
            <w:r>
              <w:rPr>
                <w:rFonts w:ascii="Times New Roman" w:hAnsi="Times New Roman"/>
                <w:sz w:val="20"/>
              </w:rPr>
              <w:t>Anh</w:t>
            </w:r>
          </w:p>
        </w:tc>
        <w:tc>
          <w:tcPr>
            <w:tcW w:type="dxa" w:w="1881"/>
            <w:tcW w:w="1701" w:type="dxa"/>
          </w:tcPr>
          <w:p>
            <w:r>
              <w:rPr>
                <w:rFonts w:ascii="Times New Roman" w:hAnsi="Times New Roman"/>
                <w:sz w:val="20"/>
              </w:rPr>
              <w:t>2017–2023</w:t>
            </w:r>
          </w:p>
        </w:tc>
        <w:tc>
          <w:tcPr>
            <w:tcW w:type="dxa" w:w="1881"/>
            <w:tcW w:w="1701" w:type="dxa"/>
          </w:tcPr>
          <w:p>
            <w:r>
              <w:rPr>
                <w:rFonts w:ascii="Times New Roman" w:hAnsi="Times New Roman"/>
                <w:sz w:val="20"/>
              </w:rPr>
              <w:t>Lo âu gấp đôi (7–16)</w:t>
            </w:r>
          </w:p>
        </w:tc>
        <w:tc>
          <w:tcPr>
            <w:tcW w:type="dxa" w:w="1881"/>
            <w:tcW w:w="1701" w:type="dxa"/>
          </w:tcPr>
          <w:p>
            <w:r>
              <w:rPr>
                <w:rFonts w:ascii="Times New Roman" w:hAnsi="Times New Roman"/>
                <w:sz w:val="20"/>
              </w:rPr>
              <w:t>12%→20%; NHS £16 tỷ</w:t>
            </w:r>
          </w:p>
        </w:tc>
        <w:tc>
          <w:tcPr>
            <w:tcW w:type="dxa" w:w="1881"/>
            <w:tcW w:w="1417" w:type="dxa"/>
          </w:tcPr>
          <w:p>
            <w:r>
              <w:rPr>
                <w:rFonts w:ascii="Times New Roman" w:hAnsi="Times New Roman"/>
                <w:sz w:val="20"/>
              </w:rPr>
              <w:t>UK NHS 2024 (QT26)</w:t>
            </w:r>
          </w:p>
        </w:tc>
      </w:tr>
      <w:tr>
        <w:tc>
          <w:tcPr>
            <w:tcW w:type="dxa" w:w="1881"/>
            <w:tcW w:w="1134" w:type="dxa"/>
          </w:tcPr>
          <w:p>
            <w:r>
              <w:rPr>
                <w:rFonts w:ascii="Times New Roman" w:hAnsi="Times New Roman"/>
                <w:sz w:val="20"/>
              </w:rPr>
              <w:t>Toàn cầu</w:t>
            </w:r>
          </w:p>
        </w:tc>
        <w:tc>
          <w:tcPr>
            <w:tcW w:type="dxa" w:w="1881"/>
            <w:tcW w:w="1701" w:type="dxa"/>
          </w:tcPr>
          <w:p>
            <w:r>
              <w:rPr>
                <w:rFonts w:ascii="Times New Roman" w:hAnsi="Times New Roman"/>
                <w:sz w:val="20"/>
              </w:rPr>
              <w:t>1990–2021 (31 năm)</w:t>
            </w:r>
          </w:p>
        </w:tc>
        <w:tc>
          <w:tcPr>
            <w:tcW w:type="dxa" w:w="1881"/>
            <w:tcW w:w="1701" w:type="dxa"/>
          </w:tcPr>
          <w:p>
            <w:r>
              <w:rPr>
                <w:rFonts w:ascii="Times New Roman" w:hAnsi="Times New Roman"/>
                <w:sz w:val="20"/>
              </w:rPr>
              <w:t>AAPC 0,84%</w:t>
            </w:r>
          </w:p>
        </w:tc>
        <w:tc>
          <w:tcPr>
            <w:tcW w:type="dxa" w:w="1881"/>
            <w:tcW w:w="1701" w:type="dxa"/>
          </w:tcPr>
          <w:p>
            <w:r>
              <w:rPr>
                <w:rFonts w:ascii="Times New Roman" w:hAnsi="Times New Roman"/>
                <w:sz w:val="20"/>
              </w:rPr>
              <w:t>204 nước, GBD</w:t>
            </w:r>
          </w:p>
        </w:tc>
        <w:tc>
          <w:tcPr>
            <w:tcW w:type="dxa" w:w="1881"/>
            <w:tcW w:w="1417" w:type="dxa"/>
          </w:tcPr>
          <w:p>
            <w:r>
              <w:rPr>
                <w:rFonts w:ascii="Times New Roman" w:hAnsi="Times New Roman"/>
                <w:sz w:val="20"/>
              </w:rPr>
              <w:t>GBD 2025 (QT30)</w:t>
            </w:r>
          </w:p>
        </w:tc>
      </w:tr>
      <w:tr>
        <w:tc>
          <w:tcPr>
            <w:tcW w:type="dxa" w:w="1881"/>
            <w:tcW w:w="1134" w:type="dxa"/>
          </w:tcPr>
          <w:p>
            <w:r>
              <w:rPr>
                <w:rFonts w:ascii="Times New Roman" w:hAnsi="Times New Roman"/>
                <w:sz w:val="20"/>
              </w:rPr>
              <w:t>VN</w:t>
            </w:r>
          </w:p>
        </w:tc>
        <w:tc>
          <w:tcPr>
            <w:tcW w:type="dxa" w:w="1881"/>
            <w:tcW w:w="1701" w:type="dxa"/>
          </w:tcPr>
          <w:p>
            <w:r>
              <w:rPr>
                <w:rFonts w:ascii="Times New Roman" w:hAnsi="Times New Roman"/>
                <w:sz w:val="20"/>
              </w:rPr>
              <w:t>2021 vs 2023</w:t>
            </w:r>
          </w:p>
        </w:tc>
        <w:tc>
          <w:tcPr>
            <w:tcW w:type="dxa" w:w="1881"/>
            <w:tcW w:w="1701" w:type="dxa"/>
          </w:tcPr>
          <w:p>
            <w:r>
              <w:rPr>
                <w:rFonts w:ascii="Times New Roman" w:hAnsi="Times New Roman"/>
                <w:sz w:val="20"/>
              </w:rPr>
              <w:t>41,5% → 25,4%</w:t>
            </w:r>
          </w:p>
        </w:tc>
        <w:tc>
          <w:tcPr>
            <w:tcW w:type="dxa" w:w="1881"/>
            <w:tcW w:w="1701" w:type="dxa"/>
          </w:tcPr>
          <w:p>
            <w:r>
              <w:rPr>
                <w:rFonts w:ascii="Times New Roman" w:hAnsi="Times New Roman"/>
                <w:sz w:val="20"/>
              </w:rPr>
              <w:t>Phục hồi sau COVID?</w:t>
            </w:r>
          </w:p>
        </w:tc>
        <w:tc>
          <w:tcPr>
            <w:tcW w:type="dxa" w:w="1881"/>
            <w:tcW w:w="1417" w:type="dxa"/>
          </w:tcPr>
          <w:p>
            <w:r>
              <w:rPr>
                <w:rFonts w:ascii="Times New Roman" w:hAnsi="Times New Roman"/>
                <w:sz w:val="20"/>
              </w:rPr>
              <w:t>Hoàng Trung Học (VN14)</w:t>
            </w:r>
          </w:p>
        </w:tc>
      </w:tr>
    </w:tbl>
    <w:p>
      <w:r>
        <w:rPr>
          <w:rFonts w:ascii="Times New Roman" w:hAnsi="Times New Roman"/>
          <w:b/>
          <w:i w:val="0"/>
          <w:sz w:val="24"/>
        </w:rPr>
        <w:t>3.3. Yếu tố nguy cơ</w:t>
      </w:r>
    </w:p>
    <w:p>
      <w:r>
        <w:rPr>
          <w:rFonts w:ascii="Times New Roman" w:hAnsi="Times New Roman"/>
          <w:b w:val="0"/>
          <w:i w:val="0"/>
          <w:sz w:val="24"/>
        </w:rPr>
        <w:t>Yếu tố nguy cơ mạnh nhất cho SKTT tiêu cực: (1) NỮ giới, (2) Rượu, (3) Hút thuốc. Nhóm thu nhập thấp có tỷ lệ cao hơn với nhiều yếu tố nguy cơ — bất lợi tích lũy.</w:t>
      </w:r>
    </w:p>
    <w:p>
      <w:pPr>
        <w:pStyle w:val="Heading3"/>
      </w:pPr>
      <w:r>
        <w:rPr>
          <w:rFonts w:ascii="Times New Roman" w:hAnsi="Times New Roman"/>
          <w:color w:val="000000"/>
        </w:rPr>
        <w:t>Bảng 4. Bất bình đẳng thu nhập và SKTT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417" w:type="dxa"/>
            <w:shd w:fill="D9E2F3" w:val="clear"/>
          </w:tcPr>
          <w:p>
            <w:pPr>
              <w:jc w:val="center"/>
            </w:pPr>
            <w:r>
              <w:rPr>
                <w:rFonts w:ascii="Times New Roman" w:hAnsi="Times New Roman"/>
                <w:b/>
                <w:sz w:val="20"/>
              </w:rPr>
              <w:t>Thu nhập</w:t>
            </w:r>
          </w:p>
        </w:tc>
        <w:tc>
          <w:tcPr>
            <w:tcW w:type="dxa" w:w="1881"/>
            <w:tcW w:w="1417" w:type="dxa"/>
            <w:shd w:fill="D9E2F3" w:val="clear"/>
          </w:tcPr>
          <w:p>
            <w:pPr>
              <w:jc w:val="center"/>
            </w:pPr>
            <w:r>
              <w:rPr>
                <w:rFonts w:ascii="Times New Roman" w:hAnsi="Times New Roman"/>
                <w:b/>
                <w:sz w:val="20"/>
              </w:rPr>
              <w:t>Stress 2022</w:t>
            </w:r>
          </w:p>
        </w:tc>
        <w:tc>
          <w:tcPr>
            <w:tcW w:type="dxa" w:w="1881"/>
            <w:tcW w:w="1417" w:type="dxa"/>
            <w:shd w:fill="D9E2F3" w:val="clear"/>
          </w:tcPr>
          <w:p>
            <w:pPr>
              <w:jc w:val="center"/>
            </w:pPr>
            <w:r>
              <w:rPr>
                <w:rFonts w:ascii="Times New Roman" w:hAnsi="Times New Roman"/>
                <w:b/>
                <w:sz w:val="20"/>
              </w:rPr>
              <w:t>Buồn bã 2022</w:t>
            </w:r>
          </w:p>
        </w:tc>
        <w:tc>
          <w:tcPr>
            <w:tcW w:type="dxa" w:w="1881"/>
            <w:tcW w:w="1417" w:type="dxa"/>
            <w:shd w:fill="D9E2F3" w:val="clear"/>
          </w:tcPr>
          <w:p>
            <w:pPr>
              <w:jc w:val="center"/>
            </w:pPr>
            <w:r>
              <w:rPr>
                <w:rFonts w:ascii="Times New Roman" w:hAnsi="Times New Roman"/>
                <w:b/>
                <w:sz w:val="20"/>
              </w:rPr>
              <w:t>Tự tử 2022</w:t>
            </w:r>
          </w:p>
        </w:tc>
        <w:tc>
          <w:tcPr>
            <w:tcW w:type="dxa" w:w="1881"/>
            <w:tcW w:w="2268" w:type="dxa"/>
            <w:shd w:fill="D9E2F3" w:val="clear"/>
          </w:tcPr>
          <w:p>
            <w:pPr>
              <w:jc w:val="center"/>
            </w:pPr>
            <w:r>
              <w:rPr>
                <w:rFonts w:ascii="Times New Roman" w:hAnsi="Times New Roman"/>
                <w:b/>
                <w:sz w:val="20"/>
              </w:rPr>
              <w:t>So với VN</w:t>
            </w:r>
          </w:p>
        </w:tc>
      </w:tr>
      <w:tr>
        <w:tc>
          <w:tcPr>
            <w:tcW w:type="dxa" w:w="1881"/>
            <w:tcW w:w="1417" w:type="dxa"/>
          </w:tcPr>
          <w:p>
            <w:r>
              <w:rPr>
                <w:rFonts w:ascii="Times New Roman" w:hAnsi="Times New Roman"/>
                <w:sz w:val="20"/>
              </w:rPr>
              <w:t>Cao nhất</w:t>
            </w:r>
          </w:p>
        </w:tc>
        <w:tc>
          <w:tcPr>
            <w:tcW w:type="dxa" w:w="1881"/>
            <w:tcW w:w="1417" w:type="dxa"/>
          </w:tcPr>
          <w:p>
            <w:r>
              <w:rPr>
                <w:rFonts w:ascii="Times New Roman" w:hAnsi="Times New Roman"/>
                <w:sz w:val="20"/>
              </w:rPr>
              <w:t>40,07%</w:t>
            </w:r>
          </w:p>
        </w:tc>
        <w:tc>
          <w:tcPr>
            <w:tcW w:type="dxa" w:w="1881"/>
            <w:tcW w:w="1417" w:type="dxa"/>
          </w:tcPr>
          <w:p>
            <w:r>
              <w:rPr>
                <w:rFonts w:ascii="Times New Roman" w:hAnsi="Times New Roman"/>
                <w:sz w:val="20"/>
              </w:rPr>
              <w:t>28,15%</w:t>
            </w:r>
          </w:p>
        </w:tc>
        <w:tc>
          <w:tcPr>
            <w:tcW w:type="dxa" w:w="1881"/>
            <w:tcW w:w="1417" w:type="dxa"/>
          </w:tcPr>
          <w:p>
            <w:r>
              <w:rPr>
                <w:rFonts w:ascii="Times New Roman" w:hAnsi="Times New Roman"/>
                <w:sz w:val="20"/>
              </w:rPr>
              <w:t>13,92%</w:t>
            </w:r>
          </w:p>
        </w:tc>
        <w:tc>
          <w:tcPr>
            <w:tcW w:type="dxa" w:w="1881"/>
            <w:tcW w:w="2268" w:type="dxa"/>
          </w:tcPr>
          <w:p>
            <w:r>
              <w:rPr>
                <w:rFonts w:ascii="Times New Roman" w:hAnsi="Times New Roman"/>
                <w:sz w:val="20"/>
              </w:rPr>
            </w:r>
          </w:p>
        </w:tc>
      </w:tr>
      <w:tr>
        <w:tc>
          <w:tcPr>
            <w:tcW w:type="dxa" w:w="1881"/>
            <w:tcW w:w="1417" w:type="dxa"/>
          </w:tcPr>
          <w:p>
            <w:r>
              <w:rPr>
                <w:rFonts w:ascii="Times New Roman" w:hAnsi="Times New Roman"/>
                <w:sz w:val="20"/>
              </w:rPr>
              <w:t>Thấp nhất</w:t>
            </w:r>
          </w:p>
        </w:tc>
        <w:tc>
          <w:tcPr>
            <w:tcW w:type="dxa" w:w="1881"/>
            <w:tcW w:w="1417" w:type="dxa"/>
          </w:tcPr>
          <w:p>
            <w:r>
              <w:rPr>
                <w:rFonts w:ascii="Times New Roman" w:hAnsi="Times New Roman"/>
                <w:sz w:val="20"/>
              </w:rPr>
              <w:t>62,77%</w:t>
            </w:r>
          </w:p>
        </w:tc>
        <w:tc>
          <w:tcPr>
            <w:tcW w:type="dxa" w:w="1881"/>
            <w:tcW w:w="1417" w:type="dxa"/>
          </w:tcPr>
          <w:p>
            <w:r>
              <w:rPr>
                <w:rFonts w:ascii="Times New Roman" w:hAnsi="Times New Roman"/>
                <w:sz w:val="20"/>
              </w:rPr>
              <w:t>46,83%</w:t>
            </w:r>
          </w:p>
        </w:tc>
        <w:tc>
          <w:tcPr>
            <w:tcW w:type="dxa" w:w="1881"/>
            <w:tcW w:w="1417" w:type="dxa"/>
          </w:tcPr>
          <w:p>
            <w:r>
              <w:rPr>
                <w:rFonts w:ascii="Times New Roman" w:hAnsi="Times New Roman"/>
                <w:sz w:val="20"/>
              </w:rPr>
              <w:t>31,70%</w:t>
            </w:r>
          </w:p>
        </w:tc>
        <w:tc>
          <w:tcPr>
            <w:tcW w:type="dxa" w:w="1881"/>
            <w:tcW w:w="2268" w:type="dxa"/>
          </w:tcPr>
          <w:p>
            <w:r>
              <w:rPr>
                <w:rFonts w:ascii="Times New Roman" w:hAnsi="Times New Roman"/>
                <w:sz w:val="20"/>
              </w:rPr>
            </w:r>
          </w:p>
        </w:tc>
      </w:tr>
      <w:tr>
        <w:tc>
          <w:tcPr>
            <w:tcW w:type="dxa" w:w="1881"/>
            <w:tcW w:w="1417" w:type="dxa"/>
          </w:tcPr>
          <w:p>
            <w:r>
              <w:rPr>
                <w:rFonts w:ascii="Times New Roman" w:hAnsi="Times New Roman"/>
                <w:sz w:val="20"/>
              </w:rPr>
              <w:t>Chênh lệch</w:t>
            </w:r>
          </w:p>
        </w:tc>
        <w:tc>
          <w:tcPr>
            <w:tcW w:type="dxa" w:w="1881"/>
            <w:tcW w:w="1417" w:type="dxa"/>
          </w:tcPr>
          <w:p>
            <w:r>
              <w:rPr>
                <w:rFonts w:ascii="Times New Roman" w:hAnsi="Times New Roman"/>
                <w:sz w:val="20"/>
              </w:rPr>
              <w:t>22,70 điểm</w:t>
            </w:r>
          </w:p>
        </w:tc>
        <w:tc>
          <w:tcPr>
            <w:tcW w:type="dxa" w:w="1881"/>
            <w:tcW w:w="1417" w:type="dxa"/>
          </w:tcPr>
          <w:p>
            <w:r>
              <w:rPr>
                <w:rFonts w:ascii="Times New Roman" w:hAnsi="Times New Roman"/>
                <w:sz w:val="20"/>
              </w:rPr>
              <w:t>18,68 điểm</w:t>
            </w:r>
          </w:p>
        </w:tc>
        <w:tc>
          <w:tcPr>
            <w:tcW w:type="dxa" w:w="1881"/>
            <w:tcW w:w="1417" w:type="dxa"/>
          </w:tcPr>
          <w:p>
            <w:r>
              <w:rPr>
                <w:rFonts w:ascii="Times New Roman" w:hAnsi="Times New Roman"/>
                <w:sz w:val="20"/>
              </w:rPr>
              <w:t>17,78 điểm</w:t>
            </w:r>
          </w:p>
        </w:tc>
        <w:tc>
          <w:tcPr>
            <w:tcW w:type="dxa" w:w="1881"/>
            <w:tcW w:w="2268" w:type="dxa"/>
          </w:tcPr>
          <w:p>
            <w:r>
              <w:rPr>
                <w:rFonts w:ascii="Times New Roman" w:hAnsi="Times New Roman"/>
                <w:sz w:val="20"/>
              </w:rPr>
              <w:t>VN: CHƯA CÓ dữ liệu theo thu nhập</w:t>
            </w:r>
          </w:p>
        </w:tc>
      </w:tr>
      <w:tr>
        <w:tc>
          <w:tcPr>
            <w:tcW w:type="dxa" w:w="1881"/>
            <w:tcW w:w="1417" w:type="dxa"/>
          </w:tcPr>
          <w:p>
            <w:r>
              <w:rPr>
                <w:rFonts w:ascii="Times New Roman" w:hAnsi="Times New Roman"/>
                <w:sz w:val="20"/>
              </w:rPr>
              <w:t>Xu hướng chênh</w:t>
            </w:r>
          </w:p>
        </w:tc>
        <w:tc>
          <w:tcPr>
            <w:tcW w:type="dxa" w:w="1881"/>
            <w:tcW w:w="1417" w:type="dxa"/>
          </w:tcPr>
          <w:p>
            <w:r>
              <w:rPr>
                <w:rFonts w:ascii="Times New Roman" w:hAnsi="Times New Roman"/>
                <w:sz w:val="20"/>
              </w:rPr>
              <w:t>MỞ RỘNG sau COVID</w:t>
            </w:r>
          </w:p>
        </w:tc>
        <w:tc>
          <w:tcPr>
            <w:tcW w:type="dxa" w:w="1881"/>
            <w:tcW w:w="1417" w:type="dxa"/>
          </w:tcPr>
          <w:p>
            <w:r>
              <w:rPr>
                <w:rFonts w:ascii="Times New Roman" w:hAnsi="Times New Roman"/>
                <w:sz w:val="20"/>
              </w:rPr>
            </w:r>
          </w:p>
        </w:tc>
        <w:tc>
          <w:tcPr>
            <w:tcW w:type="dxa" w:w="1881"/>
            <w:tcW w:w="1417" w:type="dxa"/>
          </w:tcPr>
          <w:p>
            <w:r>
              <w:rPr>
                <w:rFonts w:ascii="Times New Roman" w:hAnsi="Times New Roman"/>
                <w:sz w:val="20"/>
              </w:rPr>
            </w:r>
          </w:p>
        </w:tc>
        <w:tc>
          <w:tcPr>
            <w:tcW w:type="dxa" w:w="1881"/>
            <w:tcW w:w="2268" w:type="dxa"/>
          </w:tcPr>
          <w:p>
            <w:r>
              <w:rPr>
                <w:rFonts w:ascii="Times New Roman" w:hAnsi="Times New Roman"/>
                <w:sz w:val="20"/>
              </w:rPr>
              <w:t>Gap #4 cross-study</w:t>
            </w:r>
          </w:p>
        </w:tc>
      </w:tr>
    </w:tbl>
    <w:p>
      <w:r>
        <w:rPr>
          <w:rFonts w:ascii="Times New Roman" w:hAnsi="Times New Roman"/>
          <w:i/>
          <w:color w:val="808080"/>
          <w:sz w:val="18"/>
        </w:rPr>
        <w:t>--- Trang 4–6, Nature Scientific Reports, 2024 ---</w:t>
      </w:r>
    </w:p>
    <w:p>
      <w:pPr>
        <w:pStyle w:val="Heading2"/>
      </w:pPr>
      <w:r>
        <w:rPr>
          <w:rFonts w:ascii="Times New Roman" w:hAnsi="Times New Roman"/>
          <w:color w:val="000000"/>
        </w:rPr>
        <w:t>4. THẢO LUẬN</w:t>
      </w:r>
    </w:p>
    <w:p>
      <w:r>
        <w:rPr>
          <w:rFonts w:ascii="Times New Roman" w:hAnsi="Times New Roman"/>
          <w:b w:val="0"/>
          <w:i w:val="0"/>
          <w:sz w:val="24"/>
        </w:rPr>
        <w:t>Đây là NC đầu tiên theo dõi dài hạn 17 năm mối quan hệ thu nhập hộ gia đình — SKTT VTN, cùng xu hướng. Phát hiện chính:</w:t>
      </w:r>
    </w:p>
    <w:p>
      <w:r>
        <w:rPr>
          <w:rFonts w:ascii="Times New Roman" w:hAnsi="Times New Roman"/>
          <w:b w:val="0"/>
          <w:i w:val="0"/>
          <w:sz w:val="24"/>
        </w:rPr>
        <w:t>(1) Thu nhập thấp liên quan mạnh với stress, buồn bã, ý tưởng tự tử, cố tự tử. Có thể do cảm giác thiếu thốn tương đối so với bạn bè — xu hướng xã hội đặt nặng giàu có. VTN nghèo cảm thấy tách biệt, dẫn đến tự trọng thấp, suy nghĩ và hành vi trầm cảm.</w:t>
      </w:r>
    </w:p>
    <w:p>
      <w:r>
        <w:rPr>
          <w:rFonts w:ascii="Times New Roman" w:hAnsi="Times New Roman"/>
          <w:b w:val="0"/>
          <w:i w:val="0"/>
          <w:sz w:val="24"/>
        </w:rPr>
        <w:t>(2) COVID-19 làm trầm trọng bất bình đẳng: phong tỏa → HS nghèo sống chật chội, ít riêng tư, khó tiếp cận học trực tuyến → stress và cô lập tăng. Gia đình nghèo mất thu nhập → bất ổn tài chính → SKTT xấu đi nhanh hơn nhóm giàu.</w:t>
      </w:r>
    </w:p>
    <w:p>
      <w:r>
        <w:rPr>
          <w:rFonts w:ascii="Times New Roman" w:hAnsi="Times New Roman"/>
          <w:b w:val="0"/>
          <w:i w:val="0"/>
          <w:sz w:val="24"/>
        </w:rPr>
        <w:t>(3) Mô hình đảo chiều: SKTT cải thiện 2006–2019 — có thể do chính sách SKTT học đường Hàn Quốc (Wee Center trong trường, tư vấn VTN). COVID đảo ngược tất cả tiến bộ.</w:t>
      </w:r>
    </w:p>
    <w:p>
      <w:r>
        <w:rPr>
          <w:rFonts w:ascii="Times New Roman" w:hAnsi="Times New Roman"/>
          <w:b w:val="0"/>
          <w:i w:val="0"/>
          <w:sz w:val="24"/>
        </w:rPr>
        <w:t>(4) Nữ giới: tỷ lệ cao hơn nam cho tất cả chỉ số — phù hợp xu hướng toàn cầu: 59 Countries (QT31) AOR = 1,51, Ireland (QT32) nữ tăng nhanh hơn, Úc (QT25) flourishing nữ 36,3% vs nam 52,2%.</w:t>
      </w:r>
    </w:p>
    <w:p>
      <w:r>
        <w:rPr>
          <w:rFonts w:ascii="Times New Roman" w:hAnsi="Times New Roman"/>
          <w:b w:val="0"/>
          <w:i w:val="0"/>
          <w:sz w:val="24"/>
        </w:rPr>
        <w:t>(5) Tỷ lệ tự tử VTN Hàn Quốc cao nhất OECD — dữ liệu xác nhận xu hướng đáng lo ngại: ý tưởng tự tử tăng sau COVID (đặc biệt nhóm nghèo 31,70%).</w:t>
      </w:r>
    </w:p>
    <w:p>
      <w:pPr>
        <w:pStyle w:val="Heading2"/>
      </w:pPr>
      <w:r>
        <w:rPr>
          <w:rFonts w:ascii="Times New Roman" w:hAnsi="Times New Roman"/>
          <w:color w:val="000000"/>
        </w:rPr>
        <w:t>5. ĐIỂM MẠNH VÀ HẠN CHẾ</w:t>
      </w:r>
    </w:p>
    <w:p>
      <w:r>
        <w:rPr>
          <w:rFonts w:ascii="Times New Roman" w:hAnsi="Times New Roman"/>
          <w:b/>
          <w:i w:val="0"/>
          <w:sz w:val="24"/>
        </w:rPr>
        <w:t>Điểm mạnh:</w:t>
      </w:r>
    </w:p>
    <w:p>
      <w:r>
        <w:rPr>
          <w:rFonts w:ascii="Times New Roman" w:hAnsi="Times New Roman"/>
          <w:b w:val="0"/>
          <w:i w:val="0"/>
          <w:sz w:val="24"/>
        </w:rPr>
        <w:t>• KYRBS quốc gia — lấy mẫu cụm, đại diện toàn quốc.</w:t>
      </w:r>
    </w:p>
    <w:p>
      <w:r>
        <w:rPr>
          <w:rFonts w:ascii="Times New Roman" w:hAnsi="Times New Roman"/>
          <w:b w:val="0"/>
          <w:i w:val="0"/>
          <w:sz w:val="24"/>
        </w:rPr>
        <w:t>• N = 1.138.804 — mẫu lớn nhất trong Đề tài (cùng JAACAP 13,7 triệu).</w:t>
      </w:r>
    </w:p>
    <w:p>
      <w:r>
        <w:rPr>
          <w:rFonts w:ascii="Times New Roman" w:hAnsi="Times New Roman"/>
          <w:b w:val="0"/>
          <w:i w:val="0"/>
          <w:sz w:val="24"/>
        </w:rPr>
        <w:t>• 17 năm liên tục — xu hướng dài nhất.</w:t>
      </w:r>
    </w:p>
    <w:p>
      <w:r>
        <w:rPr>
          <w:rFonts w:ascii="Times New Roman" w:hAnsi="Times New Roman"/>
          <w:b w:val="0"/>
          <w:i w:val="0"/>
          <w:sz w:val="24"/>
        </w:rPr>
        <w:t>• Phân tầng thu nhập 5 nhóm — ít NC nào làm.</w:t>
      </w:r>
    </w:p>
    <w:p>
      <w:r>
        <w:rPr>
          <w:rFonts w:ascii="Times New Roman" w:hAnsi="Times New Roman"/>
          <w:b w:val="0"/>
          <w:i w:val="0"/>
          <w:sz w:val="24"/>
        </w:rPr>
        <w:t>• So sánh trước/sau COVID bằng βdiff.</w:t>
      </w:r>
    </w:p>
    <w:p>
      <w:r>
        <w:rPr>
          <w:rFonts w:ascii="Times New Roman" w:hAnsi="Times New Roman"/>
          <w:b/>
          <w:i w:val="0"/>
          <w:sz w:val="24"/>
        </w:rPr>
        <w:t>Hạn chế:</w:t>
      </w:r>
    </w:p>
    <w:p>
      <w:r>
        <w:rPr>
          <w:rFonts w:ascii="Times New Roman" w:hAnsi="Times New Roman"/>
          <w:b w:val="0"/>
          <w:i w:val="0"/>
          <w:sz w:val="24"/>
        </w:rPr>
        <w:t>• Chỉ Hàn Quốc — hệ thống giáo dục cạnh tranh cực cao (suneung), văn hóa khác VN. Tuy nhiên, áp lực học tập cũng rất cao ở VN → có thể tương đồng.</w:t>
      </w:r>
    </w:p>
    <w:p>
      <w:r>
        <w:rPr>
          <w:rFonts w:ascii="Times New Roman" w:hAnsi="Times New Roman"/>
          <w:b w:val="0"/>
          <w:i w:val="0"/>
          <w:sz w:val="24"/>
        </w:rPr>
        <w:t>• Đo stress/buồn bã/tự tử bằng CÂU HỎI ĐƠN — KHÔNG dùng thang chuẩn hóa (GAD-7, DASS-21, PHQ-9). Không tách lo âu riêng. Ireland (QT32) dùng DASS-21; Norway (QT21) dùng HSCL-6.</w:t>
      </w:r>
    </w:p>
    <w:p>
      <w:r>
        <w:rPr>
          <w:rFonts w:ascii="Times New Roman" w:hAnsi="Times New Roman"/>
          <w:b w:val="0"/>
          <w:i w:val="0"/>
          <w:sz w:val="24"/>
        </w:rPr>
        <w:t>• Tự báo cáo trực tuyến — VTN có thể không báo cáo chính xác thu nhập gia đình và tự tử (nhạy cảm, kỳ thị).</w:t>
      </w:r>
    </w:p>
    <w:p>
      <w:r>
        <w:rPr>
          <w:rFonts w:ascii="Times New Roman" w:hAnsi="Times New Roman"/>
          <w:b w:val="0"/>
          <w:i w:val="0"/>
          <w:sz w:val="24"/>
        </w:rPr>
        <w:t>• Sinh thái — xu hướng cấp quốc gia. Không theo dõi cùng cá nhân (cắt ngang lặp lại, không cohort).</w:t>
      </w:r>
    </w:p>
    <w:p>
      <w:r>
        <w:rPr>
          <w:rFonts w:ascii="Times New Roman" w:hAnsi="Times New Roman"/>
          <w:b w:val="0"/>
          <w:i w:val="0"/>
          <w:sz w:val="24"/>
        </w:rPr>
        <w:t>• Phản ứng COVID Hàn Quốc (không lockdown toàn diện) khác nhiều nước → tác động COVID có thể khác ở VN.</w:t>
      </w:r>
    </w:p>
    <w:p>
      <w:pPr>
        <w:pStyle w:val="Heading2"/>
      </w:pPr>
      <w:r>
        <w:rPr>
          <w:rFonts w:ascii="Times New Roman" w:hAnsi="Times New Roman"/>
          <w:color w:val="000000"/>
        </w:rPr>
        <w:t>6. KẾT LUẬN</w:t>
      </w:r>
    </w:p>
    <w:p>
      <w:r>
        <w:rPr>
          <w:rFonts w:ascii="Times New Roman" w:hAnsi="Times New Roman"/>
          <w:b w:val="0"/>
          <w:i w:val="0"/>
          <w:sz w:val="24"/>
        </w:rPr>
        <w:t>Dữ liệu KYRBS 1.138.804 VTN Hàn Quốc qua 17 năm (2006–2022) cho thấy:</w:t>
      </w:r>
    </w:p>
    <w:p>
      <w:r>
        <w:rPr>
          <w:rFonts w:ascii="Times New Roman" w:hAnsi="Times New Roman"/>
          <w:b w:val="0"/>
          <w:i w:val="0"/>
          <w:sz w:val="24"/>
        </w:rPr>
        <w:t>(1) Thu nhập thấp liên quan mạnh với tất cả chỉ số SKTT tiêu cực — chênh lệch stress 22,7 điểm (62,77% nghèo vs 40,07% giàu), cố tự tử GẤP 3 lần.</w:t>
      </w:r>
    </w:p>
    <w:p>
      <w:r>
        <w:rPr>
          <w:rFonts w:ascii="Times New Roman" w:hAnsi="Times New Roman"/>
          <w:b w:val="0"/>
          <w:i w:val="0"/>
          <w:sz w:val="24"/>
        </w:rPr>
        <w:t>(2) Mô hình ĐẢO CHIỀU: SKTT cải thiện 2006–2019 → xấu đi 2020–2022 — COVID đảo ngược tiến bộ.</w:t>
      </w:r>
    </w:p>
    <w:p>
      <w:r>
        <w:rPr>
          <w:rFonts w:ascii="Times New Roman" w:hAnsi="Times New Roman"/>
          <w:b w:val="0"/>
          <w:i w:val="0"/>
          <w:sz w:val="24"/>
        </w:rPr>
        <w:t>(3) Bất bình đẳng MỞ RỘNG trong COVID — nhóm nghèo chịu tác động nặng hơn.</w:t>
      </w:r>
    </w:p>
    <w:p>
      <w:r>
        <w:rPr>
          <w:rFonts w:ascii="Times New Roman" w:hAnsi="Times New Roman"/>
          <w:b w:val="0"/>
          <w:i w:val="0"/>
          <w:sz w:val="24"/>
        </w:rPr>
        <w:t>(4) Nữ, rượu, thuốc lá — yếu tố nguy cơ mạnh nhất.</w:t>
      </w:r>
    </w:p>
    <w:p>
      <w:r>
        <w:rPr>
          <w:rFonts w:ascii="Times New Roman" w:hAnsi="Times New Roman"/>
          <w:b w:val="0"/>
          <w:i w:val="0"/>
          <w:sz w:val="24"/>
        </w:rPr>
        <w:t>Hàm ý cho VN: Cần phân tích SKTT VTN VN theo thu nhập — V-NAMHS 2022 chưa phân tầng kinh tế đầy đủ. Nếu VN có mô hình tương tự Hàn Quốc, nhóm VTN nghèo/DTTS (Ngô Anh Vinh 2024: DTTS 54,4%) có thể đang bị ảnh hưởng nặng nhất.</w:t>
      </w:r>
    </w:p>
    <w:p>
      <w:pPr>
        <w:pStyle w:val="Heading2"/>
      </w:pPr>
      <w:r>
        <w:rPr>
          <w:rFonts w:ascii="Times New Roman" w:hAnsi="Times New Roman"/>
          <w:color w:val="000000"/>
        </w:rPr>
        <w:t>TÀI LIỆU THAM KHẢO</w:t>
      </w:r>
    </w:p>
    <w:p>
      <w:r>
        <w:rPr>
          <w:rFonts w:ascii="Times New Roman" w:hAnsi="Times New Roman"/>
          <w:b w:val="0"/>
          <w:i w:val="0"/>
          <w:sz w:val="20"/>
        </w:rPr>
        <w:t>Cho, J., Park, J., Lee, H., et al. (2024). National trends in adolescents' mental health by income level in South Korea, pre- and post-COVID-19, 2006-2022. Scientific Reports.</w:t>
      </w:r>
    </w:p>
    <w:p>
      <w:r>
        <w:rPr>
          <w:rFonts w:ascii="Times New Roman" w:hAnsi="Times New Roman"/>
          <w:b w:val="0"/>
          <w:i w:val="0"/>
          <w:sz w:val="20"/>
        </w:rPr>
        <w:t>Korea Centers for Disease Control and Prevention. Korea Youth Risk Behavior Web-based Survey (KYRBS), 2006–2022.</w:t>
      </w:r>
    </w:p>
    <w:p>
      <w:r>
        <w:rPr>
          <w:rFonts w:ascii="Times New Roman" w:hAnsi="Times New Roman"/>
          <w:b w:val="0"/>
          <w:i w:val="0"/>
          <w:sz w:val="20"/>
        </w:rPr>
        <w:t>Keyes, K.M., Gary, D., O'Malley, P.M., et al. (2019). Recent increases in depressive symptoms among US adolescents. J Adolescent Health, 65, 590–598.</w:t>
      </w:r>
    </w:p>
    <w:p>
      <w:r>
        <w:rPr>
          <w:rFonts w:ascii="Times New Roman" w:hAnsi="Times New Roman"/>
          <w:b w:val="0"/>
          <w:i w:val="0"/>
          <w:sz w:val="20"/>
        </w:rPr>
        <w:t>Von Soest, T., Wichstrøm, L. (2014). Secular trends in depressive symptoms among Norwegian adolescents. J Abnorm Child Psychol, 42, 403–415.</w:t>
      </w:r>
    </w:p>
    <w:p>
      <w:r>
        <w:rPr>
          <w:rFonts w:ascii="Times New Roman" w:hAnsi="Times New Roman"/>
          <w:b w:val="0"/>
          <w:i w:val="0"/>
          <w:sz w:val="20"/>
        </w:rPr>
        <w:t>Cosma, A., et al. (2020). Cross-national time trends in adolescent mental well-being from 2002 to 2018. JAMA, 66(S), S50–S58.</w:t>
      </w:r>
    </w:p>
    <w:p>
      <w:r>
        <w:rPr>
          <w:rFonts w:ascii="Times New Roman" w:hAnsi="Times New Roman"/>
          <w:b w:val="0"/>
          <w:i/>
          <w:sz w:val="20"/>
        </w:rPr>
        <w:t>(Xem đầy đủ trong bài gốc — 34 TLTK)</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KYRBS</w:t>
            </w:r>
          </w:p>
        </w:tc>
        <w:tc>
          <w:tcPr>
            <w:tcW w:type="dxa" w:w="4702"/>
            <w:tcW w:w="7371" w:type="dxa"/>
          </w:tcPr>
          <w:p>
            <w:r>
              <w:rPr>
                <w:rFonts w:ascii="Times New Roman" w:hAnsi="Times New Roman"/>
                <w:sz w:val="20"/>
              </w:rPr>
              <w:t>Korea Youth Risk Behavior Web-based Survey — Khảo sát Hành vi Nguy cơ Thanh niên Hàn Quốc</w:t>
            </w:r>
          </w:p>
        </w:tc>
      </w:tr>
      <w:tr>
        <w:tc>
          <w:tcPr>
            <w:tcW w:type="dxa" w:w="4702"/>
            <w:tcW w:w="1701" w:type="dxa"/>
          </w:tcPr>
          <w:p>
            <w:r>
              <w:rPr>
                <w:rFonts w:ascii="Times New Roman" w:hAnsi="Times New Roman"/>
                <w:sz w:val="20"/>
              </w:rPr>
              <w:t>KCDC</w:t>
            </w:r>
          </w:p>
        </w:tc>
        <w:tc>
          <w:tcPr>
            <w:tcW w:type="dxa" w:w="4702"/>
            <w:tcW w:w="7371" w:type="dxa"/>
          </w:tcPr>
          <w:p>
            <w:r>
              <w:rPr>
                <w:rFonts w:ascii="Times New Roman" w:hAnsi="Times New Roman"/>
                <w:sz w:val="20"/>
              </w:rPr>
              <w:t>Korea Centers for Disease Control and Prevention</w:t>
            </w:r>
          </w:p>
        </w:tc>
      </w:tr>
      <w:tr>
        <w:tc>
          <w:tcPr>
            <w:tcW w:type="dxa" w:w="4702"/>
            <w:tcW w:w="1701" w:type="dxa"/>
          </w:tcPr>
          <w:p>
            <w:r>
              <w:rPr>
                <w:rFonts w:ascii="Times New Roman" w:hAnsi="Times New Roman"/>
                <w:sz w:val="20"/>
              </w:rPr>
              <w:t>β</w:t>
            </w:r>
          </w:p>
        </w:tc>
        <w:tc>
          <w:tcPr>
            <w:tcW w:type="dxa" w:w="4702"/>
            <w:tcW w:w="7371" w:type="dxa"/>
          </w:tcPr>
          <w:p>
            <w:r>
              <w:rPr>
                <w:rFonts w:ascii="Times New Roman" w:hAnsi="Times New Roman"/>
                <w:sz w:val="20"/>
              </w:rPr>
              <w:t>Beta — Hệ số xu hướng (thay đổi %/năm)</w:t>
            </w:r>
          </w:p>
        </w:tc>
      </w:tr>
      <w:tr>
        <w:tc>
          <w:tcPr>
            <w:tcW w:type="dxa" w:w="4702"/>
            <w:tcW w:w="1701" w:type="dxa"/>
          </w:tcPr>
          <w:p>
            <w:r>
              <w:rPr>
                <w:rFonts w:ascii="Times New Roman" w:hAnsi="Times New Roman"/>
                <w:sz w:val="20"/>
              </w:rPr>
              <w:t>βdiff</w:t>
            </w:r>
          </w:p>
        </w:tc>
        <w:tc>
          <w:tcPr>
            <w:tcW w:type="dxa" w:w="4702"/>
            <w:tcW w:w="7371" w:type="dxa"/>
          </w:tcPr>
          <w:p>
            <w:r>
              <w:rPr>
                <w:rFonts w:ascii="Times New Roman" w:hAnsi="Times New Roman"/>
                <w:sz w:val="20"/>
              </w:rPr>
              <w:t>Beta difference — Chênh lệch xu hướng trước/sau COVID</w:t>
            </w:r>
          </w:p>
        </w:tc>
      </w:tr>
      <w:tr>
        <w:tc>
          <w:tcPr>
            <w:tcW w:type="dxa" w:w="4702"/>
            <w:tcW w:w="1701" w:type="dxa"/>
          </w:tcPr>
          <w:p>
            <w:r>
              <w:rPr>
                <w:rFonts w:ascii="Times New Roman" w:hAnsi="Times New Roman"/>
                <w:sz w:val="20"/>
              </w:rPr>
              <w:t>KTC</w:t>
            </w:r>
          </w:p>
        </w:tc>
        <w:tc>
          <w:tcPr>
            <w:tcW w:type="dxa" w:w="4702"/>
            <w:tcW w:w="7371" w:type="dxa"/>
          </w:tcPr>
          <w:p>
            <w:r>
              <w:rPr>
                <w:rFonts w:ascii="Times New Roman" w:hAnsi="Times New Roman"/>
                <w:sz w:val="20"/>
              </w:rPr>
              <w:t>Khoảng Tin cậy (Confidence Interval)</w:t>
            </w:r>
          </w:p>
        </w:tc>
      </w:tr>
      <w:tr>
        <w:tc>
          <w:tcPr>
            <w:tcW w:type="dxa" w:w="4702"/>
            <w:tcW w:w="1701" w:type="dxa"/>
          </w:tcPr>
          <w:p>
            <w:r>
              <w:rPr>
                <w:rFonts w:ascii="Times New Roman" w:hAnsi="Times New Roman"/>
                <w:sz w:val="20"/>
              </w:rPr>
              <w:t>OECD</w:t>
            </w:r>
          </w:p>
        </w:tc>
        <w:tc>
          <w:tcPr>
            <w:tcW w:type="dxa" w:w="4702"/>
            <w:tcW w:w="7371" w:type="dxa"/>
          </w:tcPr>
          <w:p>
            <w:r>
              <w:rPr>
                <w:rFonts w:ascii="Times New Roman" w:hAnsi="Times New Roman"/>
                <w:sz w:val="20"/>
              </w:rPr>
              <w:t>Organisation for Economic Co-operation and Development</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DTTS</w:t>
            </w:r>
          </w:p>
        </w:tc>
        <w:tc>
          <w:tcPr>
            <w:tcW w:type="dxa" w:w="4702"/>
            <w:tcW w:w="7371" w:type="dxa"/>
          </w:tcPr>
          <w:p>
            <w:r>
              <w:rPr>
                <w:rFonts w:ascii="Times New Roman" w:hAnsi="Times New Roman"/>
                <w:sz w:val="20"/>
              </w:rPr>
              <w:t>Dân tộc thiểu số</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r>
        <w:tc>
          <w:tcPr>
            <w:tcW w:type="dxa" w:w="4702"/>
            <w:tcW w:w="1701" w:type="dxa"/>
          </w:tcPr>
          <w:p>
            <w:r>
              <w:rPr>
                <w:rFonts w:ascii="Times New Roman" w:hAnsi="Times New Roman"/>
                <w:sz w:val="20"/>
              </w:rPr>
              <w:t>OGA</w:t>
            </w:r>
          </w:p>
        </w:tc>
        <w:tc>
          <w:tcPr>
            <w:tcW w:type="dxa" w:w="4702"/>
            <w:tcW w:w="7371" w:type="dxa"/>
          </w:tcPr>
          <w:p>
            <w:r>
              <w:rPr>
                <w:rFonts w:ascii="Times New Roman" w:hAnsi="Times New Roman"/>
                <w:sz w:val="20"/>
              </w:rPr>
              <w:t>One Good Adult — Một Người Lớn Tốt (Ireland 2024)</w:t>
            </w:r>
          </w:p>
        </w:tc>
      </w:tr>
      <w:tr>
        <w:tc>
          <w:tcPr>
            <w:tcW w:type="dxa" w:w="4702"/>
            <w:tcW w:w="1701" w:type="dxa"/>
          </w:tcPr>
          <w:p>
            <w:r>
              <w:rPr>
                <w:rFonts w:ascii="Times New Roman" w:hAnsi="Times New Roman"/>
                <w:sz w:val="20"/>
              </w:rPr>
              <w:t>CMH</w:t>
            </w:r>
          </w:p>
        </w:tc>
        <w:tc>
          <w:tcPr>
            <w:tcW w:type="dxa" w:w="4702"/>
            <w:tcW w:w="7371" w:type="dxa"/>
          </w:tcPr>
          <w:p>
            <w:r>
              <w:rPr>
                <w:rFonts w:ascii="Times New Roman" w:hAnsi="Times New Roman"/>
                <w:sz w:val="20"/>
              </w:rPr>
              <w:t>Complete Mental Health — Sức khỏe Tâm thần Toàn diện (Keyes)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Nature Scientific Reports Q1. KYRBS quốc gia 17 năm — xu hướng DÀI NHẤT trong Đề tài.</w:t>
      </w:r>
    </w:p>
    <w:p>
      <w:r>
        <w:rPr>
          <w:rFonts w:ascii="Times New Roman" w:hAnsi="Times New Roman"/>
          <w:b w:val="0"/>
          <w:color w:val="FF0000"/>
          <w:sz w:val="24"/>
        </w:rPr>
        <w:t>• N = 1.138.804 — mẫu lớn nhất (cùng JAACAP 13,7 triệu). Norway 2025 (QT21): 979K; 59 Countries (QT31): 179K.</w:t>
      </w:r>
    </w:p>
    <w:p>
      <w:r>
        <w:rPr>
          <w:rFonts w:ascii="Times New Roman" w:hAnsi="Times New Roman"/>
          <w:b w:val="0"/>
          <w:color w:val="FF0000"/>
          <w:sz w:val="24"/>
        </w:rPr>
        <w:t>• Phân tầng THU NHẬP — đóng góp ĐỘC ĐÁO. Ít NC nào phân tích bất bình đẳng kinh tế → SKTT VTN. Ireland (QT32): không phân tầng kinh tế; Úc (QT25): cũng không.</w:t>
      </w:r>
    </w:p>
    <w:p>
      <w:r>
        <w:rPr>
          <w:rFonts w:ascii="Times New Roman" w:hAnsi="Times New Roman"/>
          <w:b w:val="0"/>
          <w:color w:val="FF0000"/>
          <w:sz w:val="24"/>
        </w:rPr>
        <w:t>• Mô hình ĐẢO CHIỀU — phát hiện quan trọng: SKTT VTN CÓ THỂ cải thiện (giai đoạn 2006–2019 ở Hàn Quốc). Phương Tây tăng liên tục — có thể do chính sách SKTT Hàn Quốc hiệu quả (Wee Center).</w:t>
      </w:r>
    </w:p>
    <w:p>
      <w:r>
        <w:rPr>
          <w:rFonts w:ascii="Times New Roman" w:hAnsi="Times New Roman"/>
          <w:b w:val="0"/>
          <w:color w:val="FF0000"/>
          <w:sz w:val="24"/>
        </w:rPr>
        <w:t>• So sánh trước/sau COVID bằng βdiff — phương pháp thống kê rõ ràng.</w:t>
      </w:r>
    </w:p>
    <w:p>
      <w:r>
        <w:rPr>
          <w:rFonts w:ascii="Times New Roman" w:hAnsi="Times New Roman"/>
          <w:b w:val="0"/>
          <w:color w:val="FF0000"/>
          <w:sz w:val="24"/>
        </w:rPr>
        <w:t>• Tự tử phân tầng thu nhập — hiếm. Ý tưởng tự tử 31,70% nhóm nghèo vs 13,92% giàu — chênh GẤP 2,3 lần. 59 Countries (QT31): ý tưởng tự tử AOR = 2,84 cho lo âu.</w:t>
      </w:r>
    </w:p>
    <w:p>
      <w:r>
        <w:rPr>
          <w:rFonts w:ascii="Times New Roman" w:hAnsi="Times New Roman"/>
          <w:b/>
          <w:color w:val="FF0000"/>
          <w:sz w:val="24"/>
        </w:rPr>
        <w:t>Hạn chế chi tiết:</w:t>
      </w:r>
    </w:p>
    <w:p>
      <w:r>
        <w:rPr>
          <w:rFonts w:ascii="Times New Roman" w:hAnsi="Times New Roman"/>
          <w:b w:val="0"/>
          <w:color w:val="FF0000"/>
          <w:sz w:val="24"/>
        </w:rPr>
        <w:t>• Chỉ Hàn Quốc — hệ thống giáo dục cạnh tranh (suneung), tỷ lệ tự tử VTN OECD cao nhất. Văn hóa confucian khác VN nhưng có tương đồng (áp lực học tập cao). Cần NC tương tự ở VN.</w:t>
      </w:r>
    </w:p>
    <w:p>
      <w:r>
        <w:rPr>
          <w:rFonts w:ascii="Times New Roman" w:hAnsi="Times New Roman"/>
          <w:b w:val="0"/>
          <w:color w:val="FF0000"/>
          <w:sz w:val="24"/>
        </w:rPr>
        <w:t>• KHÔNG tách LO ÂU riêng — đo stress/buồn bã/tự tử bằng câu hỏi đơn. Norway (QT21) dùng HSCL-6; Ireland (QT32) dùng DASS-21; JAACAP (QT23) dùng chẩn đoán. Thiếu so sánh trực tiếp với các NC dùng thang chuẩn.</w:t>
      </w:r>
    </w:p>
    <w:p>
      <w:r>
        <w:rPr>
          <w:rFonts w:ascii="Times New Roman" w:hAnsi="Times New Roman"/>
          <w:b w:val="0"/>
          <w:color w:val="FF0000"/>
          <w:sz w:val="24"/>
        </w:rPr>
        <w:t>• Thu nhập gia đình TỰ BÁO CÁO bởi VTN — có thể không chính xác. VTN có thể không biết thu nhập gia đình hoặc cảm thấy nhạy cảm. Cần dữ liệu thu nhập từ cha mẹ hoặc hồ sơ hành chính.</w:t>
      </w:r>
    </w:p>
    <w:p>
      <w:r>
        <w:rPr>
          <w:rFonts w:ascii="Times New Roman" w:hAnsi="Times New Roman"/>
          <w:b w:val="0"/>
          <w:color w:val="FF0000"/>
          <w:sz w:val="24"/>
        </w:rPr>
        <w:t>• KYRBS tự báo cáo TRỰC TUYẾN — thiên lệch tự báo cáo, đặc biệt cho câu hỏi nhạy cảm (tự tử). VTN có thể không báo cáo trung thực. V-NAMHS 2022: chỉ 5,1% phụ huynh nhận ra con cần giúp đỡ.</w:t>
      </w:r>
    </w:p>
    <w:p>
      <w:r>
        <w:rPr>
          <w:rFonts w:ascii="Times New Roman" w:hAnsi="Times New Roman"/>
          <w:b w:val="0"/>
          <w:color w:val="FF0000"/>
          <w:sz w:val="24"/>
        </w:rPr>
        <w:t>• Cắt ngang lặp lại — không theo dõi cùng cá nhân. Không xác lập nhân quả: thu nhập thấp → SKTT kém hay SKTT kém → học kém → thu nhập thấp?</w:t>
      </w:r>
    </w:p>
    <w:p>
      <w:r>
        <w:rPr>
          <w:rFonts w:ascii="Times New Roman" w:hAnsi="Times New Roman"/>
          <w:b w:val="0"/>
          <w:color w:val="FF0000"/>
          <w:sz w:val="24"/>
        </w:rPr>
        <w:t>• Phản ứng COVID Hàn Quốc ĐẶC BIỆT (không lockdown toàn diện, truy vết + xét nghiệm) — tác động COVID có thể KHÁC ở VN (phong tỏa nghiêm ngặt hơn ở một số giai đoạn).</w:t>
      </w:r>
    </w:p>
    <w:p>
      <w:r>
        <w:rPr>
          <w:rFonts w:ascii="Times New Roman" w:hAnsi="Times New Roman"/>
          <w:b w:val="0"/>
          <w:color w:val="FF0000"/>
          <w:sz w:val="24"/>
        </w:rPr>
        <w:t>• Không đo screen time/MXH — yếu tố quan trọng theo Norway 2025 (QT21: MXH giải thích xu hướng) và Nature 2025 (QT27).</w:t>
      </w:r>
    </w:p>
    <w:p>
      <w:r>
        <w:rPr>
          <w:rFonts w:ascii="Times New Roman" w:hAnsi="Times New Roman"/>
          <w:b/>
          <w:color w:val="FF0000"/>
          <w:sz w:val="24"/>
        </w:rPr>
        <w:t>Khoảng trống nghiên cứu / Research Gap:</w:t>
      </w:r>
    </w:p>
    <w:p>
      <w:r>
        <w:rPr>
          <w:rFonts w:ascii="Times New Roman" w:hAnsi="Times New Roman"/>
          <w:b w:val="0"/>
          <w:color w:val="FF0000"/>
          <w:sz w:val="24"/>
        </w:rPr>
        <w:t>• VN CHƯA CÓ phân tích SKTT VTN theo thu nhập — GAP #4 cross-study. V-NAMHS 2022 thu thập SES nhưng chưa phân tích chi tiết.</w:t>
      </w:r>
    </w:p>
    <w:p>
      <w:r>
        <w:rPr>
          <w:rFonts w:ascii="Times New Roman" w:hAnsi="Times New Roman"/>
          <w:b w:val="0"/>
          <w:color w:val="FF0000"/>
          <w:sz w:val="24"/>
        </w:rPr>
        <w:t>• Cần GSHS VN phân tầng kinh tế — so sánh nhóm nghèo/giàu. Ngô Anh Vinh 2024 (VN15): DTTS 54,4% lo âu — có thể phản ánh bất bình đẳng kinh tế (DTTS = thu nhập thấp).</w:t>
      </w:r>
    </w:p>
    <w:p>
      <w:r>
        <w:rPr>
          <w:rFonts w:ascii="Times New Roman" w:hAnsi="Times New Roman"/>
          <w:b w:val="0"/>
          <w:color w:val="FF0000"/>
          <w:sz w:val="24"/>
        </w:rPr>
        <w:t>• Mô hình đảo chiều ở VN? Hoàng Trung Học 2025 (VN14): lo âu 41,5% (2021) → 25,4% (2023) — có thể giảm tương tự Hàn Quốc trước COVID. Cần theo dõi 2024–2025 xem có đảo chiều không.</w:t>
      </w:r>
    </w:p>
    <w:p>
      <w:r>
        <w:rPr>
          <w:rFonts w:ascii="Times New Roman" w:hAnsi="Times New Roman"/>
          <w:b w:val="0"/>
          <w:color w:val="FF0000"/>
          <w:sz w:val="24"/>
        </w:rPr>
        <w:t>• Chính sách SKTT học đường Hàn Quốc (Wee Center) — VN có thể học hỏi. Zhameden 2025 (QT03): 0 RCT can thiệp trường tại VN.</w:t>
      </w:r>
    </w:p>
    <w:p>
      <w:r>
        <w:rPr>
          <w:rFonts w:ascii="Times New Roman" w:hAnsi="Times New Roman"/>
          <w:b w:val="0"/>
          <w:color w:val="FF0000"/>
          <w:sz w:val="24"/>
        </w:rPr>
        <w:t>• So sánh bất bình đẳng SKTT: Hàn Quốc (5 nhóm thu nhập) vs VN (vùng miền: đô thị vs nông thôn vs DTTS). Hoa 2024 (VN01): chỉ Hà Nội đô thị; An Giang 2025 (VN18): nông thôn 61,2%.</w:t>
      </w:r>
    </w:p>
    <w:p>
      <w:r>
        <w:rPr>
          <w:rFonts w:ascii="Times New Roman" w:hAnsi="Times New Roman"/>
          <w:b w:val="0"/>
          <w:color w:val="FF0000"/>
          <w:sz w:val="24"/>
        </w:rPr>
        <w:t>• COVID và bất bình đẳng ở VN — phong tỏa TPHCM 2021 (nghiêm ngặt hơn Hàn Quốc) có thể tạo bất bình đẳng SKTT lớn hơn. Cần NC đánh giá.</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