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sz w:val="20"/>
        </w:rPr>
        <w:t>Link: https://doi.org/10.3389/fpubh.2024.1504739</w:t>
      </w:r>
    </w:p>
    <w:p>
      <w:r>
        <w:rPr>
          <w:rFonts w:ascii="Times New Roman" w:hAnsi="Times New Roman"/>
          <w:b w:val="0"/>
          <w:i w:val="0"/>
          <w:sz w:val="20"/>
        </w:rPr>
        <w:t>PMC: https://pmc.ncbi.nlm.nih.gov/articles/PMC11746110/</w:t>
      </w:r>
    </w:p>
    <w:p>
      <w:pPr>
        <w:pStyle w:val="Heading1"/>
      </w:pPr>
      <w:r>
        <w:rPr>
          <w:rFonts w:ascii="Times New Roman" w:hAnsi="Times New Roman"/>
          <w:color w:val="000000"/>
        </w:rPr>
        <w:t>Các yếu tố nguy cơ chính của rối loạn lo âu tổng quát ở thanh thiếu niên: Nghiên cứu học máy</w:t>
      </w:r>
    </w:p>
    <w:p>
      <w:r>
        <w:rPr>
          <w:rFonts w:ascii="Times New Roman" w:hAnsi="Times New Roman"/>
          <w:i/>
          <w:sz w:val="26"/>
        </w:rPr>
        <w:t>Key risk factors of generalized anxiety disorder in adolescents: machine learning study</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Key risk factors of generalized anxiety disorder in adolescents: machine learning study</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t>Các yếu tố nguy cơ chính của rối loạn lo âu tổng quát ở thanh thiếu niên: Nghiên cứu học máy</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Yonghwan Moon (1), Hyekyung Woo (1,2)*</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(1) Khoa Quản lý Y tế, ĐH Quốc gia Kongju, Hàn Quốc</w:t>
              <w:br/>
              <w:t>(2) Viện Y tế và Môi trường, ĐH Quốc gia Kongju</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Frontiers in Public Health (Q1, IF ≈ 5,2)</w:t>
            </w:r>
          </w:p>
        </w:tc>
      </w:tr>
      <w:tr>
        <w:tc>
          <w:tcPr>
            <w:tcW w:type="dxa" w:w="4702"/>
            <w:tcW w:w="1984" w:type="dxa"/>
            <w:shd w:fill="D9E2F3" w:val="clear"/>
          </w:tcPr>
          <w:p>
            <w:r>
              <w:rPr>
                <w:rFonts w:ascii="Times New Roman" w:hAnsi="Times New Roman"/>
                <w:b/>
                <w:sz w:val="20"/>
              </w:rPr>
              <w:t>Xuất bản</w:t>
            </w:r>
          </w:p>
        </w:tc>
        <w:tc>
          <w:tcPr>
            <w:tcW w:type="dxa" w:w="4702"/>
            <w:tcW w:w="7087" w:type="dxa"/>
          </w:tcPr>
          <w:p>
            <w:r>
              <w:rPr>
                <w:rFonts w:ascii="Times New Roman" w:hAnsi="Times New Roman"/>
                <w:sz w:val="20"/>
              </w:rPr>
              <w:t>2025, 9 trang</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10.3389/fpubh.2024.1504739</w:t>
            </w:r>
          </w:p>
        </w:tc>
      </w:tr>
      <w:tr>
        <w:tc>
          <w:tcPr>
            <w:tcW w:type="dxa" w:w="4702"/>
            <w:tcW w:w="1984" w:type="dxa"/>
            <w:shd w:fill="D9E2F3" w:val="clear"/>
          </w:tcPr>
          <w:p>
            <w:r>
              <w:rPr>
                <w:rFonts w:ascii="Times New Roman" w:hAnsi="Times New Roman"/>
                <w:b/>
                <w:sz w:val="20"/>
              </w:rPr>
              <w:t>Loại NC</w:t>
            </w:r>
          </w:p>
        </w:tc>
        <w:tc>
          <w:tcPr>
            <w:tcW w:type="dxa" w:w="4702"/>
            <w:tcW w:w="7087" w:type="dxa"/>
          </w:tcPr>
          <w:p>
            <w:r>
              <w:rPr>
                <w:rFonts w:ascii="Times New Roman" w:hAnsi="Times New Roman"/>
                <w:sz w:val="20"/>
              </w:rPr>
              <w:t>Phân tích dữ liệu thứ cấp — Machine Learning (LASSO, SelectKBest, XGBoost, Random Forest, ANN)</w:t>
            </w:r>
          </w:p>
        </w:tc>
      </w:tr>
      <w:tr>
        <w:tc>
          <w:tcPr>
            <w:tcW w:type="dxa" w:w="4702"/>
            <w:tcW w:w="1984" w:type="dxa"/>
            <w:shd w:fill="D9E2F3" w:val="clear"/>
          </w:tcPr>
          <w:p>
            <w:r>
              <w:rPr>
                <w:rFonts w:ascii="Times New Roman" w:hAnsi="Times New Roman"/>
                <w:b/>
                <w:sz w:val="20"/>
              </w:rPr>
              <w:t>Mẫu</w:t>
            </w:r>
          </w:p>
        </w:tc>
        <w:tc>
          <w:tcPr>
            <w:tcW w:type="dxa" w:w="4702"/>
            <w:tcW w:w="7087" w:type="dxa"/>
          </w:tcPr>
          <w:p>
            <w:r>
              <w:rPr>
                <w:rFonts w:ascii="Times New Roman" w:hAnsi="Times New Roman"/>
                <w:sz w:val="20"/>
              </w:rPr>
              <w:t>213.820 VTN Hàn Quốc (KYRBS 2020–2023); THCS 53,8% + THPT 46,2%</w:t>
            </w:r>
          </w:p>
        </w:tc>
      </w:tr>
      <w:tr>
        <w:tc>
          <w:tcPr>
            <w:tcW w:type="dxa" w:w="4702"/>
            <w:tcW w:w="1984" w:type="dxa"/>
            <w:shd w:fill="D9E2F3" w:val="clear"/>
          </w:tcPr>
          <w:p>
            <w:r>
              <w:rPr>
                <w:rFonts w:ascii="Times New Roman" w:hAnsi="Times New Roman"/>
                <w:b/>
                <w:sz w:val="20"/>
              </w:rPr>
              <w:t>Truy cập</w:t>
            </w:r>
          </w:p>
        </w:tc>
        <w:tc>
          <w:tcPr>
            <w:tcW w:type="dxa" w:w="4702"/>
            <w:tcW w:w="7087" w:type="dxa"/>
          </w:tcPr>
          <w:p>
            <w:r>
              <w:rPr>
                <w:rFonts w:ascii="Times New Roman" w:hAnsi="Times New Roman"/>
                <w:sz w:val="20"/>
              </w:rPr>
              <w:t>Open Access — Frontiers</w:t>
            </w:r>
          </w:p>
        </w:tc>
      </w:tr>
    </w:tbl>
    <w:p>
      <w:r>
        <w:rPr>
          <w:rFonts w:ascii="Times New Roman" w:hAnsi="Times New Roman"/>
          <w:i/>
          <w:color w:val="808080"/>
          <w:sz w:val="18"/>
        </w:rPr>
        <w:t>--- Trang 1–9, Frontiers in Public Health, 2025 ---</w:t>
      </w:r>
    </w:p>
    <w:p>
      <w:pPr>
        <w:pStyle w:val="Heading2"/>
      </w:pPr>
      <w:r>
        <w:rPr>
          <w:rFonts w:ascii="Times New Roman" w:hAnsi="Times New Roman"/>
          <w:color w:val="000000"/>
        </w:rPr>
        <w:t>TÓM TẮT</w:t>
      </w:r>
    </w:p>
    <w:p>
      <w:r>
        <w:rPr>
          <w:rFonts w:ascii="Times New Roman" w:hAnsi="Times New Roman"/>
          <w:b w:val="0"/>
          <w:i w:val="0"/>
          <w:sz w:val="24"/>
        </w:rPr>
        <w:t>Thanh thiếu niên trên toàn thế giới ngày càng bị ảnh hưởng bởi các rối loạn sức khỏe tâm thần, trong đó Rối loạn Lo âu Tổng quát (GAD — Generalized Anxiety Disorder) đặc biệt phổ biến. Mặc dù tác động đáng kể, GAD ở thanh thiếu niên thường bị chẩn đoán thiếu do triệu chứng mơ hồ và chậm trễ trong việc tìm kiếm hỗ trợ y tế.</w:t>
      </w:r>
    </w:p>
    <w:p>
      <w:r>
        <w:rPr>
          <w:rFonts w:ascii="Times New Roman" w:hAnsi="Times New Roman"/>
          <w:color w:val="CC0000"/>
          <w:sz w:val="24"/>
        </w:rPr>
        <w:t>Phương pháp: Sử dụng dữ liệu KYRBS (Korea Youth Risk Behavior Web-based Survey) 2020–2023 để phân tích các yếu tố ảnh hưởng đến GAD ở VTN. Kỹ thuật học máy: Hồi quy Lasso, SelectKBest, và XGBoost để chọn đặc trưng. Mô hình dự đoán: Random Forest và Mạng Nơ-ron Nhân tạo (ANN). SMOTE xử lý mất cân bằng. n = 213.820 VTN (THCS 53,8% + THPT 46,2%). GAD đo bằng GAD-7 ≥ 10.</w:t>
      </w:r>
    </w:p>
    <w:p>
      <w:r>
        <w:rPr>
          <w:rFonts w:ascii="Times New Roman" w:hAnsi="Times New Roman"/>
          <w:color w:val="CC0000"/>
          <w:sz w:val="24"/>
        </w:rPr>
        <w:t>Kết quả: GAD prevalence = 17,9%. Top yếu tố: (1) Cô đơn — LASSO 0,23, F-score 16.646, XGBoost gain 0,29 (MẠNH NHẤT cả 3 thuật toán); (2) Stress — 0,10, 6.589; (3) Nhận thức sức khỏe chủ quan kém; (4) Phục hồi giấc ngủ kém; (5) Bạo lực. RF (XGBoost features): accuracy 78%, AUC 82%, sensitivity 64%. ANN: accuracy 80%, AUC 81%.</w:t>
      </w:r>
    </w:p>
    <w:p>
      <w:r>
        <w:rPr>
          <w:rFonts w:ascii="Times New Roman" w:hAnsi="Times New Roman"/>
          <w:b w:val="0"/>
          <w:i w:val="0"/>
          <w:sz w:val="24"/>
        </w:rPr>
        <w:t>Kết luận: Các phát hiện nhấn mạnh nhu cầu chương trình giáo dục tập trung vào quản lý giấc ngủ, phòng ngừa hút thuốc, và dinh dưỡng cân bằng để giảm nguy cơ GAD ở VTN.</w:t>
      </w:r>
    </w:p>
    <w:p>
      <w:r>
        <w:rPr>
          <w:rFonts w:ascii="Times New Roman" w:hAnsi="Times New Roman"/>
          <w:b w:val="0"/>
          <w:i w:val="0"/>
          <w:sz w:val="24"/>
        </w:rPr>
        <w:t>Từ khóa: thanh thiếu niên, sức khỏe tâm thần, rối loạn lo âu tổng quát, học máy, hành vi sức khỏe.</w:t>
      </w:r>
    </w:p>
    <w:p>
      <w:pPr>
        <w:pStyle w:val="Heading2"/>
      </w:pPr>
      <w:r>
        <w:rPr>
          <w:rFonts w:ascii="Times New Roman" w:hAnsi="Times New Roman"/>
          <w:color w:val="000000"/>
        </w:rPr>
        <w:t>TÓM TẮT ĐÁNH GIÁ NHANH</w:t>
      </w:r>
    </w:p>
    <w:p>
      <w:r>
        <w:rPr>
          <w:rFonts w:ascii="Times New Roman" w:hAnsi="Times New Roman"/>
          <w:b w:val="0"/>
          <w:i w:val="0"/>
          <w:sz w:val="24"/>
        </w:rPr>
        <w:t>• Frontiers in Public Health Q1 IF ≈ 5,2. Machine Learning — phương pháp MỚI trong NC GAD VTN.</w:t>
      </w:r>
    </w:p>
    <w:p>
      <w:r>
        <w:rPr>
          <w:rFonts w:ascii="Times New Roman" w:hAnsi="Times New Roman"/>
          <w:b w:val="0"/>
          <w:i w:val="0"/>
          <w:sz w:val="24"/>
        </w:rPr>
        <w:t>• Mẫu CỰC LỚN: 213.820 VTN Hàn Quốc (KYRBS 2020–2023).</w:t>
      </w:r>
    </w:p>
    <w:p>
      <w:r>
        <w:rPr>
          <w:rFonts w:ascii="Times New Roman" w:hAnsi="Times New Roman"/>
          <w:b w:val="0"/>
          <w:i w:val="0"/>
          <w:sz w:val="24"/>
        </w:rPr>
        <w:t>• GAD-7 đo lo âu TỔNG QUÁT riêng (không gộp chung DAS) — chính xác hơn DASS-21.</w:t>
      </w:r>
    </w:p>
    <w:p>
      <w:r>
        <w:rPr>
          <w:rFonts w:ascii="Times New Roman" w:hAnsi="Times New Roman"/>
          <w:b w:val="0"/>
          <w:i w:val="0"/>
          <w:sz w:val="24"/>
        </w:rPr>
        <w:t>• CÔ ĐƠN xếp hạng 1 — phát hiện quan trọng, vượt trội stress và giấc ngủ.</w:t>
      </w:r>
    </w:p>
    <w:p>
      <w:r>
        <w:rPr>
          <w:rFonts w:ascii="Times New Roman" w:hAnsi="Times New Roman"/>
          <w:b w:val="0"/>
          <w:i w:val="0"/>
          <w:sz w:val="24"/>
        </w:rPr>
        <w:t>• HÀNH VI SỨC KHỎ (giấc ngủ, hút thuốc, thức ăn nhanh) — yếu tố CÓ THỂ CAN THIỆP.</w:t>
      </w:r>
    </w:p>
    <w:p>
      <w:r>
        <w:rPr>
          <w:rFonts w:ascii="Times New Roman" w:hAnsi="Times New Roman"/>
          <w:b w:val="0"/>
          <w:i w:val="0"/>
          <w:sz w:val="24"/>
        </w:rPr>
        <w:t>• THCS 53,8% + THPT 46,2% — bao phủ CẢ cấp 2 và cấp 3.</w:t>
      </w:r>
    </w:p>
    <w:p>
      <w:r>
        <w:rPr>
          <w:rFonts w:ascii="Times New Roman" w:hAnsi="Times New Roman"/>
          <w:b w:val="0"/>
          <w:i w:val="0"/>
          <w:sz w:val="24"/>
        </w:rPr>
        <w:t>• 3 thuật toán chọn đặc trưng + 2 mô hình = 6 tổ hợp — so sánh đa phương pháp.</w:t>
      </w:r>
    </w:p>
    <w:p>
      <w:r>
        <w:rPr>
          <w:rFonts w:ascii="Times New Roman" w:hAnsi="Times New Roman"/>
          <w:b/>
          <w:i w:val="0"/>
          <w:sz w:val="24"/>
        </w:rPr>
        <w:t>Hạn chế:</w:t>
      </w:r>
    </w:p>
    <w:p>
      <w:r>
        <w:rPr>
          <w:rFonts w:ascii="Times New Roman" w:hAnsi="Times New Roman"/>
          <w:b w:val="0"/>
          <w:i w:val="0"/>
          <w:sz w:val="24"/>
        </w:rPr>
        <w:t>• Chỉ Hàn Quốc — khác VN về giáo dục, kinh tế, văn hóa.</w:t>
      </w:r>
    </w:p>
    <w:p>
      <w:r>
        <w:rPr>
          <w:rFonts w:ascii="Times New Roman" w:hAnsi="Times New Roman"/>
          <w:b w:val="0"/>
          <w:i w:val="0"/>
          <w:sz w:val="24"/>
        </w:rPr>
        <w:t>• Cắt ngang — ML xác định yếu tố liên quan, KHÔNG phải nhân quả.</w:t>
      </w:r>
    </w:p>
    <w:p>
      <w:r>
        <w:rPr>
          <w:rFonts w:ascii="Times New Roman" w:hAnsi="Times New Roman"/>
          <w:b w:val="0"/>
          <w:i w:val="0"/>
          <w:sz w:val="24"/>
        </w:rPr>
        <w:t>• SMOTE có thể gây overfitting. Sensitivity chỉ 64% (36% bỏ sót).</w:t>
      </w:r>
    </w:p>
    <w:p>
      <w:r>
        <w:rPr>
          <w:rFonts w:ascii="Times New Roman" w:hAnsi="Times New Roman"/>
          <w:b w:val="0"/>
          <w:i w:val="0"/>
          <w:sz w:val="24"/>
        </w:rPr>
        <w:t>• Không đo: áp lực học tập cụ thể (ESSA), screen time/MXH, ACEs.</w:t>
      </w:r>
    </w:p>
    <w:p>
      <w:r>
        <w:rPr>
          <w:rFonts w:ascii="Times New Roman" w:hAnsi="Times New Roman"/>
          <w:i/>
          <w:color w:val="808080"/>
          <w:sz w:val="18"/>
        </w:rPr>
        <w:t>--- Trang 1–2, Frontiers in Public Health, 2025 ---</w:t>
      </w:r>
    </w:p>
    <w:p>
      <w:pPr>
        <w:pStyle w:val="Heading2"/>
      </w:pPr>
      <w:r>
        <w:rPr>
          <w:rFonts w:ascii="Times New Roman" w:hAnsi="Times New Roman"/>
          <w:color w:val="000000"/>
        </w:rPr>
        <w:t>1. GIỚI THIỆU</w:t>
      </w:r>
    </w:p>
    <w:p>
      <w:r>
        <w:rPr>
          <w:rFonts w:ascii="Times New Roman" w:hAnsi="Times New Roman"/>
          <w:b w:val="0"/>
          <w:i w:val="0"/>
          <w:sz w:val="24"/>
        </w:rPr>
        <w:t>Theo WHO, 14% VTN trên toàn thế giới trải nghiệm rối loạn tâm thần. Quản lý không đầy đủ có thể dẫn đến gián đoạn nghiêm trọng chức năng xã hội, với hậu quả như tự tử. Trong các rối loạn tâm thần, rối loạn lo âu đặc biệt phổ biến: 3,6% ở nhóm 10–14 tuổi và 4,6% ở nhóm 15–19 tuổi — tỷ lệ cao hơn ADHD và trầm cảm.</w:t>
      </w:r>
    </w:p>
    <w:p>
      <w:r>
        <w:rPr>
          <w:rFonts w:ascii="Times New Roman" w:hAnsi="Times New Roman"/>
          <w:b w:val="0"/>
          <w:i w:val="0"/>
          <w:sz w:val="24"/>
        </w:rPr>
        <w:t>Rối loạn Lo âu Tổng quát (GAD) thường xuất hiện trong tuổi VTN và được đặc trưng bởi lo lắng và lo âu dai dẳng trong cuộc sống hàng ngày. Theo DSM-5, GAD được chẩn đoán khi lo âu quá mức kéo dài ít nhất 6 tháng, kèm triệu chứng: bồn chồn, dễ mệt, khó tập trung, cáu gắt, căng cơ, rối loạn giấc ngủ. Nếu không được quản lý, GAD có thể cản trở tăng trưởng và phát triển suốt đời.</w:t>
      </w:r>
    </w:p>
    <w:p>
      <w:r>
        <w:rPr>
          <w:rFonts w:ascii="Times New Roman" w:hAnsi="Times New Roman"/>
          <w:b w:val="0"/>
          <w:i w:val="0"/>
          <w:sz w:val="24"/>
        </w:rPr>
        <w:t>Nhiều yếu tố ảnh hưởng GAD ở VTN đã được báo cáo: giới tính, tình trạng kinh tế xã hội, stress, nhận thức sức khỏe chủ quan. Gần đây, học máy (ML) nổi lên như công cụ biến đổi trong NC SKTT. ML đã phân biệt GAD và SAD với độ chính xác lên đến 94% bằng fMRI. Tuy nhiên, ứng dụng ML trong hiểu yếu tố nguy cơ GAD riêng ở VTN vẫn chưa được khám phá đầy đủ.</w:t>
      </w:r>
    </w:p>
    <w:p>
      <w:r>
        <w:rPr>
          <w:rFonts w:ascii="Times New Roman" w:hAnsi="Times New Roman"/>
          <w:b w:val="0"/>
          <w:i w:val="0"/>
          <w:sz w:val="24"/>
        </w:rPr>
        <w:t>Nghiên cứu này điều tra các yếu tố liên quan đến GAD ở VTN sử dụng dữ liệu KYRBS từ 2020 đến 2023, áp dụng ML để xác định các yếu tố chính và phát triển mô hình dự đoán.</w:t>
      </w:r>
    </w:p>
    <w:p>
      <w:r>
        <w:rPr>
          <w:rFonts w:ascii="Times New Roman" w:hAnsi="Times New Roman"/>
          <w:i/>
          <w:color w:val="808080"/>
          <w:sz w:val="18"/>
        </w:rPr>
        <w:t>--- Trang 2–3, Frontiers in Public Health, 2025 ---</w:t>
      </w:r>
    </w:p>
    <w:p>
      <w:pPr>
        <w:pStyle w:val="Heading2"/>
      </w:pPr>
      <w:r>
        <w:rPr>
          <w:rFonts w:ascii="Times New Roman" w:hAnsi="Times New Roman"/>
          <w:color w:val="000000"/>
        </w:rPr>
        <w:t>2. PHƯƠNG PHÁP</w:t>
      </w:r>
    </w:p>
    <w:p>
      <w:r>
        <w:rPr>
          <w:rFonts w:ascii="Times New Roman" w:hAnsi="Times New Roman"/>
          <w:b/>
          <w:i w:val="0"/>
          <w:sz w:val="24"/>
        </w:rPr>
        <w:t>2.1. Dữ liệu</w:t>
      </w:r>
    </w:p>
    <w:p>
      <w:r>
        <w:rPr>
          <w:rFonts w:ascii="Times New Roman" w:hAnsi="Times New Roman"/>
          <w:b w:val="0"/>
          <w:i w:val="0"/>
          <w:sz w:val="24"/>
        </w:rPr>
        <w:t>KYRBS 2020–2023, quản lý bởi KDCA (Korea Disease Control and Prevention Agency) và Bộ Giáo dục Hàn Quốc. Khảo sát trực tuyến tự báo cáo, đại diện quốc gia. N = 214.344 → loại 524 (báo cáo 0 giờ ngủ) → n = 213.820. Dữ liệu công khai tại https://www.kdca.go.kr/yhs/.</w:t>
      </w:r>
    </w:p>
    <w:p>
      <w:r>
        <w:rPr>
          <w:rFonts w:ascii="Times New Roman" w:hAnsi="Times New Roman"/>
          <w:b/>
          <w:i w:val="0"/>
          <w:sz w:val="24"/>
        </w:rPr>
        <w:t>2.2. Biến phụ thuộc</w:t>
      </w:r>
    </w:p>
    <w:p>
      <w:r>
        <w:rPr>
          <w:rFonts w:ascii="Times New Roman" w:hAnsi="Times New Roman"/>
          <w:b w:val="0"/>
          <w:i w:val="0"/>
          <w:sz w:val="24"/>
        </w:rPr>
        <w:t>GAD đo bằng GAD-7 (Spitzer et al., 2006). Nhóm nguy cơ cao: GAD-7 ≥ 10 (moderate–severe). Tỷ lệ: 17,9% (38.288/213.820). Nhóm nguy cơ thấp: 82,1% (175.532).</w:t>
      </w:r>
    </w:p>
    <w:p>
      <w:r>
        <w:rPr>
          <w:rFonts w:ascii="Times New Roman" w:hAnsi="Times New Roman"/>
          <w:b/>
          <w:i w:val="0"/>
          <w:sz w:val="24"/>
        </w:rPr>
        <w:t>2.3. Biến độc lập</w:t>
      </w:r>
    </w:p>
    <w:p>
      <w:r>
        <w:rPr>
          <w:rFonts w:ascii="Times New Roman" w:hAnsi="Times New Roman"/>
          <w:b w:val="0"/>
          <w:i w:val="0"/>
          <w:sz w:val="24"/>
        </w:rPr>
        <w:t>Nhân khẩu: giới tính, khối (THCS/THPT), kinh tế chủ quan, học lực chủ quan, tình trạng sống, học vấn cha mẹ. Sức khỏe: sức khỏe chủ quan, phục hồi giấc ngủ, thức ăn nhanh, nước, hút thuốc, rượu, bạo lực, viêm mũi dị ứng, stress, cô đơn, kinh nghiệm tình dục, giấc ngủ cuối tuần.</w:t>
      </w:r>
    </w:p>
    <w:p>
      <w:r>
        <w:rPr>
          <w:rFonts w:ascii="Times New Roman" w:hAnsi="Times New Roman"/>
          <w:b/>
          <w:i w:val="0"/>
          <w:sz w:val="24"/>
        </w:rPr>
        <w:t>2.4. SMOTE</w:t>
      </w:r>
    </w:p>
    <w:p>
      <w:r>
        <w:rPr>
          <w:rFonts w:ascii="Times New Roman" w:hAnsi="Times New Roman"/>
          <w:b w:val="0"/>
          <w:i w:val="0"/>
          <w:sz w:val="24"/>
        </w:rPr>
        <w:t>SMOTE được áp dụng để xử lý mất cân bằng lớp (17,9% GAD vs 82,1% không GAD). SMOTE tạo mẫu tổng hợp cho lớp thiểu số. Để giảm overfitting, sử dụng chỉ số sensitivity, precision, và các phương pháp regularization (LASSO) + ensemble (RF).</w:t>
      </w:r>
    </w:p>
    <w:p>
      <w:r>
        <w:rPr>
          <w:rFonts w:ascii="Times New Roman" w:hAnsi="Times New Roman"/>
          <w:b/>
          <w:i w:val="0"/>
          <w:sz w:val="24"/>
        </w:rPr>
        <w:t>2.5. Chọn đặc trưng</w:t>
      </w:r>
    </w:p>
    <w:p>
      <w:r>
        <w:rPr>
          <w:rFonts w:ascii="Times New Roman" w:hAnsi="Times New Roman"/>
          <w:b w:val="0"/>
          <w:i w:val="0"/>
          <w:sz w:val="24"/>
        </w:rPr>
        <w:t>(1) LASSO — giảm đa cộng tuyến, hệ số 0 cho biến không liên quan. (2) SelectKBest — ưu tiên biến tương quan mạnh nhất. (3) XGBoost — phát hiện quan hệ phi tuyến và tương tác giữa biến.</w:t>
      </w:r>
    </w:p>
    <w:p>
      <w:r>
        <w:rPr>
          <w:rFonts w:ascii="Times New Roman" w:hAnsi="Times New Roman"/>
          <w:b/>
          <w:i w:val="0"/>
          <w:sz w:val="24"/>
        </w:rPr>
        <w:t>2.6. Mô hình dự đoán</w:t>
      </w:r>
    </w:p>
    <w:p>
      <w:r>
        <w:rPr>
          <w:rFonts w:ascii="Times New Roman" w:hAnsi="Times New Roman"/>
          <w:b w:val="0"/>
          <w:i w:val="0"/>
          <w:sz w:val="24"/>
        </w:rPr>
        <w:t>Random Forest (RF) và Mạng Nơ-ron Nhân tạo (ANN). Tối ưu siêu tham số bằng grid search. 5-fold cross-validation. RF: max_depth=None, max_features=sqrt, min_samples_leaf=2, n_estimators=200. ANN: 2 hidden layers (64, 32), activation=relu, optimizer=adam, epochs=50.</w:t>
      </w:r>
    </w:p>
    <w:p>
      <w:r>
        <w:rPr>
          <w:rFonts w:ascii="Times New Roman" w:hAnsi="Times New Roman"/>
          <w:i/>
          <w:color w:val="808080"/>
          <w:sz w:val="18"/>
        </w:rPr>
        <w:t>--- Trang 3–6, Frontiers in Public Health, 2025 ---</w:t>
      </w:r>
    </w:p>
    <w:p>
      <w:pPr>
        <w:pStyle w:val="Heading2"/>
      </w:pPr>
      <w:r>
        <w:rPr>
          <w:rFonts w:ascii="Times New Roman" w:hAnsi="Times New Roman"/>
          <w:color w:val="000000"/>
        </w:rPr>
        <w:t>3. KẾT QUẢ</w:t>
      </w:r>
    </w:p>
    <w:p>
      <w:r>
        <w:rPr>
          <w:rFonts w:ascii="Times New Roman" w:hAnsi="Times New Roman"/>
          <w:b/>
          <w:i w:val="0"/>
          <w:sz w:val="24"/>
        </w:rPr>
        <w:t>3.1. Đặc điểm mẫu (n = 213.820)</w:t>
      </w:r>
    </w:p>
    <w:p>
      <w:r>
        <w:rPr>
          <w:rFonts w:ascii="Times New Roman" w:hAnsi="Times New Roman"/>
          <w:b w:val="0"/>
          <w:i w:val="0"/>
          <w:sz w:val="24"/>
        </w:rPr>
        <w:t>Nam 61,8% (132.211), nữ 38,2% (81.609). THCS 53,8% (114.966), THPT 46,2% (98.854). Kinh tế chủ quan: cao 12,0%, trung bình 47,4%, thấp 40,7%. Học lực chủ quan: cao 37,5%, trung bình 30,0%, thấp 32,2%. Sống cùng gia đình 95,2%. Học vấn cha: ĐH+ 44,4%, THPT 16,2%, dưới THCS 1,0%. Sức khỏe chủ quan: cao 65,7%, trung bình 25,1%, thấp 9,3%. Phục hồi giấc ngủ không đầy đủ 41,1%. Thức ăn nhanh 1–2 lần/tuần 56,9%. Hút thuốc 9,3%. Bạo lực 9,4%. Viêm mũi dị ứng 41,6%. Stress cao 81,2%. Cô đơn 52,6%. Kinh nghiệm tình dục 27,0%. GAD prevalence 17,9%.</w:t>
      </w:r>
    </w:p>
    <w:p>
      <w:pPr>
        <w:pStyle w:val="Heading3"/>
      </w:pPr>
      <w:r>
        <w:rPr>
          <w:rFonts w:ascii="Times New Roman" w:hAnsi="Times New Roman"/>
          <w:color w:val="000000"/>
        </w:rPr>
        <w:t>Bảng 1. Top 11 yếu tố nguy cơ GAD — Machine Learning</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tcW w:w="453" w:type="dxa"/>
            <w:shd w:fill="D9E2F3" w:val="clear"/>
          </w:tcPr>
          <w:p>
            <w:pPr>
              <w:jc w:val="center"/>
            </w:pPr>
            <w:r>
              <w:rPr>
                <w:rFonts w:ascii="Times New Roman" w:hAnsi="Times New Roman"/>
                <w:b/>
                <w:sz w:val="20"/>
              </w:rPr>
              <w:t>Hạng</w:t>
            </w:r>
          </w:p>
        </w:tc>
        <w:tc>
          <w:tcPr>
            <w:tcW w:type="dxa" w:w="1567"/>
            <w:tcW w:w="1984" w:type="dxa"/>
            <w:shd w:fill="D9E2F3" w:val="clear"/>
          </w:tcPr>
          <w:p>
            <w:pPr>
              <w:jc w:val="center"/>
            </w:pPr>
            <w:r>
              <w:rPr>
                <w:rFonts w:ascii="Times New Roman" w:hAnsi="Times New Roman"/>
                <w:b/>
                <w:sz w:val="20"/>
              </w:rPr>
              <w:t>Yếu tố</w:t>
            </w:r>
          </w:p>
        </w:tc>
        <w:tc>
          <w:tcPr>
            <w:tcW w:type="dxa" w:w="1567"/>
            <w:tcW w:w="1134" w:type="dxa"/>
            <w:shd w:fill="D9E2F3" w:val="clear"/>
          </w:tcPr>
          <w:p>
            <w:pPr>
              <w:jc w:val="center"/>
            </w:pPr>
            <w:r>
              <w:rPr>
                <w:rFonts w:ascii="Times New Roman" w:hAnsi="Times New Roman"/>
                <w:b/>
                <w:sz w:val="20"/>
              </w:rPr>
              <w:t>LASSO Coef.</w:t>
            </w:r>
          </w:p>
        </w:tc>
        <w:tc>
          <w:tcPr>
            <w:tcW w:type="dxa" w:w="1567"/>
            <w:tcW w:w="1417" w:type="dxa"/>
            <w:shd w:fill="D9E2F3" w:val="clear"/>
          </w:tcPr>
          <w:p>
            <w:pPr>
              <w:jc w:val="center"/>
            </w:pPr>
            <w:r>
              <w:rPr>
                <w:rFonts w:ascii="Times New Roman" w:hAnsi="Times New Roman"/>
                <w:b/>
                <w:sz w:val="20"/>
              </w:rPr>
              <w:t>SelectKBest F</w:t>
            </w:r>
          </w:p>
        </w:tc>
        <w:tc>
          <w:tcPr>
            <w:tcW w:type="dxa" w:w="1567"/>
            <w:tcW w:w="1134" w:type="dxa"/>
            <w:shd w:fill="D9E2F3" w:val="clear"/>
          </w:tcPr>
          <w:p>
            <w:pPr>
              <w:jc w:val="center"/>
            </w:pPr>
            <w:r>
              <w:rPr>
                <w:rFonts w:ascii="Times New Roman" w:hAnsi="Times New Roman"/>
                <w:b/>
                <w:sz w:val="20"/>
              </w:rPr>
              <w:t>XGBoost Gain</w:t>
            </w:r>
          </w:p>
        </w:tc>
        <w:tc>
          <w:tcPr>
            <w:tcW w:type="dxa" w:w="1567"/>
            <w:tcW w:w="1984" w:type="dxa"/>
            <w:shd w:fill="D9E2F3" w:val="clear"/>
          </w:tcPr>
          <w:p>
            <w:pPr>
              <w:jc w:val="center"/>
            </w:pPr>
            <w:r>
              <w:rPr>
                <w:rFonts w:ascii="Times New Roman" w:hAnsi="Times New Roman"/>
                <w:b/>
                <w:sz w:val="20"/>
              </w:rPr>
              <w:t>Ý nghĩa</w:t>
            </w:r>
          </w:p>
        </w:tc>
      </w:tr>
      <w:tr>
        <w:tc>
          <w:tcPr>
            <w:tcW w:type="dxa" w:w="1567"/>
            <w:tcW w:w="453" w:type="dxa"/>
          </w:tcPr>
          <w:p>
            <w:r>
              <w:rPr>
                <w:rFonts w:ascii="Times New Roman" w:hAnsi="Times New Roman"/>
                <w:sz w:val="20"/>
              </w:rPr>
              <w:t>1</w:t>
            </w:r>
          </w:p>
        </w:tc>
        <w:tc>
          <w:tcPr>
            <w:tcW w:type="dxa" w:w="1567"/>
            <w:tcW w:w="1984" w:type="dxa"/>
          </w:tcPr>
          <w:p>
            <w:r>
              <w:rPr>
                <w:rFonts w:ascii="Times New Roman" w:hAnsi="Times New Roman"/>
                <w:sz w:val="20"/>
              </w:rPr>
              <w:t>Cô đơn</w:t>
            </w:r>
          </w:p>
        </w:tc>
        <w:tc>
          <w:tcPr>
            <w:tcW w:type="dxa" w:w="1567"/>
            <w:tcW w:w="1134" w:type="dxa"/>
          </w:tcPr>
          <w:p>
            <w:r>
              <w:rPr>
                <w:rFonts w:ascii="Times New Roman" w:hAnsi="Times New Roman"/>
                <w:sz w:val="20"/>
              </w:rPr>
              <w:t>0,23</w:t>
            </w:r>
          </w:p>
        </w:tc>
        <w:tc>
          <w:tcPr>
            <w:tcW w:type="dxa" w:w="1567"/>
            <w:tcW w:w="1417" w:type="dxa"/>
          </w:tcPr>
          <w:p>
            <w:r>
              <w:rPr>
                <w:rFonts w:ascii="Times New Roman" w:hAnsi="Times New Roman"/>
                <w:sz w:val="20"/>
              </w:rPr>
              <w:t>16.646</w:t>
            </w:r>
          </w:p>
        </w:tc>
        <w:tc>
          <w:tcPr>
            <w:tcW w:type="dxa" w:w="1567"/>
            <w:tcW w:w="1134" w:type="dxa"/>
          </w:tcPr>
          <w:p>
            <w:r>
              <w:rPr>
                <w:rFonts w:ascii="Times New Roman" w:hAnsi="Times New Roman"/>
                <w:sz w:val="20"/>
              </w:rPr>
              <w:t>0,29</w:t>
            </w:r>
          </w:p>
        </w:tc>
        <w:tc>
          <w:tcPr>
            <w:tcW w:type="dxa" w:w="1567"/>
            <w:tcW w:w="1984" w:type="dxa"/>
          </w:tcPr>
          <w:p>
            <w:r>
              <w:rPr>
                <w:rFonts w:ascii="Times New Roman" w:hAnsi="Times New Roman"/>
                <w:sz w:val="20"/>
              </w:rPr>
              <w:t>MẠNH NHẤT — cả 3 thuật toán</w:t>
            </w:r>
          </w:p>
        </w:tc>
      </w:tr>
      <w:tr>
        <w:tc>
          <w:tcPr>
            <w:tcW w:type="dxa" w:w="1567"/>
            <w:tcW w:w="453" w:type="dxa"/>
          </w:tcPr>
          <w:p>
            <w:r>
              <w:rPr>
                <w:rFonts w:ascii="Times New Roman" w:hAnsi="Times New Roman"/>
                <w:sz w:val="20"/>
              </w:rPr>
              <w:t>2</w:t>
            </w:r>
          </w:p>
        </w:tc>
        <w:tc>
          <w:tcPr>
            <w:tcW w:type="dxa" w:w="1567"/>
            <w:tcW w:w="1984" w:type="dxa"/>
          </w:tcPr>
          <w:p>
            <w:r>
              <w:rPr>
                <w:rFonts w:ascii="Times New Roman" w:hAnsi="Times New Roman"/>
                <w:sz w:val="20"/>
              </w:rPr>
              <w:t>Stress</w:t>
            </w:r>
          </w:p>
        </w:tc>
        <w:tc>
          <w:tcPr>
            <w:tcW w:type="dxa" w:w="1567"/>
            <w:tcW w:w="1134" w:type="dxa"/>
          </w:tcPr>
          <w:p>
            <w:r>
              <w:rPr>
                <w:rFonts w:ascii="Times New Roman" w:hAnsi="Times New Roman"/>
                <w:sz w:val="20"/>
              </w:rPr>
              <w:t>0,10</w:t>
            </w:r>
          </w:p>
        </w:tc>
        <w:tc>
          <w:tcPr>
            <w:tcW w:type="dxa" w:w="1567"/>
            <w:tcW w:w="1417" w:type="dxa"/>
          </w:tcPr>
          <w:p>
            <w:r>
              <w:rPr>
                <w:rFonts w:ascii="Times New Roman" w:hAnsi="Times New Roman"/>
                <w:sz w:val="20"/>
              </w:rPr>
              <w:t>6.589</w:t>
            </w:r>
          </w:p>
        </w:tc>
        <w:tc>
          <w:tcPr>
            <w:tcW w:type="dxa" w:w="1567"/>
            <w:tcW w:w="1134" w:type="dxa"/>
          </w:tcPr>
          <w:p>
            <w:r>
              <w:rPr>
                <w:rFonts w:ascii="Times New Roman" w:hAnsi="Times New Roman"/>
                <w:sz w:val="20"/>
              </w:rPr>
              <w:t>0,07</w:t>
            </w:r>
          </w:p>
        </w:tc>
        <w:tc>
          <w:tcPr>
            <w:tcW w:type="dxa" w:w="1567"/>
            <w:tcW w:w="1984" w:type="dxa"/>
          </w:tcPr>
          <w:p>
            <w:r>
              <w:rPr>
                <w:rFonts w:ascii="Times New Roman" w:hAnsi="Times New Roman"/>
                <w:sz w:val="20"/>
              </w:rPr>
              <w:t>Nhất quán</w:t>
            </w:r>
          </w:p>
        </w:tc>
      </w:tr>
      <w:tr>
        <w:tc>
          <w:tcPr>
            <w:tcW w:type="dxa" w:w="1567"/>
            <w:tcW w:w="453" w:type="dxa"/>
          </w:tcPr>
          <w:p>
            <w:r>
              <w:rPr>
                <w:rFonts w:ascii="Times New Roman" w:hAnsi="Times New Roman"/>
                <w:sz w:val="20"/>
              </w:rPr>
              <w:t>3</w:t>
            </w:r>
          </w:p>
        </w:tc>
        <w:tc>
          <w:tcPr>
            <w:tcW w:type="dxa" w:w="1567"/>
            <w:tcW w:w="1984" w:type="dxa"/>
          </w:tcPr>
          <w:p>
            <w:r>
              <w:rPr>
                <w:rFonts w:ascii="Times New Roman" w:hAnsi="Times New Roman"/>
                <w:sz w:val="20"/>
              </w:rPr>
              <w:t>Nhận thức sức khỏe kém</w:t>
            </w:r>
          </w:p>
        </w:tc>
        <w:tc>
          <w:tcPr>
            <w:tcW w:type="dxa" w:w="1567"/>
            <w:tcW w:w="1134" w:type="dxa"/>
          </w:tcPr>
          <w:p>
            <w:r>
              <w:rPr>
                <w:rFonts w:ascii="Times New Roman" w:hAnsi="Times New Roman"/>
                <w:sz w:val="20"/>
              </w:rPr>
              <w:t>0,12</w:t>
            </w:r>
          </w:p>
        </w:tc>
        <w:tc>
          <w:tcPr>
            <w:tcW w:type="dxa" w:w="1567"/>
            <w:tcW w:w="1417" w:type="dxa"/>
          </w:tcPr>
          <w:p>
            <w:r>
              <w:rPr>
                <w:rFonts w:ascii="Times New Roman" w:hAnsi="Times New Roman"/>
                <w:sz w:val="20"/>
              </w:rPr>
              <w:t>6.782</w:t>
            </w:r>
          </w:p>
        </w:tc>
        <w:tc>
          <w:tcPr>
            <w:tcW w:type="dxa" w:w="1567"/>
            <w:tcW w:w="1134" w:type="dxa"/>
          </w:tcPr>
          <w:p>
            <w:r>
              <w:rPr>
                <w:rFonts w:ascii="Times New Roman" w:hAnsi="Times New Roman"/>
                <w:sz w:val="20"/>
              </w:rPr>
              <w:t>0,04</w:t>
            </w:r>
          </w:p>
        </w:tc>
        <w:tc>
          <w:tcPr>
            <w:tcW w:type="dxa" w:w="1567"/>
            <w:tcW w:w="1984" w:type="dxa"/>
          </w:tcPr>
          <w:p>
            <w:r>
              <w:rPr>
                <w:rFonts w:ascii="Times New Roman" w:hAnsi="Times New Roman"/>
                <w:sz w:val="20"/>
              </w:rPr>
            </w:r>
          </w:p>
        </w:tc>
      </w:tr>
      <w:tr>
        <w:tc>
          <w:tcPr>
            <w:tcW w:type="dxa" w:w="1567"/>
            <w:tcW w:w="453" w:type="dxa"/>
          </w:tcPr>
          <w:p>
            <w:r>
              <w:rPr>
                <w:rFonts w:ascii="Times New Roman" w:hAnsi="Times New Roman"/>
                <w:sz w:val="20"/>
              </w:rPr>
              <w:t>4</w:t>
            </w:r>
          </w:p>
        </w:tc>
        <w:tc>
          <w:tcPr>
            <w:tcW w:type="dxa" w:w="1567"/>
            <w:tcW w:w="1984" w:type="dxa"/>
          </w:tcPr>
          <w:p>
            <w:r>
              <w:rPr>
                <w:rFonts w:ascii="Times New Roman" w:hAnsi="Times New Roman"/>
                <w:sz w:val="20"/>
              </w:rPr>
              <w:t>Phục hồi giấc ngủ kém</w:t>
            </w:r>
          </w:p>
        </w:tc>
        <w:tc>
          <w:tcPr>
            <w:tcW w:type="dxa" w:w="1567"/>
            <w:tcW w:w="1134" w:type="dxa"/>
          </w:tcPr>
          <w:p>
            <w:r>
              <w:rPr>
                <w:rFonts w:ascii="Times New Roman" w:hAnsi="Times New Roman"/>
                <w:sz w:val="20"/>
              </w:rPr>
              <w:t>0,10</w:t>
            </w:r>
          </w:p>
        </w:tc>
        <w:tc>
          <w:tcPr>
            <w:tcW w:type="dxa" w:w="1567"/>
            <w:tcW w:w="1417" w:type="dxa"/>
          </w:tcPr>
          <w:p>
            <w:r>
              <w:rPr>
                <w:rFonts w:ascii="Times New Roman" w:hAnsi="Times New Roman"/>
                <w:sz w:val="20"/>
              </w:rPr>
              <w:t>5.081</w:t>
            </w:r>
          </w:p>
        </w:tc>
        <w:tc>
          <w:tcPr>
            <w:tcW w:type="dxa" w:w="1567"/>
            <w:tcW w:w="1134" w:type="dxa"/>
          </w:tcPr>
          <w:p>
            <w:r>
              <w:rPr>
                <w:rFonts w:ascii="Times New Roman" w:hAnsi="Times New Roman"/>
                <w:sz w:val="20"/>
              </w:rPr>
              <w:t>0,02</w:t>
            </w:r>
          </w:p>
        </w:tc>
        <w:tc>
          <w:tcPr>
            <w:tcW w:type="dxa" w:w="1567"/>
            <w:tcW w:w="1984" w:type="dxa"/>
          </w:tcPr>
          <w:p>
            <w:r>
              <w:rPr>
                <w:rFonts w:ascii="Times New Roman" w:hAnsi="Times New Roman"/>
                <w:sz w:val="20"/>
              </w:rPr>
              <w:t>Phù hợp Zhu 2025 (QT05)</w:t>
            </w:r>
          </w:p>
        </w:tc>
      </w:tr>
      <w:tr>
        <w:tc>
          <w:tcPr>
            <w:tcW w:type="dxa" w:w="1567"/>
            <w:tcW w:w="453" w:type="dxa"/>
          </w:tcPr>
          <w:p>
            <w:r>
              <w:rPr>
                <w:rFonts w:ascii="Times New Roman" w:hAnsi="Times New Roman"/>
                <w:sz w:val="20"/>
              </w:rPr>
              <w:t>5</w:t>
            </w:r>
          </w:p>
        </w:tc>
        <w:tc>
          <w:tcPr>
            <w:tcW w:type="dxa" w:w="1567"/>
            <w:tcW w:w="1984" w:type="dxa"/>
          </w:tcPr>
          <w:p>
            <w:r>
              <w:rPr>
                <w:rFonts w:ascii="Times New Roman" w:hAnsi="Times New Roman"/>
                <w:sz w:val="20"/>
              </w:rPr>
              <w:t>Bạo lực</w:t>
            </w:r>
          </w:p>
        </w:tc>
        <w:tc>
          <w:tcPr>
            <w:tcW w:type="dxa" w:w="1567"/>
            <w:tcW w:w="1134" w:type="dxa"/>
          </w:tcPr>
          <w:p>
            <w:r>
              <w:rPr>
                <w:rFonts w:ascii="Times New Roman" w:hAnsi="Times New Roman"/>
                <w:sz w:val="20"/>
              </w:rPr>
              <w:t>0,10</w:t>
            </w:r>
          </w:p>
        </w:tc>
        <w:tc>
          <w:tcPr>
            <w:tcW w:type="dxa" w:w="1567"/>
            <w:tcW w:w="1417" w:type="dxa"/>
          </w:tcPr>
          <w:p>
            <w:r>
              <w:rPr>
                <w:rFonts w:ascii="Times New Roman" w:hAnsi="Times New Roman"/>
                <w:sz w:val="20"/>
              </w:rPr>
              <w:t>5.117</w:t>
            </w:r>
          </w:p>
        </w:tc>
        <w:tc>
          <w:tcPr>
            <w:tcW w:type="dxa" w:w="1567"/>
            <w:tcW w:w="1134" w:type="dxa"/>
          </w:tcPr>
          <w:p>
            <w:r>
              <w:rPr>
                <w:rFonts w:ascii="Times New Roman" w:hAnsi="Times New Roman"/>
                <w:sz w:val="20"/>
              </w:rPr>
              <w:t>0,01</w:t>
            </w:r>
          </w:p>
        </w:tc>
        <w:tc>
          <w:tcPr>
            <w:tcW w:type="dxa" w:w="1567"/>
            <w:tcW w:w="1984" w:type="dxa"/>
          </w:tcPr>
          <w:p>
            <w:r>
              <w:rPr>
                <w:rFonts w:ascii="Times New Roman" w:hAnsi="Times New Roman"/>
                <w:sz w:val="20"/>
              </w:rPr>
            </w:r>
          </w:p>
        </w:tc>
      </w:tr>
      <w:tr>
        <w:tc>
          <w:tcPr>
            <w:tcW w:type="dxa" w:w="1567"/>
            <w:tcW w:w="453" w:type="dxa"/>
          </w:tcPr>
          <w:p>
            <w:r>
              <w:rPr>
                <w:rFonts w:ascii="Times New Roman" w:hAnsi="Times New Roman"/>
                <w:sz w:val="20"/>
              </w:rPr>
              <w:t>6</w:t>
            </w:r>
          </w:p>
        </w:tc>
        <w:tc>
          <w:tcPr>
            <w:tcW w:type="dxa" w:w="1567"/>
            <w:tcW w:w="1984" w:type="dxa"/>
          </w:tcPr>
          <w:p>
            <w:r>
              <w:rPr>
                <w:rFonts w:ascii="Times New Roman" w:hAnsi="Times New Roman"/>
                <w:sz w:val="20"/>
              </w:rPr>
              <w:t>Kinh tế thấp</w:t>
            </w:r>
          </w:p>
        </w:tc>
        <w:tc>
          <w:tcPr>
            <w:tcW w:type="dxa" w:w="1567"/>
            <w:tcW w:w="1134" w:type="dxa"/>
          </w:tcPr>
          <w:p>
            <w:r>
              <w:rPr>
                <w:rFonts w:ascii="Times New Roman" w:hAnsi="Times New Roman"/>
                <w:sz w:val="20"/>
              </w:rPr>
              <w:t>0,03</w:t>
            </w:r>
          </w:p>
        </w:tc>
        <w:tc>
          <w:tcPr>
            <w:tcW w:type="dxa" w:w="1567"/>
            <w:tcW w:w="1417" w:type="dxa"/>
          </w:tcPr>
          <w:p>
            <w:r>
              <w:rPr>
                <w:rFonts w:ascii="Times New Roman" w:hAnsi="Times New Roman"/>
                <w:sz w:val="20"/>
              </w:rPr>
              <w:t>1.381</w:t>
            </w:r>
          </w:p>
        </w:tc>
        <w:tc>
          <w:tcPr>
            <w:tcW w:type="dxa" w:w="1567"/>
            <w:tcW w:w="1134" w:type="dxa"/>
          </w:tcPr>
          <w:p>
            <w:r>
              <w:rPr>
                <w:rFonts w:ascii="Times New Roman" w:hAnsi="Times New Roman"/>
                <w:sz w:val="20"/>
              </w:rPr>
              <w:t>0,01</w:t>
            </w:r>
          </w:p>
        </w:tc>
        <w:tc>
          <w:tcPr>
            <w:tcW w:type="dxa" w:w="1567"/>
            <w:tcW w:w="1984" w:type="dxa"/>
          </w:tcPr>
          <w:p>
            <w:r>
              <w:rPr>
                <w:rFonts w:ascii="Times New Roman" w:hAnsi="Times New Roman"/>
                <w:sz w:val="20"/>
              </w:rPr>
              <w:t>Phù hợp Korea 2024 (QT34)</w:t>
            </w:r>
          </w:p>
        </w:tc>
      </w:tr>
      <w:tr>
        <w:tc>
          <w:tcPr>
            <w:tcW w:type="dxa" w:w="1567"/>
            <w:tcW w:w="453" w:type="dxa"/>
          </w:tcPr>
          <w:p>
            <w:r>
              <w:rPr>
                <w:rFonts w:ascii="Times New Roman" w:hAnsi="Times New Roman"/>
                <w:sz w:val="20"/>
              </w:rPr>
              <w:t>7</w:t>
            </w:r>
          </w:p>
        </w:tc>
        <w:tc>
          <w:tcPr>
            <w:tcW w:type="dxa" w:w="1567"/>
            <w:tcW w:w="1984" w:type="dxa"/>
          </w:tcPr>
          <w:p>
            <w:r>
              <w:rPr>
                <w:rFonts w:ascii="Times New Roman" w:hAnsi="Times New Roman"/>
                <w:sz w:val="20"/>
              </w:rPr>
              <w:t>Ngủ cuối tuần kém</w:t>
            </w:r>
          </w:p>
        </w:tc>
        <w:tc>
          <w:tcPr>
            <w:tcW w:type="dxa" w:w="1567"/>
            <w:tcW w:w="1134" w:type="dxa"/>
          </w:tcPr>
          <w:p>
            <w:r>
              <w:rPr>
                <w:rFonts w:ascii="Times New Roman" w:hAnsi="Times New Roman"/>
                <w:sz w:val="20"/>
              </w:rPr>
              <w:t>0,03</w:t>
            </w:r>
          </w:p>
        </w:tc>
        <w:tc>
          <w:tcPr>
            <w:tcW w:type="dxa" w:w="1567"/>
            <w:tcW w:w="1417" w:type="dxa"/>
          </w:tcPr>
          <w:p>
            <w:r>
              <w:rPr>
                <w:rFonts w:ascii="Times New Roman" w:hAnsi="Times New Roman"/>
                <w:sz w:val="20"/>
              </w:rPr>
              <w:t>1.003</w:t>
            </w:r>
          </w:p>
        </w:tc>
        <w:tc>
          <w:tcPr>
            <w:tcW w:type="dxa" w:w="1567"/>
            <w:tcW w:w="1134" w:type="dxa"/>
          </w:tcPr>
          <w:p>
            <w:r>
              <w:rPr>
                <w:rFonts w:ascii="Times New Roman" w:hAnsi="Times New Roman"/>
                <w:sz w:val="20"/>
              </w:rPr>
              <w:t>0,01</w:t>
            </w:r>
          </w:p>
        </w:tc>
        <w:tc>
          <w:tcPr>
            <w:tcW w:type="dxa" w:w="1567"/>
            <w:tcW w:w="1984" w:type="dxa"/>
          </w:tcPr>
          <w:p>
            <w:r>
              <w:rPr>
                <w:rFonts w:ascii="Times New Roman" w:hAnsi="Times New Roman"/>
                <w:sz w:val="20"/>
              </w:rPr>
            </w:r>
          </w:p>
        </w:tc>
      </w:tr>
      <w:tr>
        <w:tc>
          <w:tcPr>
            <w:tcW w:type="dxa" w:w="1567"/>
            <w:tcW w:w="453" w:type="dxa"/>
          </w:tcPr>
          <w:p>
            <w:r>
              <w:rPr>
                <w:rFonts w:ascii="Times New Roman" w:hAnsi="Times New Roman"/>
                <w:sz w:val="20"/>
              </w:rPr>
              <w:t>8</w:t>
            </w:r>
          </w:p>
        </w:tc>
        <w:tc>
          <w:tcPr>
            <w:tcW w:type="dxa" w:w="1567"/>
            <w:tcW w:w="1984" w:type="dxa"/>
          </w:tcPr>
          <w:p>
            <w:r>
              <w:rPr>
                <w:rFonts w:ascii="Times New Roman" w:hAnsi="Times New Roman"/>
                <w:sz w:val="20"/>
              </w:rPr>
              <w:t>Hút thuốc</w:t>
            </w:r>
          </w:p>
        </w:tc>
        <w:tc>
          <w:tcPr>
            <w:tcW w:type="dxa" w:w="1567"/>
            <w:tcW w:w="1134" w:type="dxa"/>
          </w:tcPr>
          <w:p>
            <w:r>
              <w:rPr>
                <w:rFonts w:ascii="Times New Roman" w:hAnsi="Times New Roman"/>
                <w:sz w:val="20"/>
              </w:rPr>
              <w:t>0,03</w:t>
            </w:r>
          </w:p>
        </w:tc>
        <w:tc>
          <w:tcPr>
            <w:tcW w:type="dxa" w:w="1567"/>
            <w:tcW w:w="1417" w:type="dxa"/>
          </w:tcPr>
          <w:p>
            <w:r>
              <w:rPr>
                <w:rFonts w:ascii="Times New Roman" w:hAnsi="Times New Roman"/>
                <w:sz w:val="20"/>
              </w:rPr>
              <w:t>643</w:t>
            </w:r>
          </w:p>
        </w:tc>
        <w:tc>
          <w:tcPr>
            <w:tcW w:type="dxa" w:w="1567"/>
            <w:tcW w:w="1134" w:type="dxa"/>
          </w:tcPr>
          <w:p>
            <w:r>
              <w:rPr>
                <w:rFonts w:ascii="Times New Roman" w:hAnsi="Times New Roman"/>
                <w:sz w:val="20"/>
              </w:rPr>
              <w:t>0,01</w:t>
            </w:r>
          </w:p>
        </w:tc>
        <w:tc>
          <w:tcPr>
            <w:tcW w:type="dxa" w:w="1567"/>
            <w:tcW w:w="1984" w:type="dxa"/>
          </w:tcPr>
          <w:p>
            <w:r>
              <w:rPr>
                <w:rFonts w:ascii="Times New Roman" w:hAnsi="Times New Roman"/>
                <w:sz w:val="20"/>
              </w:rPr>
            </w:r>
          </w:p>
        </w:tc>
      </w:tr>
      <w:tr>
        <w:tc>
          <w:tcPr>
            <w:tcW w:type="dxa" w:w="1567"/>
            <w:tcW w:w="453" w:type="dxa"/>
          </w:tcPr>
          <w:p>
            <w:r>
              <w:rPr>
                <w:rFonts w:ascii="Times New Roman" w:hAnsi="Times New Roman"/>
                <w:sz w:val="20"/>
              </w:rPr>
              <w:t>9</w:t>
            </w:r>
          </w:p>
        </w:tc>
        <w:tc>
          <w:tcPr>
            <w:tcW w:type="dxa" w:w="1567"/>
            <w:tcW w:w="1984" w:type="dxa"/>
          </w:tcPr>
          <w:p>
            <w:r>
              <w:rPr>
                <w:rFonts w:ascii="Times New Roman" w:hAnsi="Times New Roman"/>
                <w:sz w:val="20"/>
              </w:rPr>
              <w:t>Kinh nghiệm tình dục</w:t>
            </w:r>
          </w:p>
        </w:tc>
        <w:tc>
          <w:tcPr>
            <w:tcW w:type="dxa" w:w="1567"/>
            <w:tcW w:w="1134" w:type="dxa"/>
          </w:tcPr>
          <w:p>
            <w:r>
              <w:rPr>
                <w:rFonts w:ascii="Times New Roman" w:hAnsi="Times New Roman"/>
                <w:sz w:val="20"/>
              </w:rPr>
              <w:t>0,20</w:t>
            </w:r>
          </w:p>
        </w:tc>
        <w:tc>
          <w:tcPr>
            <w:tcW w:type="dxa" w:w="1567"/>
            <w:tcW w:w="1417" w:type="dxa"/>
          </w:tcPr>
          <w:p>
            <w:r>
              <w:rPr>
                <w:rFonts w:ascii="Times New Roman" w:hAnsi="Times New Roman"/>
                <w:sz w:val="20"/>
              </w:rPr>
              <w:t>11.219</w:t>
            </w:r>
          </w:p>
        </w:tc>
        <w:tc>
          <w:tcPr>
            <w:tcW w:type="dxa" w:w="1567"/>
            <w:tcW w:w="1134" w:type="dxa"/>
          </w:tcPr>
          <w:p>
            <w:r>
              <w:rPr>
                <w:rFonts w:ascii="Times New Roman" w:hAnsi="Times New Roman"/>
                <w:sz w:val="20"/>
              </w:rPr>
              <w:t>—</w:t>
            </w:r>
          </w:p>
        </w:tc>
        <w:tc>
          <w:tcPr>
            <w:tcW w:type="dxa" w:w="1567"/>
            <w:tcW w:w="1984" w:type="dxa"/>
          </w:tcPr>
          <w:p>
            <w:r>
              <w:rPr>
                <w:rFonts w:ascii="Times New Roman" w:hAnsi="Times New Roman"/>
                <w:sz w:val="20"/>
              </w:rPr>
              <w:t>LASSO+SelectKBest cao; XGBoost không chọn</w:t>
            </w:r>
          </w:p>
        </w:tc>
      </w:tr>
      <w:tr>
        <w:tc>
          <w:tcPr>
            <w:tcW w:type="dxa" w:w="1567"/>
            <w:tcW w:w="453" w:type="dxa"/>
          </w:tcPr>
          <w:p>
            <w:r>
              <w:rPr>
                <w:rFonts w:ascii="Times New Roman" w:hAnsi="Times New Roman"/>
                <w:sz w:val="20"/>
              </w:rPr>
              <w:t>10</w:t>
            </w:r>
          </w:p>
        </w:tc>
        <w:tc>
          <w:tcPr>
            <w:tcW w:type="dxa" w:w="1567"/>
            <w:tcW w:w="1984" w:type="dxa"/>
          </w:tcPr>
          <w:p>
            <w:r>
              <w:rPr>
                <w:rFonts w:ascii="Times New Roman" w:hAnsi="Times New Roman"/>
                <w:sz w:val="20"/>
              </w:rPr>
              <w:t>Ăn thức ăn nhanh hàng ngày</w:t>
            </w:r>
          </w:p>
        </w:tc>
        <w:tc>
          <w:tcPr>
            <w:tcW w:type="dxa" w:w="1567"/>
            <w:tcW w:w="1134" w:type="dxa"/>
          </w:tcPr>
          <w:p>
            <w:r>
              <w:rPr>
                <w:rFonts w:ascii="Times New Roman" w:hAnsi="Times New Roman"/>
                <w:sz w:val="20"/>
              </w:rPr>
              <w:t>—</w:t>
            </w:r>
          </w:p>
        </w:tc>
        <w:tc>
          <w:tcPr>
            <w:tcW w:type="dxa" w:w="1567"/>
            <w:tcW w:w="1417" w:type="dxa"/>
          </w:tcPr>
          <w:p>
            <w:r>
              <w:rPr>
                <w:rFonts w:ascii="Times New Roman" w:hAnsi="Times New Roman"/>
                <w:sz w:val="20"/>
              </w:rPr>
              <w:t>—</w:t>
            </w:r>
          </w:p>
        </w:tc>
        <w:tc>
          <w:tcPr>
            <w:tcW w:type="dxa" w:w="1567"/>
            <w:tcW w:w="1134" w:type="dxa"/>
          </w:tcPr>
          <w:p>
            <w:r>
              <w:rPr>
                <w:rFonts w:ascii="Times New Roman" w:hAnsi="Times New Roman"/>
                <w:sz w:val="20"/>
              </w:rPr>
              <w:t>0,02</w:t>
            </w:r>
          </w:p>
        </w:tc>
        <w:tc>
          <w:tcPr>
            <w:tcW w:type="dxa" w:w="1567"/>
            <w:tcW w:w="1984" w:type="dxa"/>
          </w:tcPr>
          <w:p>
            <w:r>
              <w:rPr>
                <w:rFonts w:ascii="Times New Roman" w:hAnsi="Times New Roman"/>
                <w:sz w:val="20"/>
              </w:rPr>
              <w:t>Chỉ XGBoost chọn</w:t>
            </w:r>
          </w:p>
        </w:tc>
      </w:tr>
      <w:tr>
        <w:tc>
          <w:tcPr>
            <w:tcW w:type="dxa" w:w="1567"/>
            <w:tcW w:w="453" w:type="dxa"/>
          </w:tcPr>
          <w:p>
            <w:r>
              <w:rPr>
                <w:rFonts w:ascii="Times New Roman" w:hAnsi="Times New Roman"/>
                <w:sz w:val="20"/>
              </w:rPr>
              <w:t>11</w:t>
            </w:r>
          </w:p>
        </w:tc>
        <w:tc>
          <w:tcPr>
            <w:tcW w:type="dxa" w:w="1567"/>
            <w:tcW w:w="1984" w:type="dxa"/>
          </w:tcPr>
          <w:p>
            <w:r>
              <w:rPr>
                <w:rFonts w:ascii="Times New Roman" w:hAnsi="Times New Roman"/>
                <w:sz w:val="20"/>
              </w:rPr>
              <w:t>Nữ giới</w:t>
            </w:r>
          </w:p>
        </w:tc>
        <w:tc>
          <w:tcPr>
            <w:tcW w:type="dxa" w:w="1567"/>
            <w:tcW w:w="1134" w:type="dxa"/>
          </w:tcPr>
          <w:p>
            <w:r>
              <w:rPr>
                <w:rFonts w:ascii="Times New Roman" w:hAnsi="Times New Roman"/>
                <w:sz w:val="20"/>
              </w:rPr>
              <w:t>—</w:t>
            </w:r>
          </w:p>
        </w:tc>
        <w:tc>
          <w:tcPr>
            <w:tcW w:type="dxa" w:w="1567"/>
            <w:tcW w:w="1417" w:type="dxa"/>
          </w:tcPr>
          <w:p>
            <w:r>
              <w:rPr>
                <w:rFonts w:ascii="Times New Roman" w:hAnsi="Times New Roman"/>
                <w:sz w:val="20"/>
              </w:rPr>
              <w:t>—</w:t>
            </w:r>
          </w:p>
        </w:tc>
        <w:tc>
          <w:tcPr>
            <w:tcW w:type="dxa" w:w="1567"/>
            <w:tcW w:w="1134" w:type="dxa"/>
          </w:tcPr>
          <w:p>
            <w:r>
              <w:rPr>
                <w:rFonts w:ascii="Times New Roman" w:hAnsi="Times New Roman"/>
                <w:sz w:val="20"/>
              </w:rPr>
              <w:t>0,004</w:t>
            </w:r>
          </w:p>
        </w:tc>
        <w:tc>
          <w:tcPr>
            <w:tcW w:type="dxa" w:w="1567"/>
            <w:tcW w:w="1984" w:type="dxa"/>
          </w:tcPr>
          <w:p>
            <w:r>
              <w:rPr>
                <w:rFonts w:ascii="Times New Roman" w:hAnsi="Times New Roman"/>
                <w:sz w:val="20"/>
              </w:rPr>
              <w:t>Chỉ XGBoost chọn</w:t>
            </w:r>
          </w:p>
        </w:tc>
      </w:tr>
    </w:tbl>
    <w:p>
      <w:r>
        <w:rPr>
          <w:rFonts w:ascii="Times New Roman" w:hAnsi="Times New Roman"/>
          <w:b w:val="0"/>
          <w:i/>
          <w:sz w:val="18"/>
        </w:rPr>
        <w:t>CÔ ĐƠN vượt trội stress ở cả 3 thuật toán. F-score = 16.646 (gấp 2,5 lần stress). Giấc ngủ (hạng 4+7) + hút thuốc (hạng 8) + thức ăn nhanh (hạng 10) = HÀNH VI SỨC KHỎ CÓ THỂ CAN THIỆP.</w:t>
      </w:r>
    </w:p>
    <w:p>
      <w:pPr>
        <w:pStyle w:val="Heading3"/>
      </w:pPr>
      <w:r>
        <w:rPr>
          <w:rFonts w:ascii="Times New Roman" w:hAnsi="Times New Roman"/>
          <w:color w:val="000000"/>
        </w:rPr>
        <w:t>Bảng 2. Hiệu suất mô hình dự đoán</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tcW w:w="1417" w:type="dxa"/>
            <w:shd w:fill="D9E2F3" w:val="clear"/>
          </w:tcPr>
          <w:p>
            <w:pPr>
              <w:jc w:val="center"/>
            </w:pPr>
            <w:r>
              <w:rPr>
                <w:rFonts w:ascii="Times New Roman" w:hAnsi="Times New Roman"/>
                <w:b/>
                <w:sz w:val="20"/>
              </w:rPr>
              <w:t>Mô hình</w:t>
            </w:r>
          </w:p>
        </w:tc>
        <w:tc>
          <w:tcPr>
            <w:tcW w:type="dxa" w:w="1344"/>
            <w:tcW w:w="1417" w:type="dxa"/>
            <w:shd w:fill="D9E2F3" w:val="clear"/>
          </w:tcPr>
          <w:p>
            <w:pPr>
              <w:jc w:val="center"/>
            </w:pPr>
            <w:r>
              <w:rPr>
                <w:rFonts w:ascii="Times New Roman" w:hAnsi="Times New Roman"/>
                <w:b/>
                <w:sz w:val="20"/>
              </w:rPr>
              <w:t>Feature Selection</w:t>
            </w:r>
          </w:p>
        </w:tc>
        <w:tc>
          <w:tcPr>
            <w:tcW w:type="dxa" w:w="1344"/>
            <w:tcW w:w="850" w:type="dxa"/>
            <w:shd w:fill="D9E2F3" w:val="clear"/>
          </w:tcPr>
          <w:p>
            <w:pPr>
              <w:jc w:val="center"/>
            </w:pPr>
            <w:r>
              <w:rPr>
                <w:rFonts w:ascii="Times New Roman" w:hAnsi="Times New Roman"/>
                <w:b/>
                <w:sz w:val="20"/>
              </w:rPr>
              <w:t>Accuracy</w:t>
            </w:r>
          </w:p>
        </w:tc>
        <w:tc>
          <w:tcPr>
            <w:tcW w:type="dxa" w:w="1344"/>
            <w:tcW w:w="850" w:type="dxa"/>
            <w:shd w:fill="D9E2F3" w:val="clear"/>
          </w:tcPr>
          <w:p>
            <w:pPr>
              <w:jc w:val="center"/>
            </w:pPr>
            <w:r>
              <w:rPr>
                <w:rFonts w:ascii="Times New Roman" w:hAnsi="Times New Roman"/>
                <w:b/>
                <w:sz w:val="20"/>
              </w:rPr>
              <w:t>AUC</w:t>
            </w:r>
          </w:p>
        </w:tc>
        <w:tc>
          <w:tcPr>
            <w:tcW w:type="dxa" w:w="1344"/>
            <w:tcW w:w="850" w:type="dxa"/>
            <w:shd w:fill="D9E2F3" w:val="clear"/>
          </w:tcPr>
          <w:p>
            <w:pPr>
              <w:jc w:val="center"/>
            </w:pPr>
            <w:r>
              <w:rPr>
                <w:rFonts w:ascii="Times New Roman" w:hAnsi="Times New Roman"/>
                <w:b/>
                <w:sz w:val="20"/>
              </w:rPr>
              <w:t>Sensitivity</w:t>
            </w:r>
          </w:p>
        </w:tc>
        <w:tc>
          <w:tcPr>
            <w:tcW w:type="dxa" w:w="1344"/>
            <w:tcW w:w="850" w:type="dxa"/>
            <w:shd w:fill="D9E2F3" w:val="clear"/>
          </w:tcPr>
          <w:p>
            <w:pPr>
              <w:jc w:val="center"/>
            </w:pPr>
            <w:r>
              <w:rPr>
                <w:rFonts w:ascii="Times New Roman" w:hAnsi="Times New Roman"/>
                <w:b/>
                <w:sz w:val="20"/>
              </w:rPr>
              <w:t>Precision</w:t>
            </w:r>
          </w:p>
        </w:tc>
        <w:tc>
          <w:tcPr>
            <w:tcW w:type="dxa" w:w="1344"/>
            <w:tcW w:w="850" w:type="dxa"/>
            <w:shd w:fill="D9E2F3" w:val="clear"/>
          </w:tcPr>
          <w:p>
            <w:pPr>
              <w:jc w:val="center"/>
            </w:pPr>
            <w:r>
              <w:rPr>
                <w:rFonts w:ascii="Times New Roman" w:hAnsi="Times New Roman"/>
                <w:b/>
                <w:sz w:val="20"/>
              </w:rPr>
              <w:t>Specificity</w:t>
            </w:r>
          </w:p>
        </w:tc>
      </w:tr>
      <w:tr>
        <w:tc>
          <w:tcPr>
            <w:tcW w:type="dxa" w:w="1344"/>
            <w:tcW w:w="1417" w:type="dxa"/>
          </w:tcPr>
          <w:p>
            <w:r>
              <w:rPr>
                <w:rFonts w:ascii="Times New Roman" w:hAnsi="Times New Roman"/>
                <w:sz w:val="20"/>
              </w:rPr>
              <w:t>Random Forest</w:t>
            </w:r>
          </w:p>
        </w:tc>
        <w:tc>
          <w:tcPr>
            <w:tcW w:type="dxa" w:w="1344"/>
            <w:tcW w:w="1417" w:type="dxa"/>
          </w:tcPr>
          <w:p>
            <w:r>
              <w:rPr>
                <w:rFonts w:ascii="Times New Roman" w:hAnsi="Times New Roman"/>
                <w:sz w:val="20"/>
              </w:rPr>
              <w:t>LASSO</w:t>
            </w:r>
          </w:p>
        </w:tc>
        <w:tc>
          <w:tcPr>
            <w:tcW w:type="dxa" w:w="1344"/>
            <w:tcW w:w="850" w:type="dxa"/>
          </w:tcPr>
          <w:p>
            <w:r>
              <w:rPr>
                <w:rFonts w:ascii="Times New Roman" w:hAnsi="Times New Roman"/>
                <w:sz w:val="20"/>
              </w:rPr>
              <w:t>79%</w:t>
            </w:r>
          </w:p>
        </w:tc>
        <w:tc>
          <w:tcPr>
            <w:tcW w:type="dxa" w:w="1344"/>
            <w:tcW w:w="850" w:type="dxa"/>
          </w:tcPr>
          <w:p>
            <w:r>
              <w:rPr>
                <w:rFonts w:ascii="Times New Roman" w:hAnsi="Times New Roman"/>
                <w:sz w:val="20"/>
              </w:rPr>
              <w:t>35%</w:t>
            </w:r>
          </w:p>
        </w:tc>
        <w:tc>
          <w:tcPr>
            <w:tcW w:type="dxa" w:w="1344"/>
            <w:tcW w:w="850" w:type="dxa"/>
          </w:tcPr>
          <w:p>
            <w:r>
              <w:rPr>
                <w:rFonts w:ascii="Times New Roman" w:hAnsi="Times New Roman"/>
                <w:sz w:val="20"/>
              </w:rPr>
              <w:t>72%</w:t>
            </w:r>
          </w:p>
        </w:tc>
        <w:tc>
          <w:tcPr>
            <w:tcW w:type="dxa" w:w="1344"/>
            <w:tcW w:w="850" w:type="dxa"/>
          </w:tcPr>
          <w:p>
            <w:r>
              <w:rPr>
                <w:rFonts w:ascii="Times New Roman" w:hAnsi="Times New Roman"/>
                <w:sz w:val="20"/>
              </w:rPr>
              <w:t>40%</w:t>
            </w:r>
          </w:p>
        </w:tc>
        <w:tc>
          <w:tcPr>
            <w:tcW w:type="dxa" w:w="1344"/>
            <w:tcW w:w="850" w:type="dxa"/>
          </w:tcPr>
          <w:p>
            <w:r>
              <w:rPr>
                <w:rFonts w:ascii="Times New Roman" w:hAnsi="Times New Roman"/>
                <w:sz w:val="20"/>
              </w:rPr>
              <w:t>88%</w:t>
            </w:r>
          </w:p>
        </w:tc>
      </w:tr>
      <w:tr>
        <w:tc>
          <w:tcPr>
            <w:tcW w:type="dxa" w:w="1344"/>
            <w:tcW w:w="1417" w:type="dxa"/>
          </w:tcPr>
          <w:p>
            <w:r>
              <w:rPr>
                <w:rFonts w:ascii="Times New Roman" w:hAnsi="Times New Roman"/>
                <w:sz w:val="20"/>
              </w:rPr>
              <w:t>Random Forest</w:t>
            </w:r>
          </w:p>
        </w:tc>
        <w:tc>
          <w:tcPr>
            <w:tcW w:type="dxa" w:w="1344"/>
            <w:tcW w:w="1417" w:type="dxa"/>
          </w:tcPr>
          <w:p>
            <w:r>
              <w:rPr>
                <w:rFonts w:ascii="Times New Roman" w:hAnsi="Times New Roman"/>
                <w:sz w:val="20"/>
              </w:rPr>
              <w:t>SelectKBest</w:t>
            </w:r>
          </w:p>
        </w:tc>
        <w:tc>
          <w:tcPr>
            <w:tcW w:type="dxa" w:w="1344"/>
            <w:tcW w:w="850" w:type="dxa"/>
          </w:tcPr>
          <w:p>
            <w:r>
              <w:rPr>
                <w:rFonts w:ascii="Times New Roman" w:hAnsi="Times New Roman"/>
                <w:sz w:val="20"/>
              </w:rPr>
              <w:t>81%</w:t>
            </w:r>
          </w:p>
        </w:tc>
        <w:tc>
          <w:tcPr>
            <w:tcW w:type="dxa" w:w="1344"/>
            <w:tcW w:w="850" w:type="dxa"/>
          </w:tcPr>
          <w:p>
            <w:r>
              <w:rPr>
                <w:rFonts w:ascii="Times New Roman" w:hAnsi="Times New Roman"/>
                <w:sz w:val="20"/>
              </w:rPr>
              <w:t>78%</w:t>
            </w:r>
          </w:p>
        </w:tc>
        <w:tc>
          <w:tcPr>
            <w:tcW w:type="dxa" w:w="1344"/>
            <w:tcW w:w="850" w:type="dxa"/>
          </w:tcPr>
          <w:p>
            <w:r>
              <w:rPr>
                <w:rFonts w:ascii="Times New Roman" w:hAnsi="Times New Roman"/>
                <w:sz w:val="20"/>
              </w:rPr>
              <w:t>39%</w:t>
            </w:r>
          </w:p>
        </w:tc>
        <w:tc>
          <w:tcPr>
            <w:tcW w:type="dxa" w:w="1344"/>
            <w:tcW w:w="850" w:type="dxa"/>
          </w:tcPr>
          <w:p>
            <w:r>
              <w:rPr>
                <w:rFonts w:ascii="Times New Roman" w:hAnsi="Times New Roman"/>
                <w:sz w:val="20"/>
              </w:rPr>
              <w:t>46%</w:t>
            </w:r>
          </w:p>
        </w:tc>
        <w:tc>
          <w:tcPr>
            <w:tcW w:type="dxa" w:w="1344"/>
            <w:tcW w:w="850" w:type="dxa"/>
          </w:tcPr>
          <w:p>
            <w:r>
              <w:rPr>
                <w:rFonts w:ascii="Times New Roman" w:hAnsi="Times New Roman"/>
                <w:sz w:val="20"/>
              </w:rPr>
              <w:t>90%</w:t>
            </w:r>
          </w:p>
        </w:tc>
      </w:tr>
      <w:tr>
        <w:tc>
          <w:tcPr>
            <w:tcW w:type="dxa" w:w="1344"/>
            <w:tcW w:w="1417" w:type="dxa"/>
          </w:tcPr>
          <w:p>
            <w:r>
              <w:rPr>
                <w:rFonts w:ascii="Times New Roman" w:hAnsi="Times New Roman"/>
                <w:sz w:val="20"/>
              </w:rPr>
              <w:t>Random Forest</w:t>
            </w:r>
          </w:p>
        </w:tc>
        <w:tc>
          <w:tcPr>
            <w:tcW w:type="dxa" w:w="1344"/>
            <w:tcW w:w="1417" w:type="dxa"/>
          </w:tcPr>
          <w:p>
            <w:r>
              <w:rPr>
                <w:rFonts w:ascii="Times New Roman" w:hAnsi="Times New Roman"/>
                <w:sz w:val="20"/>
              </w:rPr>
              <w:t>XGBoost</w:t>
            </w:r>
          </w:p>
        </w:tc>
        <w:tc>
          <w:tcPr>
            <w:tcW w:type="dxa" w:w="1344"/>
            <w:tcW w:w="850" w:type="dxa"/>
          </w:tcPr>
          <w:p>
            <w:r>
              <w:rPr>
                <w:rFonts w:ascii="Times New Roman" w:hAnsi="Times New Roman"/>
                <w:sz w:val="20"/>
              </w:rPr>
              <w:t>78%</w:t>
            </w:r>
          </w:p>
        </w:tc>
        <w:tc>
          <w:tcPr>
            <w:tcW w:type="dxa" w:w="1344"/>
            <w:tcW w:w="850" w:type="dxa"/>
          </w:tcPr>
          <w:p>
            <w:r>
              <w:rPr>
                <w:rFonts w:ascii="Times New Roman" w:hAnsi="Times New Roman"/>
                <w:sz w:val="20"/>
              </w:rPr>
              <w:t>82%</w:t>
            </w:r>
          </w:p>
        </w:tc>
        <w:tc>
          <w:tcPr>
            <w:tcW w:type="dxa" w:w="1344"/>
            <w:tcW w:w="850" w:type="dxa"/>
          </w:tcPr>
          <w:p>
            <w:r>
              <w:rPr>
                <w:rFonts w:ascii="Times New Roman" w:hAnsi="Times New Roman"/>
                <w:sz w:val="20"/>
              </w:rPr>
              <w:t>64%</w:t>
            </w:r>
          </w:p>
        </w:tc>
        <w:tc>
          <w:tcPr>
            <w:tcW w:type="dxa" w:w="1344"/>
            <w:tcW w:w="850" w:type="dxa"/>
          </w:tcPr>
          <w:p>
            <w:r>
              <w:rPr>
                <w:rFonts w:ascii="Times New Roman" w:hAnsi="Times New Roman"/>
                <w:sz w:val="20"/>
              </w:rPr>
              <w:t>43%</w:t>
            </w:r>
          </w:p>
        </w:tc>
        <w:tc>
          <w:tcPr>
            <w:tcW w:type="dxa" w:w="1344"/>
            <w:tcW w:w="850" w:type="dxa"/>
          </w:tcPr>
          <w:p>
            <w:r>
              <w:rPr>
                <w:rFonts w:ascii="Times New Roman" w:hAnsi="Times New Roman"/>
                <w:sz w:val="20"/>
              </w:rPr>
              <w:t>81%</w:t>
            </w:r>
          </w:p>
        </w:tc>
      </w:tr>
      <w:tr>
        <w:tc>
          <w:tcPr>
            <w:tcW w:type="dxa" w:w="1344"/>
            <w:tcW w:w="1417" w:type="dxa"/>
          </w:tcPr>
          <w:p>
            <w:r>
              <w:rPr>
                <w:rFonts w:ascii="Times New Roman" w:hAnsi="Times New Roman"/>
                <w:sz w:val="20"/>
              </w:rPr>
              <w:t>ANN</w:t>
            </w:r>
          </w:p>
        </w:tc>
        <w:tc>
          <w:tcPr>
            <w:tcW w:type="dxa" w:w="1344"/>
            <w:tcW w:w="1417" w:type="dxa"/>
          </w:tcPr>
          <w:p>
            <w:r>
              <w:rPr>
                <w:rFonts w:ascii="Times New Roman" w:hAnsi="Times New Roman"/>
                <w:sz w:val="20"/>
              </w:rPr>
              <w:t>LASSO</w:t>
            </w:r>
          </w:p>
        </w:tc>
        <w:tc>
          <w:tcPr>
            <w:tcW w:type="dxa" w:w="1344"/>
            <w:tcW w:w="850" w:type="dxa"/>
          </w:tcPr>
          <w:p>
            <w:r>
              <w:rPr>
                <w:rFonts w:ascii="Times New Roman" w:hAnsi="Times New Roman"/>
                <w:sz w:val="20"/>
              </w:rPr>
              <w:t>80%</w:t>
            </w:r>
          </w:p>
        </w:tc>
        <w:tc>
          <w:tcPr>
            <w:tcW w:type="dxa" w:w="1344"/>
            <w:tcW w:w="850" w:type="dxa"/>
          </w:tcPr>
          <w:p>
            <w:r>
              <w:rPr>
                <w:rFonts w:ascii="Times New Roman" w:hAnsi="Times New Roman"/>
                <w:sz w:val="20"/>
              </w:rPr>
              <w:t>74%</w:t>
            </w:r>
          </w:p>
        </w:tc>
        <w:tc>
          <w:tcPr>
            <w:tcW w:type="dxa" w:w="1344"/>
            <w:tcW w:w="850" w:type="dxa"/>
          </w:tcPr>
          <w:p>
            <w:r>
              <w:rPr>
                <w:rFonts w:ascii="Times New Roman" w:hAnsi="Times New Roman"/>
                <w:sz w:val="20"/>
              </w:rPr>
              <w:t>31%</w:t>
            </w:r>
          </w:p>
        </w:tc>
        <w:tc>
          <w:tcPr>
            <w:tcW w:type="dxa" w:w="1344"/>
            <w:tcW w:w="850" w:type="dxa"/>
          </w:tcPr>
          <w:p>
            <w:r>
              <w:rPr>
                <w:rFonts w:ascii="Times New Roman" w:hAnsi="Times New Roman"/>
                <w:sz w:val="20"/>
              </w:rPr>
              <w:t>41%</w:t>
            </w:r>
          </w:p>
        </w:tc>
        <w:tc>
          <w:tcPr>
            <w:tcW w:type="dxa" w:w="1344"/>
            <w:tcW w:w="850" w:type="dxa"/>
          </w:tcPr>
          <w:p>
            <w:r>
              <w:rPr>
                <w:rFonts w:ascii="Times New Roman" w:hAnsi="Times New Roman"/>
                <w:sz w:val="20"/>
              </w:rPr>
              <w:t>90%</w:t>
            </w:r>
          </w:p>
        </w:tc>
      </w:tr>
      <w:tr>
        <w:tc>
          <w:tcPr>
            <w:tcW w:type="dxa" w:w="1344"/>
            <w:tcW w:w="1417" w:type="dxa"/>
          </w:tcPr>
          <w:p>
            <w:r>
              <w:rPr>
                <w:rFonts w:ascii="Times New Roman" w:hAnsi="Times New Roman"/>
                <w:sz w:val="20"/>
              </w:rPr>
              <w:t>ANN</w:t>
            </w:r>
          </w:p>
        </w:tc>
        <w:tc>
          <w:tcPr>
            <w:tcW w:type="dxa" w:w="1344"/>
            <w:tcW w:w="1417" w:type="dxa"/>
          </w:tcPr>
          <w:p>
            <w:r>
              <w:rPr>
                <w:rFonts w:ascii="Times New Roman" w:hAnsi="Times New Roman"/>
                <w:sz w:val="20"/>
              </w:rPr>
              <w:t>SelectKBest</w:t>
            </w:r>
          </w:p>
        </w:tc>
        <w:tc>
          <w:tcPr>
            <w:tcW w:type="dxa" w:w="1344"/>
            <w:tcW w:w="850" w:type="dxa"/>
          </w:tcPr>
          <w:p>
            <w:r>
              <w:rPr>
                <w:rFonts w:ascii="Times New Roman" w:hAnsi="Times New Roman"/>
                <w:sz w:val="20"/>
              </w:rPr>
              <w:t>82%</w:t>
            </w:r>
          </w:p>
        </w:tc>
        <w:tc>
          <w:tcPr>
            <w:tcW w:type="dxa" w:w="1344"/>
            <w:tcW w:w="850" w:type="dxa"/>
          </w:tcPr>
          <w:p>
            <w:r>
              <w:rPr>
                <w:rFonts w:ascii="Times New Roman" w:hAnsi="Times New Roman"/>
                <w:sz w:val="20"/>
              </w:rPr>
              <w:t>81%</w:t>
            </w:r>
          </w:p>
        </w:tc>
        <w:tc>
          <w:tcPr>
            <w:tcW w:type="dxa" w:w="1344"/>
            <w:tcW w:w="850" w:type="dxa"/>
          </w:tcPr>
          <w:p>
            <w:r>
              <w:rPr>
                <w:rFonts w:ascii="Times New Roman" w:hAnsi="Times New Roman"/>
                <w:sz w:val="20"/>
              </w:rPr>
              <w:t>44%</w:t>
            </w:r>
          </w:p>
        </w:tc>
        <w:tc>
          <w:tcPr>
            <w:tcW w:type="dxa" w:w="1344"/>
            <w:tcW w:w="850" w:type="dxa"/>
          </w:tcPr>
          <w:p>
            <w:r>
              <w:rPr>
                <w:rFonts w:ascii="Times New Roman" w:hAnsi="Times New Roman"/>
                <w:sz w:val="20"/>
              </w:rPr>
              <w:t>51%</w:t>
            </w:r>
          </w:p>
        </w:tc>
        <w:tc>
          <w:tcPr>
            <w:tcW w:type="dxa" w:w="1344"/>
            <w:tcW w:w="850" w:type="dxa"/>
          </w:tcPr>
          <w:p>
            <w:r>
              <w:rPr>
                <w:rFonts w:ascii="Times New Roman" w:hAnsi="Times New Roman"/>
                <w:sz w:val="20"/>
              </w:rPr>
              <w:t>90%</w:t>
            </w:r>
          </w:p>
        </w:tc>
      </w:tr>
      <w:tr>
        <w:tc>
          <w:tcPr>
            <w:tcW w:type="dxa" w:w="1344"/>
            <w:tcW w:w="1417" w:type="dxa"/>
          </w:tcPr>
          <w:p>
            <w:r>
              <w:rPr>
                <w:rFonts w:ascii="Times New Roman" w:hAnsi="Times New Roman"/>
                <w:sz w:val="20"/>
              </w:rPr>
              <w:t>ANN</w:t>
            </w:r>
          </w:p>
        </w:tc>
        <w:tc>
          <w:tcPr>
            <w:tcW w:type="dxa" w:w="1344"/>
            <w:tcW w:w="1417" w:type="dxa"/>
          </w:tcPr>
          <w:p>
            <w:r>
              <w:rPr>
                <w:rFonts w:ascii="Times New Roman" w:hAnsi="Times New Roman"/>
                <w:sz w:val="20"/>
              </w:rPr>
              <w:t>XGBoost</w:t>
            </w:r>
          </w:p>
        </w:tc>
        <w:tc>
          <w:tcPr>
            <w:tcW w:type="dxa" w:w="1344"/>
            <w:tcW w:w="850" w:type="dxa"/>
          </w:tcPr>
          <w:p>
            <w:r>
              <w:rPr>
                <w:rFonts w:ascii="Times New Roman" w:hAnsi="Times New Roman"/>
                <w:sz w:val="20"/>
              </w:rPr>
              <w:t>80%</w:t>
            </w:r>
          </w:p>
        </w:tc>
        <w:tc>
          <w:tcPr>
            <w:tcW w:type="dxa" w:w="1344"/>
            <w:tcW w:w="850" w:type="dxa"/>
          </w:tcPr>
          <w:p>
            <w:r>
              <w:rPr>
                <w:rFonts w:ascii="Times New Roman" w:hAnsi="Times New Roman"/>
                <w:sz w:val="20"/>
              </w:rPr>
              <w:t>81%</w:t>
            </w:r>
          </w:p>
        </w:tc>
        <w:tc>
          <w:tcPr>
            <w:tcW w:type="dxa" w:w="1344"/>
            <w:tcW w:w="850" w:type="dxa"/>
          </w:tcPr>
          <w:p>
            <w:r>
              <w:rPr>
                <w:rFonts w:ascii="Times New Roman" w:hAnsi="Times New Roman"/>
                <w:sz w:val="20"/>
              </w:rPr>
              <w:t>56%</w:t>
            </w:r>
          </w:p>
        </w:tc>
        <w:tc>
          <w:tcPr>
            <w:tcW w:type="dxa" w:w="1344"/>
            <w:tcW w:w="850" w:type="dxa"/>
          </w:tcPr>
          <w:p>
            <w:r>
              <w:rPr>
                <w:rFonts w:ascii="Times New Roman" w:hAnsi="Times New Roman"/>
                <w:sz w:val="20"/>
              </w:rPr>
              <w:t>45%</w:t>
            </w:r>
          </w:p>
        </w:tc>
        <w:tc>
          <w:tcPr>
            <w:tcW w:type="dxa" w:w="1344"/>
            <w:tcW w:w="850" w:type="dxa"/>
          </w:tcPr>
          <w:p>
            <w:r>
              <w:rPr>
                <w:rFonts w:ascii="Times New Roman" w:hAnsi="Times New Roman"/>
                <w:sz w:val="20"/>
              </w:rPr>
              <w:t>—</w:t>
            </w:r>
          </w:p>
        </w:tc>
      </w:tr>
    </w:tbl>
    <w:p>
      <w:r>
        <w:rPr>
          <w:rFonts w:ascii="Times New Roman" w:hAnsi="Times New Roman"/>
          <w:b w:val="0"/>
          <w:i/>
          <w:sz w:val="18"/>
        </w:rPr>
        <w:t>XGBoost + RF: AUC cao nhất (82%) + sensitivity tốt nhất (64%). SE thấp = hiệu suất ổn định.</w:t>
      </w:r>
    </w:p>
    <w:p>
      <w:r>
        <w:rPr>
          <w:rFonts w:ascii="Times New Roman" w:hAnsi="Times New Roman"/>
          <w:i/>
          <w:color w:val="808080"/>
          <w:sz w:val="18"/>
        </w:rPr>
        <w:t>--- Trang 6–8, Frontiers in Public Health, 2025 ---</w:t>
      </w:r>
    </w:p>
    <w:p>
      <w:pPr>
        <w:pStyle w:val="Heading2"/>
      </w:pPr>
      <w:r>
        <w:rPr>
          <w:rFonts w:ascii="Times New Roman" w:hAnsi="Times New Roman"/>
          <w:color w:val="000000"/>
        </w:rPr>
        <w:t>4. THẢO LUẬN</w:t>
      </w:r>
    </w:p>
    <w:p>
      <w:r>
        <w:rPr>
          <w:rFonts w:ascii="Times New Roman" w:hAnsi="Times New Roman"/>
          <w:b/>
          <w:i w:val="0"/>
          <w:sz w:val="24"/>
        </w:rPr>
        <w:t>Cô đơn là yếu tố mạnh nhất:</w:t>
      </w:r>
    </w:p>
    <w:p>
      <w:r>
        <w:rPr>
          <w:rFonts w:ascii="Times New Roman" w:hAnsi="Times New Roman"/>
          <w:b w:val="0"/>
          <w:i w:val="0"/>
          <w:sz w:val="24"/>
        </w:rPr>
        <w:t>Cô đơn nổi lên là yếu tố ảnh hưởng nhất đến GAD ở VTN. VTN trải qua cô đơn thường có ít mạng lưới xã hội và hỗ trợ tâm lý, dẫn đến gia tăng bất ổn cảm xúc và nguy cơ GAD dài hạn (Ebesutani et al., 2015; Kim &amp; Kim, 2009). ML xác nhận mạnh mẽ qua cả mô hình tuyến tính (LASSO) và phi tuyến (XGBoost) — mối quan hệ cô đơn → GAD bền vững bất kể phương pháp. Phù hợp Ireland 2024 (QT32, OGA bảo vệ) và Islam 2025 (QT31, không bạn thân AOR=1,28).</w:t>
      </w:r>
    </w:p>
    <w:p>
      <w:r>
        <w:rPr>
          <w:rFonts w:ascii="Times New Roman" w:hAnsi="Times New Roman"/>
          <w:b/>
          <w:i w:val="0"/>
          <w:sz w:val="24"/>
        </w:rPr>
        <w:t>Stress:</w:t>
      </w:r>
    </w:p>
    <w:p>
      <w:r>
        <w:rPr>
          <w:rFonts w:ascii="Times New Roman" w:hAnsi="Times New Roman"/>
          <w:b w:val="0"/>
          <w:i w:val="0"/>
          <w:sz w:val="24"/>
        </w:rPr>
        <w:t>Stress nổi lên là yếu tố thứ 2. Stress từ quan hệ bạn bè, áp lực học tập, và cảm giác bị phân biệt đối xử từ giáo viên tăng đáng kể nguy cơ GAD (Lee &amp; Cho, 2017). Phù hợp Norway 2025 (QT21, bất mãn trường giải thích chính) và Wen 2020 (QT08, áp lực OR = 11,58).</w:t>
      </w:r>
    </w:p>
    <w:p>
      <w:r>
        <w:rPr>
          <w:rFonts w:ascii="Times New Roman" w:hAnsi="Times New Roman"/>
          <w:b/>
          <w:i w:val="0"/>
          <w:sz w:val="24"/>
        </w:rPr>
        <w:t>Bạo lực:</w:t>
      </w:r>
    </w:p>
    <w:p>
      <w:r>
        <w:rPr>
          <w:rFonts w:ascii="Times New Roman" w:hAnsi="Times New Roman"/>
          <w:b w:val="0"/>
          <w:i w:val="0"/>
          <w:sz w:val="24"/>
        </w:rPr>
        <w:t>VTN từng trải qua bạo lực thường chịu cả sang chấn thể chất và thách thức SKTT. Các NC trước xác nhận mối liên quan mạnh giữa bạo lực và tăng lo âu. Các chương trình hỗ trợ cảm xúc thiết yếu cho VTN nạn nhân bạo lực. Phù hợp Ngô Anh Vinh 2024 (VN15, ACEs → lo âu Coef = 0,28).</w:t>
      </w:r>
    </w:p>
    <w:p>
      <w:r>
        <w:rPr>
          <w:rFonts w:ascii="Times New Roman" w:hAnsi="Times New Roman"/>
          <w:b/>
          <w:i w:val="0"/>
          <w:sz w:val="24"/>
        </w:rPr>
        <w:t>Hành vi sức khỏe — CÓ THỂ CAN THIỆP:</w:t>
      </w:r>
    </w:p>
    <w:p>
      <w:r>
        <w:rPr>
          <w:rFonts w:ascii="Times New Roman" w:hAnsi="Times New Roman"/>
          <w:b w:val="0"/>
          <w:i w:val="0"/>
          <w:sz w:val="24"/>
        </w:rPr>
        <w:t>Phục hồi giấc ngủ, giấc ngủ cuối tuần, hút thuốc, và ăn thức ăn nhanh liên quan đáng kể với GAD. Chất lượng giấc ngủ thấp tương quan với nguy cơ GAD cao hơn. Giấc ngủ cuối tuần không đủ càng làm trầm trọng vấn đề bằng cách ngăn phục hồi từ thiếu ngủ ngày thường, dẫn đến thiếu ngủ mãn tính → GAD. Phù hợp Zhu 2025 (QT05, &lt;5h AOR = 13,71).</w:t>
      </w:r>
    </w:p>
    <w:p>
      <w:r>
        <w:rPr>
          <w:rFonts w:ascii="Times New Roman" w:hAnsi="Times New Roman"/>
          <w:b w:val="0"/>
          <w:i w:val="0"/>
          <w:sz w:val="24"/>
        </w:rPr>
        <w:t>Nicotine kích hoạt hệ thần kinh giao cảm, tăng cortisol và norepinephrine, tạo vòng xoáy lo âu → hút thuốc → lo âu.</w:t>
      </w:r>
    </w:p>
    <w:p>
      <w:r>
        <w:rPr>
          <w:rFonts w:ascii="Times New Roman" w:hAnsi="Times New Roman"/>
          <w:b/>
          <w:i w:val="0"/>
          <w:sz w:val="24"/>
        </w:rPr>
        <w:t>Nữ giới và thức ăn nhanh:</w:t>
      </w:r>
    </w:p>
    <w:p>
      <w:r>
        <w:rPr>
          <w:rFonts w:ascii="Times New Roman" w:hAnsi="Times New Roman"/>
          <w:b w:val="0"/>
          <w:i w:val="0"/>
          <w:sz w:val="24"/>
        </w:rPr>
        <w:t>XGBoost chọn nữ giới và ăn thức ăn nhanh hàng ngày là yếu tố dự báo. Nguy cơ lo âu cao ở nữ VTN được ghi nhận rộng rãi, bất kể điều kiện gia đình, kinh tế, hay học tập. Áp lực xã hội, lo ngại ngoại hình, kỳ vọng học tập cao, và biến động hormone (estrogen) có thể tăng tính dễ bị tổn thương. Phù hợp Islam 2025 (QT31, nữ AOR = 1,51 từ 59 nước).</w:t>
      </w:r>
    </w:p>
    <w:p>
      <w:r>
        <w:rPr>
          <w:rFonts w:ascii="Times New Roman" w:hAnsi="Times New Roman"/>
          <w:b/>
          <w:i w:val="0"/>
          <w:sz w:val="24"/>
        </w:rPr>
        <w:t>Hạn chế và hướng tương lai:</w:t>
      </w:r>
    </w:p>
    <w:p>
      <w:r>
        <w:rPr>
          <w:rFonts w:ascii="Times New Roman" w:hAnsi="Times New Roman"/>
          <w:b w:val="0"/>
          <w:i w:val="0"/>
          <w:sz w:val="24"/>
        </w:rPr>
        <w:t>NC có một số hạn chế: (1) Thiết kế cắt ngang — không xác lập nhân quả. (2) Dựa vào dữ liệu tự báo cáo KYRBS — có thể thiên lệch. (3) Không bao gồm dữ liệu di truyền. NC tương lai nên kết hợp dữ liệu di truyền để làm rõ cơ chế GAD. Chiến lược YTCC tập trung cải thiện giấc ngủ, phòng hút thuốc, và dinh dưỡng cân bằng có thể giảm GAD ở VTN hiệu quả.</w:t>
      </w:r>
    </w:p>
    <w:p>
      <w:pPr>
        <w:pStyle w:val="Heading2"/>
      </w:pPr>
      <w:r>
        <w:rPr>
          <w:rFonts w:ascii="Times New Roman" w:hAnsi="Times New Roman"/>
          <w:color w:val="000000"/>
        </w:rPr>
        <w:t>5. KẾT LUẬN</w:t>
      </w:r>
    </w:p>
    <w:p>
      <w:r>
        <w:rPr>
          <w:rFonts w:ascii="Times New Roman" w:hAnsi="Times New Roman"/>
          <w:b w:val="0"/>
          <w:i w:val="0"/>
          <w:sz w:val="24"/>
        </w:rPr>
        <w:t>NC này xác định các yếu tố chính liên quan GAD ở VTN sử dụng ML trên 213.820 VTN Hàn Quốc. CÔ ĐƠN là yếu tố mạnh nhất (LASSO 0,23; F=16.646; XGBoost 0,29), tiếp theo stress, nhận thức sức khỏe kém, phục hồi giấc ngủ kém, và bạo lực. Hành vi sức khỏe (giấc ngủ, hút thuốc, dinh dưỡng) là yếu tố CÓ THỂ CAN THIỆP. XGBoost + RF cho AUC 82%, sensitivity 64%.</w:t>
      </w:r>
    </w:p>
    <w:p>
      <w:pPr>
        <w:pStyle w:val="Heading2"/>
      </w:pPr>
      <w:r>
        <w:rPr>
          <w:rFonts w:ascii="Times New Roman" w:hAnsi="Times New Roman"/>
          <w:color w:val="000000"/>
        </w:rPr>
        <w:t>TÀI LIỆU THAM KHẢO</w:t>
      </w:r>
    </w:p>
    <w:p>
      <w:r>
        <w:rPr>
          <w:rFonts w:ascii="Times New Roman" w:hAnsi="Times New Roman"/>
          <w:b w:val="0"/>
          <w:i w:val="0"/>
          <w:sz w:val="20"/>
        </w:rPr>
        <w:t>Moon, Y. &amp; Woo, H. (2025). Key risk factors of GAD in adolescents: ML study. Frontiers in Public Health, 13, 1504739.</w:t>
      </w:r>
    </w:p>
    <w:p>
      <w:r>
        <w:rPr>
          <w:rFonts w:ascii="Times New Roman" w:hAnsi="Times New Roman"/>
          <w:b w:val="0"/>
          <w:i w:val="0"/>
          <w:sz w:val="20"/>
        </w:rPr>
        <w:t>Spitzer, R.L. et al. (2006). A brief measure for assessing GAD: the GAD-7. Archives of Internal Medicine, 166(10), 1092–1097.</w:t>
      </w:r>
    </w:p>
    <w:p>
      <w:r>
        <w:rPr>
          <w:rFonts w:ascii="Times New Roman" w:hAnsi="Times New Roman"/>
          <w:b w:val="0"/>
          <w:i w:val="0"/>
          <w:sz w:val="20"/>
        </w:rPr>
        <w:t>Ebesutani, C. et al. (2015). The role of loneliness in the relationship between anxiety and depression. Psychology in the Schools, 52, 223–234.</w:t>
      </w:r>
    </w:p>
    <w:p>
      <w:r>
        <w:rPr>
          <w:rFonts w:ascii="Times New Roman" w:hAnsi="Times New Roman"/>
          <w:b w:val="0"/>
          <w:i w:val="0"/>
          <w:sz w:val="20"/>
        </w:rPr>
        <w:t>Lee, J.H. &amp; Cho, Y.T. (2017). Causal relationship of self-esteem, problem-solving, stress, and GAD in adolescents.</w:t>
      </w:r>
    </w:p>
    <w:p>
      <w:r>
        <w:rPr>
          <w:rFonts w:ascii="Times New Roman" w:hAnsi="Times New Roman"/>
          <w:b w:val="0"/>
          <w:i w:val="0"/>
          <w:sz w:val="20"/>
        </w:rPr>
        <w:t>(Xem đầy đủ 41 TLTK trong bài gốc)</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GAD</w:t>
            </w:r>
          </w:p>
        </w:tc>
        <w:tc>
          <w:tcPr>
            <w:tcW w:type="dxa" w:w="4702"/>
            <w:tcW w:w="7371" w:type="dxa"/>
          </w:tcPr>
          <w:p>
            <w:r>
              <w:rPr>
                <w:rFonts w:ascii="Times New Roman" w:hAnsi="Times New Roman"/>
                <w:sz w:val="20"/>
              </w:rPr>
              <w:t>Generalized Anxiety Disorder — Rối loạn Lo âu Tổng quát</w:t>
            </w:r>
          </w:p>
        </w:tc>
      </w:tr>
      <w:tr>
        <w:tc>
          <w:tcPr>
            <w:tcW w:type="dxa" w:w="4702"/>
            <w:tcW w:w="1701" w:type="dxa"/>
          </w:tcPr>
          <w:p>
            <w:r>
              <w:rPr>
                <w:rFonts w:ascii="Times New Roman" w:hAnsi="Times New Roman"/>
                <w:sz w:val="20"/>
              </w:rPr>
              <w:t>GAD-7</w:t>
            </w:r>
          </w:p>
        </w:tc>
        <w:tc>
          <w:tcPr>
            <w:tcW w:type="dxa" w:w="4702"/>
            <w:tcW w:w="7371" w:type="dxa"/>
          </w:tcPr>
          <w:p>
            <w:r>
              <w:rPr>
                <w:rFonts w:ascii="Times New Roman" w:hAnsi="Times New Roman"/>
                <w:sz w:val="20"/>
              </w:rPr>
              <w:t>Generalized Anxiety Disorder 7-item Scale</w:t>
            </w:r>
          </w:p>
        </w:tc>
      </w:tr>
      <w:tr>
        <w:tc>
          <w:tcPr>
            <w:tcW w:type="dxa" w:w="4702"/>
            <w:tcW w:w="1701" w:type="dxa"/>
          </w:tcPr>
          <w:p>
            <w:r>
              <w:rPr>
                <w:rFonts w:ascii="Times New Roman" w:hAnsi="Times New Roman"/>
                <w:sz w:val="20"/>
              </w:rPr>
              <w:t>KYRBS</w:t>
            </w:r>
          </w:p>
        </w:tc>
        <w:tc>
          <w:tcPr>
            <w:tcW w:type="dxa" w:w="4702"/>
            <w:tcW w:w="7371" w:type="dxa"/>
          </w:tcPr>
          <w:p>
            <w:r>
              <w:rPr>
                <w:rFonts w:ascii="Times New Roman" w:hAnsi="Times New Roman"/>
                <w:sz w:val="20"/>
              </w:rPr>
              <w:t>Korea Youth Risk Behavior Web-based Survey</w:t>
            </w:r>
          </w:p>
        </w:tc>
      </w:tr>
      <w:tr>
        <w:tc>
          <w:tcPr>
            <w:tcW w:type="dxa" w:w="4702"/>
            <w:tcW w:w="1701" w:type="dxa"/>
          </w:tcPr>
          <w:p>
            <w:r>
              <w:rPr>
                <w:rFonts w:ascii="Times New Roman" w:hAnsi="Times New Roman"/>
                <w:sz w:val="20"/>
              </w:rPr>
              <w:t>ML</w:t>
            </w:r>
          </w:p>
        </w:tc>
        <w:tc>
          <w:tcPr>
            <w:tcW w:type="dxa" w:w="4702"/>
            <w:tcW w:w="7371" w:type="dxa"/>
          </w:tcPr>
          <w:p>
            <w:r>
              <w:rPr>
                <w:rFonts w:ascii="Times New Roman" w:hAnsi="Times New Roman"/>
                <w:sz w:val="20"/>
              </w:rPr>
              <w:t>Machine Learning — Học máy</w:t>
            </w:r>
          </w:p>
        </w:tc>
      </w:tr>
      <w:tr>
        <w:tc>
          <w:tcPr>
            <w:tcW w:type="dxa" w:w="4702"/>
            <w:tcW w:w="1701" w:type="dxa"/>
          </w:tcPr>
          <w:p>
            <w:r>
              <w:rPr>
                <w:rFonts w:ascii="Times New Roman" w:hAnsi="Times New Roman"/>
                <w:sz w:val="20"/>
              </w:rPr>
              <w:t>LASSO</w:t>
            </w:r>
          </w:p>
        </w:tc>
        <w:tc>
          <w:tcPr>
            <w:tcW w:type="dxa" w:w="4702"/>
            <w:tcW w:w="7371" w:type="dxa"/>
          </w:tcPr>
          <w:p>
            <w:r>
              <w:rPr>
                <w:rFonts w:ascii="Times New Roman" w:hAnsi="Times New Roman"/>
                <w:sz w:val="20"/>
              </w:rPr>
              <w:t>Least Absolute Shrinkage and Selection Operator</w:t>
            </w:r>
          </w:p>
        </w:tc>
      </w:tr>
      <w:tr>
        <w:tc>
          <w:tcPr>
            <w:tcW w:type="dxa" w:w="4702"/>
            <w:tcW w:w="1701" w:type="dxa"/>
          </w:tcPr>
          <w:p>
            <w:r>
              <w:rPr>
                <w:rFonts w:ascii="Times New Roman" w:hAnsi="Times New Roman"/>
                <w:sz w:val="20"/>
              </w:rPr>
              <w:t>XGBoost</w:t>
            </w:r>
          </w:p>
        </w:tc>
        <w:tc>
          <w:tcPr>
            <w:tcW w:type="dxa" w:w="4702"/>
            <w:tcW w:w="7371" w:type="dxa"/>
          </w:tcPr>
          <w:p>
            <w:r>
              <w:rPr>
                <w:rFonts w:ascii="Times New Roman" w:hAnsi="Times New Roman"/>
                <w:sz w:val="20"/>
              </w:rPr>
              <w:t>eXtreme Gradient Boosting</w:t>
            </w:r>
          </w:p>
        </w:tc>
      </w:tr>
      <w:tr>
        <w:tc>
          <w:tcPr>
            <w:tcW w:type="dxa" w:w="4702"/>
            <w:tcW w:w="1701" w:type="dxa"/>
          </w:tcPr>
          <w:p>
            <w:r>
              <w:rPr>
                <w:rFonts w:ascii="Times New Roman" w:hAnsi="Times New Roman"/>
                <w:sz w:val="20"/>
              </w:rPr>
              <w:t>RF</w:t>
            </w:r>
          </w:p>
        </w:tc>
        <w:tc>
          <w:tcPr>
            <w:tcW w:type="dxa" w:w="4702"/>
            <w:tcW w:w="7371" w:type="dxa"/>
          </w:tcPr>
          <w:p>
            <w:r>
              <w:rPr>
                <w:rFonts w:ascii="Times New Roman" w:hAnsi="Times New Roman"/>
                <w:sz w:val="20"/>
              </w:rPr>
              <w:t>Random Forest — Rừng ngẫu nhiên</w:t>
            </w:r>
          </w:p>
        </w:tc>
      </w:tr>
      <w:tr>
        <w:tc>
          <w:tcPr>
            <w:tcW w:type="dxa" w:w="4702"/>
            <w:tcW w:w="1701" w:type="dxa"/>
          </w:tcPr>
          <w:p>
            <w:r>
              <w:rPr>
                <w:rFonts w:ascii="Times New Roman" w:hAnsi="Times New Roman"/>
                <w:sz w:val="20"/>
              </w:rPr>
              <w:t>ANN</w:t>
            </w:r>
          </w:p>
        </w:tc>
        <w:tc>
          <w:tcPr>
            <w:tcW w:type="dxa" w:w="4702"/>
            <w:tcW w:w="7371" w:type="dxa"/>
          </w:tcPr>
          <w:p>
            <w:r>
              <w:rPr>
                <w:rFonts w:ascii="Times New Roman" w:hAnsi="Times New Roman"/>
                <w:sz w:val="20"/>
              </w:rPr>
              <w:t>Artificial Neural Network — Mạng Nơ-ron Nhân tạo</w:t>
            </w:r>
          </w:p>
        </w:tc>
      </w:tr>
      <w:tr>
        <w:tc>
          <w:tcPr>
            <w:tcW w:type="dxa" w:w="4702"/>
            <w:tcW w:w="1701" w:type="dxa"/>
          </w:tcPr>
          <w:p>
            <w:r>
              <w:rPr>
                <w:rFonts w:ascii="Times New Roman" w:hAnsi="Times New Roman"/>
                <w:sz w:val="20"/>
              </w:rPr>
              <w:t>SMOTE</w:t>
            </w:r>
          </w:p>
        </w:tc>
        <w:tc>
          <w:tcPr>
            <w:tcW w:type="dxa" w:w="4702"/>
            <w:tcW w:w="7371" w:type="dxa"/>
          </w:tcPr>
          <w:p>
            <w:r>
              <w:rPr>
                <w:rFonts w:ascii="Times New Roman" w:hAnsi="Times New Roman"/>
                <w:sz w:val="20"/>
              </w:rPr>
              <w:t>Synthetic Minority Over-sampling Technique</w:t>
            </w:r>
          </w:p>
        </w:tc>
      </w:tr>
      <w:tr>
        <w:tc>
          <w:tcPr>
            <w:tcW w:type="dxa" w:w="4702"/>
            <w:tcW w:w="1701" w:type="dxa"/>
          </w:tcPr>
          <w:p>
            <w:r>
              <w:rPr>
                <w:rFonts w:ascii="Times New Roman" w:hAnsi="Times New Roman"/>
                <w:sz w:val="20"/>
              </w:rPr>
              <w:t>AUC</w:t>
            </w:r>
          </w:p>
        </w:tc>
        <w:tc>
          <w:tcPr>
            <w:tcW w:type="dxa" w:w="4702"/>
            <w:tcW w:w="7371" w:type="dxa"/>
          </w:tcPr>
          <w:p>
            <w:r>
              <w:rPr>
                <w:rFonts w:ascii="Times New Roman" w:hAnsi="Times New Roman"/>
                <w:sz w:val="20"/>
              </w:rPr>
              <w:t>Area Under the Curve</w:t>
            </w:r>
          </w:p>
        </w:tc>
      </w:tr>
      <w:tr>
        <w:tc>
          <w:tcPr>
            <w:tcW w:type="dxa" w:w="4702"/>
            <w:tcW w:w="1701" w:type="dxa"/>
          </w:tcPr>
          <w:p>
            <w:r>
              <w:rPr>
                <w:rFonts w:ascii="Times New Roman" w:hAnsi="Times New Roman"/>
                <w:sz w:val="20"/>
              </w:rPr>
              <w:t>KDCA</w:t>
            </w:r>
          </w:p>
        </w:tc>
        <w:tc>
          <w:tcPr>
            <w:tcW w:type="dxa" w:w="4702"/>
            <w:tcW w:w="7371" w:type="dxa"/>
          </w:tcPr>
          <w:p>
            <w:r>
              <w:rPr>
                <w:rFonts w:ascii="Times New Roman" w:hAnsi="Times New Roman"/>
                <w:sz w:val="20"/>
              </w:rPr>
              <w:t>Korea Disease Control and Prevention Agency</w:t>
            </w:r>
          </w:p>
        </w:tc>
      </w:tr>
      <w:tr>
        <w:tc>
          <w:tcPr>
            <w:tcW w:type="dxa" w:w="4702"/>
            <w:tcW w:w="1701" w:type="dxa"/>
          </w:tcPr>
          <w:p>
            <w:r>
              <w:rPr>
                <w:rFonts w:ascii="Times New Roman" w:hAnsi="Times New Roman"/>
                <w:sz w:val="20"/>
              </w:rPr>
              <w:t>DSM-5</w:t>
            </w:r>
          </w:p>
        </w:tc>
        <w:tc>
          <w:tcPr>
            <w:tcW w:type="dxa" w:w="4702"/>
            <w:tcW w:w="7371" w:type="dxa"/>
          </w:tcPr>
          <w:p>
            <w:r>
              <w:rPr>
                <w:rFonts w:ascii="Times New Roman" w:hAnsi="Times New Roman"/>
                <w:sz w:val="20"/>
              </w:rPr>
              <w:t>Diagnostic and Statistical Manual of Mental Disorders, 5th Edition</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VTN</w:t>
            </w:r>
          </w:p>
        </w:tc>
        <w:tc>
          <w:tcPr>
            <w:tcW w:type="dxa" w:w="4702"/>
            <w:tcW w:w="7371" w:type="dxa"/>
          </w:tcPr>
          <w:p>
            <w:r>
              <w:rPr>
                <w:rFonts w:ascii="Times New Roman" w:hAnsi="Times New Roman"/>
                <w:sz w:val="20"/>
              </w:rPr>
              <w:t>Vị thành niên</w:t>
            </w:r>
          </w:p>
        </w:tc>
      </w:tr>
    </w:tbl>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Frontiers Q1 IF≈5,2. ML đa phương pháp — phương pháp MỚI trong NC GAD VTN.</w:t>
      </w:r>
    </w:p>
    <w:p>
      <w:r>
        <w:rPr>
          <w:rFonts w:ascii="Times New Roman" w:hAnsi="Times New Roman"/>
          <w:b w:val="0"/>
          <w:color w:val="FF0000"/>
          <w:sz w:val="24"/>
        </w:rPr>
        <w:t>• Mẫu CỰC LỚN: 213.820 VTN — lớn nhất dùng ML cho GAD. So: Hoa 2024 VN01 n=3.910.</w:t>
      </w:r>
    </w:p>
    <w:p>
      <w:r>
        <w:rPr>
          <w:rFonts w:ascii="Times New Roman" w:hAnsi="Times New Roman"/>
          <w:b w:val="0"/>
          <w:color w:val="FF0000"/>
          <w:sz w:val="24"/>
        </w:rPr>
        <w:t>• GAD-7 đo lo âu TỔNG QUÁT riêng — chính xác hơn DASS-21.</w:t>
      </w:r>
    </w:p>
    <w:p>
      <w:r>
        <w:rPr>
          <w:rFonts w:ascii="Times New Roman" w:hAnsi="Times New Roman"/>
          <w:b w:val="0"/>
          <w:color w:val="FF0000"/>
          <w:sz w:val="24"/>
        </w:rPr>
        <w:t>• 3 thuật toán chọn đặc trưng × 2 mô hình = 6 tổ hợp — so sánh đa phương pháp, giảm thiên lệch.</w:t>
      </w:r>
    </w:p>
    <w:p>
      <w:r>
        <w:rPr>
          <w:rFonts w:ascii="Times New Roman" w:hAnsi="Times New Roman"/>
          <w:b w:val="0"/>
          <w:color w:val="FF0000"/>
          <w:sz w:val="24"/>
        </w:rPr>
        <w:t>• KYRBS 2020–2023 — dữ liệu hậu COVID. THCS 53,8% + THPT 46,2% — bao phủ cả cấp 2 và 3.</w:t>
      </w:r>
    </w:p>
    <w:p>
      <w:r>
        <w:rPr>
          <w:rFonts w:ascii="Times New Roman" w:hAnsi="Times New Roman"/>
          <w:b w:val="0"/>
          <w:color w:val="FF0000"/>
          <w:sz w:val="24"/>
        </w:rPr>
        <w:t>• CÔ ĐƠN hạng 1 — phát hiện quan trọng. Phù hợp Ireland 2024 (QT32, OGA bảo vệ), Islam 2025 (QT31, không bạn thân AOR=1,28).</w:t>
      </w:r>
    </w:p>
    <w:p>
      <w:r>
        <w:rPr>
          <w:rFonts w:ascii="Times New Roman" w:hAnsi="Times New Roman"/>
          <w:b/>
          <w:color w:val="FF0000"/>
          <w:sz w:val="24"/>
        </w:rPr>
        <w:t>Hạn chế chi tiết:</w:t>
      </w:r>
    </w:p>
    <w:p>
      <w:r>
        <w:rPr>
          <w:rFonts w:ascii="Times New Roman" w:hAnsi="Times New Roman"/>
          <w:b w:val="0"/>
          <w:color w:val="FF0000"/>
          <w:sz w:val="24"/>
        </w:rPr>
        <w:t>• Chỉ Hàn Quốc — khác VN. So: Trần Thảo Vi 2024 (VN21) có bối cảnh VN nhưng không ML.</w:t>
      </w:r>
    </w:p>
    <w:p>
      <w:r>
        <w:rPr>
          <w:rFonts w:ascii="Times New Roman" w:hAnsi="Times New Roman"/>
          <w:b w:val="0"/>
          <w:color w:val="FF0000"/>
          <w:sz w:val="24"/>
        </w:rPr>
        <w:t>• Cắt ngang — ML xác định LIÊN QUAN, KHÔNG nhân quả. So: VN21 NC dọc 3 năm.</w:t>
      </w:r>
    </w:p>
    <w:p>
      <w:r>
        <w:rPr>
          <w:rFonts w:ascii="Times New Roman" w:hAnsi="Times New Roman"/>
          <w:b w:val="0"/>
          <w:color w:val="FF0000"/>
          <w:sz w:val="24"/>
        </w:rPr>
        <w:t>• SMOTE có thể overfitting. Sensitivity 64% RF, 56% ANN = 36–44% VTN GAD bị bỏ sót.</w:t>
      </w:r>
    </w:p>
    <w:p>
      <w:r>
        <w:rPr>
          <w:rFonts w:ascii="Times New Roman" w:hAnsi="Times New Roman"/>
          <w:b w:val="0"/>
          <w:color w:val="FF0000"/>
          <w:sz w:val="24"/>
        </w:rPr>
        <w:t>• GAD-7 ≥ 10 loại bỏ mild GAD (5–9). Hoa 2024 (VN01) dùng ≥ 5: 40,6%.</w:t>
      </w:r>
    </w:p>
    <w:p>
      <w:r>
        <w:rPr>
          <w:rFonts w:ascii="Times New Roman" w:hAnsi="Times New Roman"/>
          <w:b w:val="0"/>
          <w:color w:val="FF0000"/>
          <w:sz w:val="24"/>
        </w:rPr>
        <w:t>• Không đo: áp lực học tập (ESSA), screen time/MXH, ACEs — yếu tố quan trọng theo Wen QT08, Norway QT21, Nature QT27, VN15.</w:t>
      </w:r>
    </w:p>
    <w:p>
      <w:r>
        <w:rPr>
          <w:rFonts w:ascii="Times New Roman" w:hAnsi="Times New Roman"/>
          <w:b/>
          <w:color w:val="FF0000"/>
          <w:sz w:val="24"/>
        </w:rPr>
        <w:t>Khoảng trống NC / Gap:</w:t>
      </w:r>
    </w:p>
    <w:p>
      <w:r>
        <w:rPr>
          <w:rFonts w:ascii="Times New Roman" w:hAnsi="Times New Roman"/>
          <w:b w:val="0"/>
          <w:color w:val="FF0000"/>
          <w:sz w:val="24"/>
        </w:rPr>
        <w:t>• VN CHƯA CÓ NC dùng ML cho GAD ở VTN. Có thể áp dụng ML trên V-NAMHS (VN02, n=5.996) hoặc GSHS VN.</w:t>
      </w:r>
    </w:p>
    <w:p>
      <w:r>
        <w:rPr>
          <w:rFonts w:ascii="Times New Roman" w:hAnsi="Times New Roman"/>
          <w:b w:val="0"/>
          <w:color w:val="FF0000"/>
          <w:sz w:val="24"/>
        </w:rPr>
        <w:t>• So sánh KYRBS Hàn Quốc vs GSHS VN — cùng kiểu khảo sát trường.</w:t>
      </w:r>
    </w:p>
    <w:p>
      <w:r>
        <w:rPr>
          <w:rFonts w:ascii="Times New Roman" w:hAnsi="Times New Roman"/>
          <w:b w:val="0"/>
          <w:color w:val="FF0000"/>
          <w:sz w:val="24"/>
        </w:rPr>
        <w:t>• NC cô đơn ở VTN VN — chưa có NC riêng. Can thiệp giảm cô đơn (mentor/OGA — Ireland QT32) có thể hiệu quả hơn can thiệp stress.</w:t>
      </w:r>
    </w:p>
    <w:p>
      <w:r>
        <w:rPr>
          <w:rFonts w:ascii="Times New Roman" w:hAnsi="Times New Roman"/>
          <w:b w:val="0"/>
          <w:color w:val="FF0000"/>
          <w:sz w:val="24"/>
        </w:rPr>
        <w:t>• Kết hợp ML + NC dọc: chạy ML trên Hue Cohort (VN21) → xác định yếu tố DỰ BÁO GAD.</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