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https://doi.org/10.1016/j.ajp.2023.103896</w:t>
      </w:r>
    </w:p>
    <w:p>
      <w:pPr>
        <w:pStyle w:val="Heading1"/>
      </w:pPr>
      <w:r>
        <w:rPr>
          <w:rFonts w:ascii="Times New Roman" w:hAnsi="Times New Roman"/>
          <w:color w:val="000000"/>
        </w:rPr>
        <w:t>Tổng quan hệ thống về Liệu pháp Nhận thức–Hành vi Thích ứng Văn hóa (CA-CBT) cho rối loạn lo âu tại Đông Nam Á</w:t>
      </w:r>
    </w:p>
    <w:p>
      <w:r>
        <w:rPr>
          <w:rFonts w:ascii="Times New Roman" w:hAnsi="Times New Roman"/>
          <w:i/>
          <w:sz w:val="26"/>
        </w:rPr>
        <w:t>A systematic review of Culturally Adapted Cognitive Behavioral Therapy (CA-CBT) for anxiety disorders in Southeast Asia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 systematic review of Culturally Adapted Cognitive Behavioral Therapy (CA-CBT) for anxiety disorders in Southeast Asia</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Ardian Praptomojati (1,2)*, Ajeng Viska Icanervilia (3,4,5), Maaike H. Nauta (1), Theo K. Bouman (1)</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Tâm lý Lâm sàng, ĐH Groningen, Hà Lan; (2) ĐH Gadjah Mada, Indonesia; (3-5) Y tế, ĐH Groningen + ĐH Gadjah Mada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Asian Journal of Psychiatry (Q1, IF ≈ 12,0)</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2024, Vol. 92, 103896, 9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10.1016/j.ajp.2023.103896</w:t>
            </w:r>
          </w:p>
        </w:tc>
      </w:tr>
      <w:tr>
        <w:tc>
          <w:tcPr>
            <w:tcW w:type="dxa" w:w="4702"/>
            <w:tcW w:w="1984" w:type="dxa"/>
            <w:shd w:fill="D9E2F3" w:val="clear"/>
          </w:tcPr>
          <w:p>
            <w:r>
              <w:rPr>
                <w:rFonts w:ascii="Times New Roman" w:hAnsi="Times New Roman"/>
                <w:b/>
                <w:sz w:val="20"/>
              </w:rPr>
              <w:t>PROSPERO</w:t>
            </w:r>
          </w:p>
        </w:tc>
        <w:tc>
          <w:tcPr>
            <w:tcW w:type="dxa" w:w="4702"/>
            <w:tcW w:w="7087" w:type="dxa"/>
          </w:tcPr>
          <w:p>
            <w:r>
              <w:rPr>
                <w:rFonts w:ascii="Times New Roman" w:hAnsi="Times New Roman"/>
                <w:sz w:val="20"/>
              </w:rPr>
              <w:t>CRD42022336376</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Tổng quan hệ thống (PRISMA) — tổng hợp tường thuật</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11 nước ĐNA (ASEAN + Timor-Leste); 7 NC: Indonesia 3, Thái Lan 2, Singapore 1, Malaysia 1</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 BY 4.0</w:t>
            </w:r>
          </w:p>
        </w:tc>
      </w:tr>
    </w:tbl>
    <w:p>
      <w:r>
        <w:rPr>
          <w:rFonts w:ascii="Times New Roman" w:hAnsi="Times New Roman"/>
          <w:i/>
          <w:color w:val="808080"/>
          <w:sz w:val="18"/>
        </w:rPr>
        <w:t>--- Trang 1–9, Asian Journal of Psychiatry, Vol. 92, 2024 ---</w:t>
      </w:r>
    </w:p>
    <w:p>
      <w:pPr>
        <w:pStyle w:val="Heading2"/>
      </w:pPr>
      <w:r>
        <w:rPr>
          <w:rFonts w:ascii="Times New Roman" w:hAnsi="Times New Roman"/>
          <w:color w:val="000000"/>
        </w:rPr>
        <w:t>TÓM TẮT</w:t>
      </w:r>
    </w:p>
    <w:p>
      <w:r>
        <w:rPr>
          <w:rFonts w:ascii="Times New Roman" w:hAnsi="Times New Roman"/>
          <w:b w:val="0"/>
          <w:i w:val="0"/>
          <w:sz w:val="24"/>
        </w:rPr>
        <w:t>Bối cảnh: Liệu pháp Nhận thức–Hành vi (CBT) đã được chứng minh là điều trị hiệu quả cho rối loạn lo âu. Tuy nhiên, CBT vẫn chủ yếu sử dụng các khái niệm và cấu trúc bắt nguồn từ văn hóa phương Tây, và đa số nghiên cứu tập trung vào dân số phương Tây. Chưa rõ điều này chuyển đổi thế nào sang văn hóa phi phương Tây như Đông Nam Á.</w:t>
      </w:r>
    </w:p>
    <w:p>
      <w:r>
        <w:rPr>
          <w:rFonts w:ascii="Times New Roman" w:hAnsi="Times New Roman"/>
          <w:color w:val="CC0000"/>
          <w:sz w:val="24"/>
        </w:rPr>
        <w:t>Phương pháp: Tìm kiếm hệ thống PubMed, PsycINFO, Embase, CENTRAL, GARUDA, Google Scholar. Tiêu chuẩn: CBT thích ứng văn hóa (CA-CBT) cho rối loạn lo âu ở cộng đồng ĐNA. Phân tích tường thuật theo Khung Thích ứng Văn hóa Điều trị (CTAF): thành phần ngoại vi (peripheral) và thành phần cốt lõi (core).</w:t>
      </w:r>
    </w:p>
    <w:p>
      <w:r>
        <w:rPr>
          <w:rFonts w:ascii="Times New Roman" w:hAnsi="Times New Roman"/>
          <w:color w:val="CC0000"/>
          <w:sz w:val="24"/>
        </w:rPr>
        <w:t>Kết quả: 7 NC được chọn (1 RCT, 3 bán thực nghiệm, 3 ca lâm sàng). 2 NC thích ứng đa thành phần. 2 NC sửa đổi thành phần CỐT LÕI bằng tích hợp giá trị địa phương vào quá trình tái cấu trúc CBT. 3 NC thích ứng thành phần NGOẠI VI: tài liệu, ngữ nghĩa, ví dụ văn hóa, cấu trúc phiên. 1 RCT cho thấy CA-CBT CẢI THIỆN tốt hơn điều trị thông thường (TAU). Nhưng KHÔNG THỂ xác lập mức độ vượt trội của CA-CBT so với CBT không thích ứng.</w:t>
      </w:r>
    </w:p>
    <w:p>
      <w:pPr>
        <w:pStyle w:val="Heading2"/>
      </w:pPr>
      <w:r>
        <w:rPr>
          <w:rFonts w:ascii="Times New Roman" w:hAnsi="Times New Roman"/>
          <w:color w:val="000000"/>
        </w:rPr>
        <w:t>TÓM TẮT ĐÁNH GIÁ NHANH</w:t>
      </w:r>
    </w:p>
    <w:p>
      <w:r>
        <w:rPr>
          <w:rFonts w:ascii="Times New Roman" w:hAnsi="Times New Roman"/>
          <w:b w:val="0"/>
          <w:i w:val="0"/>
          <w:sz w:val="24"/>
        </w:rPr>
        <w:t>• Asian J Psychiatry Q1 IF ≈ 12 — tạp chí tâm thần châu Á UY TÍN NHẤT.</w:t>
      </w:r>
    </w:p>
    <w:p>
      <w:r>
        <w:rPr>
          <w:rFonts w:ascii="Times New Roman" w:hAnsi="Times New Roman"/>
          <w:b w:val="0"/>
          <w:i w:val="0"/>
          <w:sz w:val="24"/>
        </w:rPr>
        <w:t>• TỔNG QUAN HỆ THỐNG DUY NHẤT về CA-CBT lo âu tại ĐNA — rất phù hợp đề tài.</w:t>
      </w:r>
    </w:p>
    <w:p>
      <w:r>
        <w:rPr>
          <w:rFonts w:ascii="Times New Roman" w:hAnsi="Times New Roman"/>
          <w:b w:val="0"/>
          <w:i w:val="0"/>
          <w:sz w:val="24"/>
        </w:rPr>
        <w:t>• Phạm vi 11 nước ĐNA (bao gồm VN, mặc dù 0 NC tìm thấy từ VN).</w:t>
      </w:r>
    </w:p>
    <w:p>
      <w:r>
        <w:rPr>
          <w:rFonts w:ascii="Times New Roman" w:hAnsi="Times New Roman"/>
          <w:b w:val="0"/>
          <w:i w:val="0"/>
          <w:sz w:val="24"/>
        </w:rPr>
        <w:t>• Khung CTAF phân loại rõ: thích ứng ngoại vi vs cốt lõi — hướng dẫn thực hành.</w:t>
      </w:r>
    </w:p>
    <w:p>
      <w:r>
        <w:rPr>
          <w:rFonts w:ascii="Times New Roman" w:hAnsi="Times New Roman"/>
          <w:b w:val="0"/>
          <w:i w:val="0"/>
          <w:sz w:val="24"/>
        </w:rPr>
        <w:t>• Phát hiện quan trọng: CHỈ 7 NC về CA-CBT lo âu ở ĐNA — GAP cực lớn.</w:t>
      </w:r>
    </w:p>
    <w:p>
      <w:r>
        <w:rPr>
          <w:rFonts w:ascii="Times New Roman" w:hAnsi="Times New Roman"/>
          <w:b w:val="0"/>
          <w:i w:val="0"/>
          <w:sz w:val="24"/>
        </w:rPr>
        <w:t>• 0 NC từ VN, Cambodia, Laos, Myanmar, Brunei, Philippines, Timor-Leste.</w:t>
      </w:r>
    </w:p>
    <w:p>
      <w:r>
        <w:rPr>
          <w:rFonts w:ascii="Times New Roman" w:hAnsi="Times New Roman"/>
          <w:b w:val="0"/>
          <w:i w:val="0"/>
          <w:sz w:val="24"/>
        </w:rPr>
        <w:t>• Open Access CC BY — tải miễn phí.</w:t>
      </w:r>
    </w:p>
    <w:p>
      <w:r>
        <w:rPr>
          <w:rFonts w:ascii="Times New Roman" w:hAnsi="Times New Roman"/>
          <w:b/>
          <w:i w:val="0"/>
          <w:sz w:val="24"/>
        </w:rPr>
        <w:t>Hạn chế:</w:t>
      </w:r>
    </w:p>
    <w:p>
      <w:r>
        <w:rPr>
          <w:rFonts w:ascii="Times New Roman" w:hAnsi="Times New Roman"/>
          <w:b w:val="0"/>
          <w:i w:val="0"/>
          <w:sz w:val="24"/>
        </w:rPr>
        <w:t>• Chỉ 7 NC — quá ít để rút kết luận mạnh. 1 RCT duy nhất.</w:t>
      </w:r>
    </w:p>
    <w:p>
      <w:r>
        <w:rPr>
          <w:rFonts w:ascii="Times New Roman" w:hAnsi="Times New Roman"/>
          <w:b w:val="0"/>
          <w:i w:val="0"/>
          <w:sz w:val="24"/>
        </w:rPr>
        <w:t>• Tổng hợp tường thuật (không meta-analysis) do thiếu dữ liệu.</w:t>
      </w:r>
    </w:p>
    <w:p>
      <w:r>
        <w:rPr>
          <w:rFonts w:ascii="Times New Roman" w:hAnsi="Times New Roman"/>
          <w:b w:val="0"/>
          <w:i w:val="0"/>
          <w:sz w:val="24"/>
        </w:rPr>
        <w:t>• Không tìm thấy NC nào từ VN — dù VN nằm trong phạm vi tìm kiếm.</w:t>
      </w:r>
    </w:p>
    <w:p>
      <w:r>
        <w:rPr>
          <w:rFonts w:ascii="Times New Roman" w:hAnsi="Times New Roman"/>
          <w:b w:val="0"/>
          <w:i w:val="0"/>
          <w:sz w:val="24"/>
        </w:rPr>
        <w:t>• Bài phát hành 2024 nhưng tìm kiếm chỉ đến 6/2023.</w:t>
      </w:r>
    </w:p>
    <w:p>
      <w:r>
        <w:rPr>
          <w:rFonts w:ascii="Times New Roman" w:hAnsi="Times New Roman"/>
          <w:i/>
          <w:color w:val="808080"/>
          <w:sz w:val="18"/>
        </w:rPr>
        <w:t>--- Trang 1–2, Asian J Psychiatry, Vol. 92, 2024 ---</w:t>
      </w:r>
    </w:p>
    <w:p>
      <w:pPr>
        <w:pStyle w:val="Heading2"/>
      </w:pPr>
      <w:r>
        <w:rPr>
          <w:rFonts w:ascii="Times New Roman" w:hAnsi="Times New Roman"/>
          <w:color w:val="000000"/>
        </w:rPr>
        <w:t>1. GIỚI THIỆU</w:t>
      </w:r>
    </w:p>
    <w:p>
      <w:r>
        <w:rPr>
          <w:rFonts w:ascii="Times New Roman" w:hAnsi="Times New Roman"/>
          <w:b w:val="0"/>
          <w:i w:val="0"/>
          <w:sz w:val="24"/>
        </w:rPr>
        <w:t>Rối loạn lo âu thuộc nhóm rối loạn tâm thần phổ biến nhất, với gánh nặng bệnh tật và chi phí y tế cao nhất (Bandelow &amp; Michaelis, 2015). WHO ước tính 60,05 triệu người (23% dân số) sống với rối loạn lo âu tại ĐNA (WHO, 2017). Tại Indonesia, khoảng 8 triệu người (3,3%) mắc rối loạn lo âu. Tuy nhiên, không phải tất cả người bệnh tâm thần ở ĐNA nhận được giúp đỡ chuyên nghiệp do dịch vụ SKTT và nhân lực hạn chế.</w:t>
      </w:r>
    </w:p>
    <w:p>
      <w:r>
        <w:rPr>
          <w:rFonts w:ascii="Times New Roman" w:hAnsi="Times New Roman"/>
          <w:b w:val="0"/>
          <w:i w:val="0"/>
          <w:sz w:val="24"/>
        </w:rPr>
        <w:t>CBT — một trong các phương pháp điều trị tâm lý được nghiên cứu nhiều nhất, đã chứng minh hiệu quả tốt qua nhiều định dạng — chủ yếu sử dụng khái niệm bắt nguồn từ văn hóa phương Tây. Điều này đặt câu hỏi về hiệu quả khi áp dụng cho dân số châu Á do khác biệt văn hóa (Rathod et al., 2018).</w:t>
      </w:r>
    </w:p>
    <w:p>
      <w:r>
        <w:rPr>
          <w:rFonts w:ascii="Times New Roman" w:hAnsi="Times New Roman"/>
          <w:b w:val="0"/>
          <w:i w:val="0"/>
          <w:sz w:val="24"/>
        </w:rPr>
        <w:t>Thích ứng văn hóa (cultural adaptation) được định nghĩa là "sửa đổi có hệ thống một phương pháp điều trị dựa trên bằng chứng để phù hợp với ngôn ngữ, văn hóa, và bối cảnh sao cho tương thích với mô hình văn hóa, ý nghĩa, và giá trị của thân chủ" (Bernal et al., 2009). Khung CTAF (Cultural Treatment Adaptation Framework) chia thành: (1) Thích ứng NGOẠI VI — làm cho điều trị dễ hiểu và chấp nhận được; (2) Thích ứng CỐT LÕI — sửa đổi thành phần chính điều trị trung gian thay đổi triệu chứng.</w:t>
      </w:r>
    </w:p>
    <w:p>
      <w:r>
        <w:rPr>
          <w:rFonts w:ascii="Times New Roman" w:hAnsi="Times New Roman"/>
          <w:i/>
          <w:color w:val="808080"/>
          <w:sz w:val="18"/>
        </w:rPr>
        <w:t>--- Trang 2–3, Asian J Psychiatry, Vol. 92, 2024 ---</w:t>
      </w:r>
    </w:p>
    <w:p>
      <w:pPr>
        <w:pStyle w:val="Heading2"/>
      </w:pPr>
      <w:r>
        <w:rPr>
          <w:rFonts w:ascii="Times New Roman" w:hAnsi="Times New Roman"/>
          <w:color w:val="000000"/>
        </w:rPr>
        <w:t>2. PHƯƠNG PHÁP</w:t>
      </w:r>
    </w:p>
    <w:p>
      <w:r>
        <w:rPr>
          <w:rFonts w:ascii="Times New Roman" w:hAnsi="Times New Roman"/>
          <w:b w:val="0"/>
          <w:i w:val="0"/>
          <w:sz w:val="24"/>
        </w:rPr>
        <w:t>PRISMA + PROSPERO (CRD42022336376). Tìm kiếm 7/2022, cập nhật 6/2023: PubMed, PsycINFO, Embase, CENTRAL, GARUDA (Indonesia), Google Scholar. Tiêu chuẩn: CA-CBT cho rối loạn lo âu ở cộng đồng 11 nước ĐNA (bao gồm VN). PTSD được bao gồm (trước DSM-5 thuộc lo âu). Không giới hạn tuổi, giới. Đánh giá thiên lệch: RoB 2 (RCT), ROBINS-I (bán thực nghiệm), JBI (ca lâm sàng).</w:t>
      </w:r>
    </w:p>
    <w:p>
      <w:r>
        <w:rPr>
          <w:rFonts w:ascii="Times New Roman" w:hAnsi="Times New Roman"/>
          <w:i/>
          <w:color w:val="808080"/>
          <w:sz w:val="18"/>
        </w:rPr>
        <w:t>--- Trang 3–7, Asian J Psychiatry, Vol. 92, 2024 ---</w:t>
      </w:r>
    </w:p>
    <w:p>
      <w:pPr>
        <w:pStyle w:val="Heading2"/>
      </w:pPr>
      <w:r>
        <w:rPr>
          <w:rFonts w:ascii="Times New Roman" w:hAnsi="Times New Roman"/>
          <w:color w:val="000000"/>
        </w:rPr>
        <w:t>3. KẾT QUẢ</w:t>
      </w:r>
    </w:p>
    <w:p>
      <w:r>
        <w:rPr>
          <w:rFonts w:ascii="Times New Roman" w:hAnsi="Times New Roman"/>
          <w:b w:val="0"/>
          <w:i w:val="0"/>
          <w:sz w:val="24"/>
        </w:rPr>
        <w:t>1.653 bản ghi → loại trùng → 1.073 sàng lọc → 22 toàn văn → 7 NC đủ tiêu chuẩn.</w:t>
      </w:r>
    </w:p>
    <w:p>
      <w:pPr>
        <w:pStyle w:val="Heading3"/>
      </w:pPr>
      <w:r>
        <w:rPr>
          <w:rFonts w:ascii="Times New Roman" w:hAnsi="Times New Roman"/>
          <w:color w:val="000000"/>
        </w:rPr>
        <w:t>Bảng 1. Đặc điểm 7 NC về CA-CBT lo âu ở ĐNA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Quốc gia</w:t>
            </w:r>
          </w:p>
        </w:tc>
        <w:tc>
          <w:tcPr>
            <w:tcW w:type="dxa" w:w="1881"/>
            <w:tcW w:w="850" w:type="dxa"/>
            <w:shd w:fill="D9E2F3" w:val="clear"/>
          </w:tcPr>
          <w:p>
            <w:pPr>
              <w:jc w:val="center"/>
            </w:pPr>
            <w:r>
              <w:rPr>
                <w:rFonts w:ascii="Times New Roman" w:hAnsi="Times New Roman"/>
                <w:b/>
                <w:sz w:val="20"/>
              </w:rPr>
              <w:t>Số NC</w:t>
            </w:r>
          </w:p>
        </w:tc>
        <w:tc>
          <w:tcPr>
            <w:tcW w:type="dxa" w:w="1881"/>
            <w:tcW w:w="1701" w:type="dxa"/>
            <w:shd w:fill="D9E2F3" w:val="clear"/>
          </w:tcPr>
          <w:p>
            <w:pPr>
              <w:jc w:val="center"/>
            </w:pPr>
            <w:r>
              <w:rPr>
                <w:rFonts w:ascii="Times New Roman" w:hAnsi="Times New Roman"/>
                <w:b/>
                <w:sz w:val="20"/>
              </w:rPr>
              <w:t>Thiết kế</w:t>
            </w:r>
          </w:p>
        </w:tc>
        <w:tc>
          <w:tcPr>
            <w:tcW w:type="dxa" w:w="1881"/>
            <w:tcW w:w="1701" w:type="dxa"/>
            <w:shd w:fill="D9E2F3" w:val="clear"/>
          </w:tcPr>
          <w:p>
            <w:pPr>
              <w:jc w:val="center"/>
            </w:pPr>
            <w:r>
              <w:rPr>
                <w:rFonts w:ascii="Times New Roman" w:hAnsi="Times New Roman"/>
                <w:b/>
                <w:sz w:val="20"/>
              </w:rPr>
              <w:t>Rối loạn</w:t>
            </w:r>
          </w:p>
        </w:tc>
        <w:tc>
          <w:tcPr>
            <w:tcW w:type="dxa" w:w="1881"/>
            <w:tcW w:w="1417" w:type="dxa"/>
            <w:shd w:fill="D9E2F3" w:val="clear"/>
          </w:tcPr>
          <w:p>
            <w:pPr>
              <w:jc w:val="center"/>
            </w:pPr>
            <w:r>
              <w:rPr>
                <w:rFonts w:ascii="Times New Roman" w:hAnsi="Times New Roman"/>
                <w:b/>
                <w:sz w:val="20"/>
              </w:rPr>
              <w:t>Giai đoạn</w:t>
            </w:r>
          </w:p>
        </w:tc>
      </w:tr>
      <w:tr>
        <w:tc>
          <w:tcPr>
            <w:tcW w:type="dxa" w:w="1881"/>
            <w:tcW w:w="1701" w:type="dxa"/>
          </w:tcPr>
          <w:p>
            <w:r>
              <w:rPr>
                <w:rFonts w:ascii="Times New Roman" w:hAnsi="Times New Roman"/>
                <w:sz w:val="20"/>
              </w:rPr>
              <w:t>Indonesia</w:t>
            </w:r>
          </w:p>
        </w:tc>
        <w:tc>
          <w:tcPr>
            <w:tcW w:type="dxa" w:w="1881"/>
            <w:tcW w:w="850" w:type="dxa"/>
          </w:tcPr>
          <w:p>
            <w:r>
              <w:rPr>
                <w:rFonts w:ascii="Times New Roman" w:hAnsi="Times New Roman"/>
                <w:sz w:val="20"/>
              </w:rPr>
              <w:t>3</w:t>
            </w:r>
          </w:p>
        </w:tc>
        <w:tc>
          <w:tcPr>
            <w:tcW w:type="dxa" w:w="1881"/>
            <w:tcW w:w="1701" w:type="dxa"/>
          </w:tcPr>
          <w:p>
            <w:r>
              <w:rPr>
                <w:rFonts w:ascii="Times New Roman" w:hAnsi="Times New Roman"/>
                <w:sz w:val="20"/>
              </w:rPr>
              <w:t>1 bán TN + 2 ca LS</w:t>
            </w:r>
          </w:p>
        </w:tc>
        <w:tc>
          <w:tcPr>
            <w:tcW w:type="dxa" w:w="1881"/>
            <w:tcW w:w="1701" w:type="dxa"/>
          </w:tcPr>
          <w:p>
            <w:r>
              <w:rPr>
                <w:rFonts w:ascii="Times New Roman" w:hAnsi="Times New Roman"/>
                <w:sz w:val="20"/>
              </w:rPr>
              <w:t>PTSD, SAD, Panic</w:t>
            </w:r>
          </w:p>
        </w:tc>
        <w:tc>
          <w:tcPr>
            <w:tcW w:type="dxa" w:w="1881"/>
            <w:tcW w:w="1417" w:type="dxa"/>
          </w:tcPr>
          <w:p>
            <w:r>
              <w:rPr>
                <w:rFonts w:ascii="Times New Roman" w:hAnsi="Times New Roman"/>
                <w:sz w:val="20"/>
              </w:rPr>
              <w:t>2007–2022</w:t>
            </w:r>
          </w:p>
        </w:tc>
      </w:tr>
      <w:tr>
        <w:tc>
          <w:tcPr>
            <w:tcW w:type="dxa" w:w="1881"/>
            <w:tcW w:w="1701" w:type="dxa"/>
          </w:tcPr>
          <w:p>
            <w:r>
              <w:rPr>
                <w:rFonts w:ascii="Times New Roman" w:hAnsi="Times New Roman"/>
                <w:sz w:val="20"/>
              </w:rPr>
              <w:t>Thái Lan</w:t>
            </w:r>
          </w:p>
        </w:tc>
        <w:tc>
          <w:tcPr>
            <w:tcW w:type="dxa" w:w="1881"/>
            <w:tcW w:w="850" w:type="dxa"/>
          </w:tcPr>
          <w:p>
            <w:r>
              <w:rPr>
                <w:rFonts w:ascii="Times New Roman" w:hAnsi="Times New Roman"/>
                <w:sz w:val="20"/>
              </w:rPr>
              <w:t>2</w:t>
            </w:r>
          </w:p>
        </w:tc>
        <w:tc>
          <w:tcPr>
            <w:tcW w:type="dxa" w:w="1881"/>
            <w:tcW w:w="1701" w:type="dxa"/>
          </w:tcPr>
          <w:p>
            <w:r>
              <w:rPr>
                <w:rFonts w:ascii="Times New Roman" w:hAnsi="Times New Roman"/>
                <w:sz w:val="20"/>
              </w:rPr>
              <w:t>1 RCT + 1 bán TN</w:t>
            </w:r>
          </w:p>
        </w:tc>
        <w:tc>
          <w:tcPr>
            <w:tcW w:type="dxa" w:w="1881"/>
            <w:tcW w:w="1701" w:type="dxa"/>
          </w:tcPr>
          <w:p>
            <w:r>
              <w:rPr>
                <w:rFonts w:ascii="Times New Roman" w:hAnsi="Times New Roman"/>
                <w:sz w:val="20"/>
              </w:rPr>
              <w:t>Đa lo âu, PTSD</w:t>
            </w:r>
          </w:p>
        </w:tc>
        <w:tc>
          <w:tcPr>
            <w:tcW w:type="dxa" w:w="1881"/>
            <w:tcW w:w="1417" w:type="dxa"/>
          </w:tcPr>
          <w:p>
            <w:r>
              <w:rPr>
                <w:rFonts w:ascii="Times New Roman" w:hAnsi="Times New Roman"/>
                <w:sz w:val="20"/>
              </w:rPr>
              <w:t>2007–2019</w:t>
            </w:r>
          </w:p>
        </w:tc>
      </w:tr>
      <w:tr>
        <w:tc>
          <w:tcPr>
            <w:tcW w:type="dxa" w:w="1881"/>
            <w:tcW w:w="1701" w:type="dxa"/>
          </w:tcPr>
          <w:p>
            <w:r>
              <w:rPr>
                <w:rFonts w:ascii="Times New Roman" w:hAnsi="Times New Roman"/>
                <w:sz w:val="20"/>
              </w:rPr>
              <w:t>Singapore</w:t>
            </w:r>
          </w:p>
        </w:tc>
        <w:tc>
          <w:tcPr>
            <w:tcW w:type="dxa" w:w="1881"/>
            <w:tcW w:w="850" w:type="dxa"/>
          </w:tcPr>
          <w:p>
            <w:r>
              <w:rPr>
                <w:rFonts w:ascii="Times New Roman" w:hAnsi="Times New Roman"/>
                <w:sz w:val="20"/>
              </w:rPr>
              <w:t>1</w:t>
            </w:r>
          </w:p>
        </w:tc>
        <w:tc>
          <w:tcPr>
            <w:tcW w:type="dxa" w:w="1881"/>
            <w:tcW w:w="1701" w:type="dxa"/>
          </w:tcPr>
          <w:p>
            <w:r>
              <w:rPr>
                <w:rFonts w:ascii="Times New Roman" w:hAnsi="Times New Roman"/>
                <w:sz w:val="20"/>
              </w:rPr>
              <w:t>Bán thực nghiệm</w:t>
            </w:r>
          </w:p>
        </w:tc>
        <w:tc>
          <w:tcPr>
            <w:tcW w:type="dxa" w:w="1881"/>
            <w:tcW w:w="1701" w:type="dxa"/>
          </w:tcPr>
          <w:p>
            <w:r>
              <w:rPr>
                <w:rFonts w:ascii="Times New Roman" w:hAnsi="Times New Roman"/>
                <w:sz w:val="20"/>
              </w:rPr>
              <w:t>SAD</w:t>
            </w:r>
          </w:p>
        </w:tc>
        <w:tc>
          <w:tcPr>
            <w:tcW w:type="dxa" w:w="1881"/>
            <w:tcW w:w="1417" w:type="dxa"/>
          </w:tcPr>
          <w:p>
            <w:r>
              <w:rPr>
                <w:rFonts w:ascii="Times New Roman" w:hAnsi="Times New Roman"/>
                <w:sz w:val="20"/>
              </w:rPr>
              <w:t>2017</w:t>
            </w:r>
          </w:p>
        </w:tc>
      </w:tr>
      <w:tr>
        <w:tc>
          <w:tcPr>
            <w:tcW w:type="dxa" w:w="1881"/>
            <w:tcW w:w="1701" w:type="dxa"/>
          </w:tcPr>
          <w:p>
            <w:r>
              <w:rPr>
                <w:rFonts w:ascii="Times New Roman" w:hAnsi="Times New Roman"/>
                <w:sz w:val="20"/>
              </w:rPr>
              <w:t>Malaysia</w:t>
            </w:r>
          </w:p>
        </w:tc>
        <w:tc>
          <w:tcPr>
            <w:tcW w:type="dxa" w:w="1881"/>
            <w:tcW w:w="850" w:type="dxa"/>
          </w:tcPr>
          <w:p>
            <w:r>
              <w:rPr>
                <w:rFonts w:ascii="Times New Roman" w:hAnsi="Times New Roman"/>
                <w:sz w:val="20"/>
              </w:rPr>
              <w:t>1</w:t>
            </w:r>
          </w:p>
        </w:tc>
        <w:tc>
          <w:tcPr>
            <w:tcW w:type="dxa" w:w="1881"/>
            <w:tcW w:w="1701" w:type="dxa"/>
          </w:tcPr>
          <w:p>
            <w:r>
              <w:rPr>
                <w:rFonts w:ascii="Times New Roman" w:hAnsi="Times New Roman"/>
                <w:sz w:val="20"/>
              </w:rPr>
              <w:t>Ca lâm sàng</w:t>
            </w:r>
          </w:p>
        </w:tc>
        <w:tc>
          <w:tcPr>
            <w:tcW w:type="dxa" w:w="1881"/>
            <w:tcW w:w="1701" w:type="dxa"/>
          </w:tcPr>
          <w:p>
            <w:r>
              <w:rPr>
                <w:rFonts w:ascii="Times New Roman" w:hAnsi="Times New Roman"/>
                <w:sz w:val="20"/>
              </w:rPr>
              <w:t>Lo âu chung</w:t>
            </w:r>
          </w:p>
        </w:tc>
        <w:tc>
          <w:tcPr>
            <w:tcW w:type="dxa" w:w="1881"/>
            <w:tcW w:w="1417" w:type="dxa"/>
          </w:tcPr>
          <w:p>
            <w:r>
              <w:rPr>
                <w:rFonts w:ascii="Times New Roman" w:hAnsi="Times New Roman"/>
                <w:sz w:val="20"/>
              </w:rPr>
              <w:t>2022</w:t>
            </w:r>
          </w:p>
        </w:tc>
      </w:tr>
      <w:tr>
        <w:tc>
          <w:tcPr>
            <w:tcW w:type="dxa" w:w="1881"/>
            <w:tcW w:w="1701" w:type="dxa"/>
          </w:tcPr>
          <w:p>
            <w:r>
              <w:rPr>
                <w:rFonts w:ascii="Times New Roman" w:hAnsi="Times New Roman"/>
                <w:sz w:val="20"/>
              </w:rPr>
              <w:t>VN, Cambodia, Laos...</w:t>
            </w:r>
          </w:p>
        </w:tc>
        <w:tc>
          <w:tcPr>
            <w:tcW w:type="dxa" w:w="1881"/>
            <w:tcW w:w="850" w:type="dxa"/>
          </w:tcPr>
          <w:p>
            <w:r>
              <w:rPr>
                <w:rFonts w:ascii="Times New Roman" w:hAnsi="Times New Roman"/>
                <w:sz w:val="20"/>
              </w:rPr>
              <w:t>0</w:t>
            </w:r>
          </w:p>
        </w:tc>
        <w:tc>
          <w:tcPr>
            <w:tcW w:type="dxa" w:w="1881"/>
            <w:tcW w:w="1701" w:type="dxa"/>
          </w:tcPr>
          <w:p>
            <w:r>
              <w:rPr>
                <w:rFonts w:ascii="Times New Roman" w:hAnsi="Times New Roman"/>
                <w:sz w:val="20"/>
              </w:rPr>
              <w:t>—</w:t>
            </w:r>
          </w:p>
        </w:tc>
        <w:tc>
          <w:tcPr>
            <w:tcW w:type="dxa" w:w="1881"/>
            <w:tcW w:w="1701" w:type="dxa"/>
          </w:tcPr>
          <w:p>
            <w:r>
              <w:rPr>
                <w:rFonts w:ascii="Times New Roman" w:hAnsi="Times New Roman"/>
                <w:sz w:val="20"/>
              </w:rPr>
              <w:t>—</w:t>
            </w:r>
          </w:p>
        </w:tc>
        <w:tc>
          <w:tcPr>
            <w:tcW w:type="dxa" w:w="1881"/>
            <w:tcW w:w="1417" w:type="dxa"/>
          </w:tcPr>
          <w:p>
            <w:r>
              <w:rPr>
                <w:rFonts w:ascii="Times New Roman" w:hAnsi="Times New Roman"/>
                <w:sz w:val="20"/>
              </w:rPr>
              <w:t>KHÔNG TÌM THẤY</w:t>
            </w:r>
          </w:p>
        </w:tc>
      </w:tr>
    </w:tbl>
    <w:p>
      <w:pPr>
        <w:pStyle w:val="Heading3"/>
      </w:pPr>
      <w:r>
        <w:rPr>
          <w:rFonts w:ascii="Times New Roman" w:hAnsi="Times New Roman"/>
          <w:color w:val="000000"/>
        </w:rPr>
        <w:t>Bảng 2. Loại thích ứng văn hóa (CTAF)</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Loại thích ứng</w:t>
            </w:r>
          </w:p>
        </w:tc>
        <w:tc>
          <w:tcPr>
            <w:tcW w:type="dxa" w:w="3135"/>
            <w:tcW w:w="850" w:type="dxa"/>
            <w:shd w:fill="D9E2F3" w:val="clear"/>
          </w:tcPr>
          <w:p>
            <w:pPr>
              <w:jc w:val="center"/>
            </w:pPr>
            <w:r>
              <w:rPr>
                <w:rFonts w:ascii="Times New Roman" w:hAnsi="Times New Roman"/>
                <w:b/>
                <w:sz w:val="20"/>
              </w:rPr>
              <w:t>Số NC</w:t>
            </w:r>
          </w:p>
        </w:tc>
        <w:tc>
          <w:tcPr>
            <w:tcW w:type="dxa" w:w="3135"/>
            <w:tcW w:w="3969" w:type="dxa"/>
            <w:shd w:fill="D9E2F3" w:val="clear"/>
          </w:tcPr>
          <w:p>
            <w:pPr>
              <w:jc w:val="center"/>
            </w:pPr>
            <w:r>
              <w:rPr>
                <w:rFonts w:ascii="Times New Roman" w:hAnsi="Times New Roman"/>
                <w:b/>
                <w:sz w:val="20"/>
              </w:rPr>
              <w:t>Ví dụ cụ thể</w:t>
            </w:r>
          </w:p>
        </w:tc>
      </w:tr>
      <w:tr>
        <w:tc>
          <w:tcPr>
            <w:tcW w:type="dxa" w:w="3135"/>
            <w:tcW w:w="2268" w:type="dxa"/>
          </w:tcPr>
          <w:p>
            <w:r>
              <w:rPr>
                <w:rFonts w:ascii="Times New Roman" w:hAnsi="Times New Roman"/>
                <w:sz w:val="20"/>
              </w:rPr>
              <w:t>Ngoại vi — Tài liệu + Ngữ nghĩa</w:t>
            </w:r>
          </w:p>
        </w:tc>
        <w:tc>
          <w:tcPr>
            <w:tcW w:type="dxa" w:w="3135"/>
            <w:tcW w:w="850" w:type="dxa"/>
          </w:tcPr>
          <w:p>
            <w:r>
              <w:rPr>
                <w:rFonts w:ascii="Times New Roman" w:hAnsi="Times New Roman"/>
                <w:sz w:val="20"/>
              </w:rPr>
              <w:t>3</w:t>
            </w:r>
          </w:p>
        </w:tc>
        <w:tc>
          <w:tcPr>
            <w:tcW w:type="dxa" w:w="3135"/>
            <w:tcW w:w="3969" w:type="dxa"/>
          </w:tcPr>
          <w:p>
            <w:r>
              <w:rPr>
                <w:rFonts w:ascii="Times New Roman" w:hAnsi="Times New Roman"/>
                <w:sz w:val="20"/>
              </w:rPr>
              <w:t>Dịch thuật, điều chỉnh ngôn ngữ, ví dụ địa phương</w:t>
            </w:r>
          </w:p>
        </w:tc>
      </w:tr>
      <w:tr>
        <w:tc>
          <w:tcPr>
            <w:tcW w:type="dxa" w:w="3135"/>
            <w:tcW w:w="2268" w:type="dxa"/>
          </w:tcPr>
          <w:p>
            <w:r>
              <w:rPr>
                <w:rFonts w:ascii="Times New Roman" w:hAnsi="Times New Roman"/>
                <w:sz w:val="20"/>
              </w:rPr>
              <w:t>Ngoại vi — Cấu trúc phiên</w:t>
            </w:r>
          </w:p>
        </w:tc>
        <w:tc>
          <w:tcPr>
            <w:tcW w:type="dxa" w:w="3135"/>
            <w:tcW w:w="850" w:type="dxa"/>
          </w:tcPr>
          <w:p>
            <w:r>
              <w:rPr>
                <w:rFonts w:ascii="Times New Roman" w:hAnsi="Times New Roman"/>
                <w:sz w:val="20"/>
              </w:rPr>
              <w:t>1</w:t>
            </w:r>
          </w:p>
        </w:tc>
        <w:tc>
          <w:tcPr>
            <w:tcW w:type="dxa" w:w="3135"/>
            <w:tcW w:w="3969" w:type="dxa"/>
          </w:tcPr>
          <w:p>
            <w:r>
              <w:rPr>
                <w:rFonts w:ascii="Times New Roman" w:hAnsi="Times New Roman"/>
                <w:sz w:val="20"/>
              </w:rPr>
              <w:t>Điều chỉnh số phiên, thời lượng</w:t>
            </w:r>
          </w:p>
        </w:tc>
      </w:tr>
      <w:tr>
        <w:tc>
          <w:tcPr>
            <w:tcW w:type="dxa" w:w="3135"/>
            <w:tcW w:w="2268" w:type="dxa"/>
          </w:tcPr>
          <w:p>
            <w:r>
              <w:rPr>
                <w:rFonts w:ascii="Times New Roman" w:hAnsi="Times New Roman"/>
                <w:sz w:val="20"/>
              </w:rPr>
              <w:t>Cốt lõi — Tái cấu trúc nhận thức</w:t>
            </w:r>
          </w:p>
        </w:tc>
        <w:tc>
          <w:tcPr>
            <w:tcW w:type="dxa" w:w="3135"/>
            <w:tcW w:w="850" w:type="dxa"/>
          </w:tcPr>
          <w:p>
            <w:r>
              <w:rPr>
                <w:rFonts w:ascii="Times New Roman" w:hAnsi="Times New Roman"/>
                <w:sz w:val="20"/>
              </w:rPr>
              <w:t>2</w:t>
            </w:r>
          </w:p>
        </w:tc>
        <w:tc>
          <w:tcPr>
            <w:tcW w:type="dxa" w:w="3135"/>
            <w:tcW w:w="3969" w:type="dxa"/>
          </w:tcPr>
          <w:p>
            <w:r>
              <w:rPr>
                <w:rFonts w:ascii="Times New Roman" w:hAnsi="Times New Roman"/>
                <w:sz w:val="20"/>
              </w:rPr>
              <w:t>Tích hợp GIÁ TRỊ ĐỊA PHƯƠNG vào quá trình thay đổi suy nghĩ</w:t>
            </w:r>
          </w:p>
        </w:tc>
      </w:tr>
      <w:tr>
        <w:tc>
          <w:tcPr>
            <w:tcW w:type="dxa" w:w="3135"/>
            <w:tcW w:w="2268" w:type="dxa"/>
          </w:tcPr>
          <w:p>
            <w:r>
              <w:rPr>
                <w:rFonts w:ascii="Times New Roman" w:hAnsi="Times New Roman"/>
                <w:sz w:val="20"/>
              </w:rPr>
              <w:t>Đa thành phần</w:t>
            </w:r>
          </w:p>
        </w:tc>
        <w:tc>
          <w:tcPr>
            <w:tcW w:type="dxa" w:w="3135"/>
            <w:tcW w:w="850" w:type="dxa"/>
          </w:tcPr>
          <w:p>
            <w:r>
              <w:rPr>
                <w:rFonts w:ascii="Times New Roman" w:hAnsi="Times New Roman"/>
                <w:sz w:val="20"/>
              </w:rPr>
              <w:t>2</w:t>
            </w:r>
          </w:p>
        </w:tc>
        <w:tc>
          <w:tcPr>
            <w:tcW w:type="dxa" w:w="3135"/>
            <w:tcW w:w="3969" w:type="dxa"/>
          </w:tcPr>
          <w:p>
            <w:r>
              <w:rPr>
                <w:rFonts w:ascii="Times New Roman" w:hAnsi="Times New Roman"/>
                <w:sz w:val="20"/>
              </w:rPr>
              <w:t>Kết hợp ngoại vi + cốt lõi</w:t>
            </w:r>
          </w:p>
        </w:tc>
      </w:tr>
      <w:tr>
        <w:tc>
          <w:tcPr>
            <w:tcW w:type="dxa" w:w="3135"/>
            <w:tcW w:w="2268" w:type="dxa"/>
          </w:tcPr>
          <w:p>
            <w:r>
              <w:rPr>
                <w:rFonts w:ascii="Times New Roman" w:hAnsi="Times New Roman"/>
                <w:sz w:val="20"/>
              </w:rPr>
              <w:t>Không rõ ràng</w:t>
            </w:r>
          </w:p>
        </w:tc>
        <w:tc>
          <w:tcPr>
            <w:tcW w:type="dxa" w:w="3135"/>
            <w:tcW w:w="850" w:type="dxa"/>
          </w:tcPr>
          <w:p>
            <w:r>
              <w:rPr>
                <w:rFonts w:ascii="Times New Roman" w:hAnsi="Times New Roman"/>
                <w:sz w:val="20"/>
              </w:rPr>
              <w:t>3</w:t>
            </w:r>
          </w:p>
        </w:tc>
        <w:tc>
          <w:tcPr>
            <w:tcW w:type="dxa" w:w="3135"/>
            <w:tcW w:w="3969" w:type="dxa"/>
          </w:tcPr>
          <w:p>
            <w:r>
              <w:rPr>
                <w:rFonts w:ascii="Times New Roman" w:hAnsi="Times New Roman"/>
                <w:sz w:val="20"/>
              </w:rPr>
              <w:t>Không mô tả chi tiết thích ứng</w:t>
            </w:r>
          </w:p>
        </w:tc>
      </w:tr>
    </w:tbl>
    <w:p>
      <w:r>
        <w:rPr>
          <w:rFonts w:ascii="Times New Roman" w:hAnsi="Times New Roman"/>
          <w:b w:val="0"/>
          <w:i/>
          <w:sz w:val="18"/>
        </w:rPr>
        <w:t>Phát hiện quan trọng: 2 NC tích hợp giá trị ĐỊA PHƯƠNG (ví dụ: giá trị gia đình, tôn giáo, tôn trọng thứ bậc) vào CBT tái cấu trúc — đây là thích ứng CỐT LÕI, không chỉ dịch thuật.</w:t>
      </w:r>
    </w:p>
    <w:p>
      <w:r>
        <w:rPr>
          <w:rFonts w:ascii="Times New Roman" w:hAnsi="Times New Roman"/>
          <w:b w:val="0"/>
          <w:i w:val="0"/>
          <w:sz w:val="24"/>
        </w:rPr>
        <w:t>1 RCT duy nhất (Thái Lan): CA-CBT cải thiện tốt hơn điều trị thông thường (TAU). Tuy nhiên, không đủ dữ liệu để so sánh CA-CBT vs CBT KHÔNG thích ứng — không biết thích ứng có THỰC SỰ vượt trội hay CBT gốc cũng hiệu quả tương đương.</w:t>
      </w:r>
    </w:p>
    <w:p>
      <w:r>
        <w:rPr>
          <w:rFonts w:ascii="Times New Roman" w:hAnsi="Times New Roman"/>
          <w:i/>
          <w:color w:val="808080"/>
          <w:sz w:val="18"/>
        </w:rPr>
        <w:t>--- Trang 7–9, Asian J Psychiatry, Vol. 92, 2024 ---</w:t>
      </w:r>
    </w:p>
    <w:p>
      <w:pPr>
        <w:pStyle w:val="Heading2"/>
      </w:pPr>
      <w:r>
        <w:rPr>
          <w:rFonts w:ascii="Times New Roman" w:hAnsi="Times New Roman"/>
          <w:color w:val="000000"/>
        </w:rPr>
        <w:t>4. THẢO LUẬN VÀ KẾT LUẬN</w:t>
      </w:r>
    </w:p>
    <w:p>
      <w:r>
        <w:rPr>
          <w:rFonts w:ascii="Times New Roman" w:hAnsi="Times New Roman"/>
          <w:b w:val="0"/>
          <w:i w:val="0"/>
          <w:sz w:val="24"/>
        </w:rPr>
        <w:t>CHỈ 7 NC về CA-CBT lo âu ở ĐNA — rất ít. Gợi ý nhu cầu NC lớn hơn, đặc biệt RCT so sánh CA-CBT vs CBT gốc. Các thành phần thích ứng quan trọng: dịch thuật ngôn ngữ, ví dụ văn hóa địa phương, tích hợp giá trị gia đình/tôn giáo. Tại ĐNA, giá trị gia đình, tôn trọng thứ bậc, tôn giáo đóng vai trò quan trọng — CBT phương Tây (nhấn mạnh cá nhân, tự lập) có thể không phù hợp.</w:t>
      </w:r>
    </w:p>
    <w:p>
      <w:r>
        <w:rPr>
          <w:rFonts w:ascii="Times New Roman" w:hAnsi="Times New Roman"/>
          <w:b w:val="0"/>
          <w:i w:val="0"/>
          <w:sz w:val="24"/>
        </w:rPr>
        <w:t>0 NC từ VN mặc dù VN nằm trong phạm vi — GAP CỰC LỚN. VN có 60 triệu thanh niên, hệ thống y tế + giáo dục đang phát triển — cần CA-CBT riêng cho bối cảnh VN.</w:t>
      </w:r>
    </w:p>
    <w:p>
      <w:r>
        <w:rPr>
          <w:rFonts w:ascii="Times New Roman" w:hAnsi="Times New Roman"/>
          <w:b w:val="0"/>
          <w:i w:val="0"/>
          <w:sz w:val="24"/>
        </w:rPr>
        <w:t>Hàm ý cho đề tài: Khi đề xuất can thiệp CBT tại trường VN (đề cương giai đoạn 2), cần thích ứng văn hóa: (1) dịch thuật + ví dụ VN, (2) tích hợp giá trị gia đình VN (cha mẹ, thầy cô), (3) cấu trúc phiên phù hợp lịch học VN. Phù hợp UNICEF VN22 (HS không thoải mái tìm GV) và Ireland QT32 (OGA bảo vệ).</w:t>
      </w:r>
    </w:p>
    <w:p>
      <w:pPr>
        <w:pStyle w:val="Heading2"/>
      </w:pPr>
      <w:r>
        <w:rPr>
          <w:rFonts w:ascii="Times New Roman" w:hAnsi="Times New Roman"/>
          <w:color w:val="000000"/>
        </w:rPr>
        <w:t>TÀI LIỆU THAM KHẢO</w:t>
      </w:r>
    </w:p>
    <w:p>
      <w:r>
        <w:rPr>
          <w:rFonts w:ascii="Times New Roman" w:hAnsi="Times New Roman"/>
          <w:b w:val="0"/>
          <w:i w:val="0"/>
          <w:sz w:val="20"/>
        </w:rPr>
        <w:t>Praptomojati, A., et al. (2024). A systematic review of CA-CBT for anxiety disorders in Southeast Asia. Asian J Psychiatry, 92, 103896.</w:t>
      </w:r>
    </w:p>
    <w:p>
      <w:r>
        <w:rPr>
          <w:rFonts w:ascii="Times New Roman" w:hAnsi="Times New Roman"/>
          <w:b w:val="0"/>
          <w:i w:val="0"/>
          <w:sz w:val="20"/>
        </w:rPr>
        <w:t>Bernal, G., et al. (2009). Handbook of U.S. Latino Psychology: Developmental and Community-Based Perspectives.</w:t>
      </w:r>
    </w:p>
    <w:p>
      <w:r>
        <w:rPr>
          <w:rFonts w:ascii="Times New Roman" w:hAnsi="Times New Roman"/>
          <w:b w:val="0"/>
          <w:i w:val="0"/>
          <w:sz w:val="20"/>
        </w:rPr>
        <w:t>Chu, J. &amp; Leino, A. (2017). Advancement in the maturing science of cultural adaptations of evidence-based interventions. J Consulting Clin Psych, 85(1), 45–57.</w:t>
      </w:r>
    </w:p>
    <w:p>
      <w:r>
        <w:rPr>
          <w:rFonts w:ascii="Times New Roman" w:hAnsi="Times New Roman"/>
          <w:b w:val="0"/>
          <w:i w:val="0"/>
          <w:sz w:val="20"/>
        </w:rPr>
        <w:t>(Xem đầy đủ 60+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CA-CBT</w:t>
            </w:r>
          </w:p>
        </w:tc>
        <w:tc>
          <w:tcPr>
            <w:tcW w:type="dxa" w:w="4702"/>
            <w:tcW w:w="7371" w:type="dxa"/>
          </w:tcPr>
          <w:p>
            <w:r>
              <w:rPr>
                <w:rFonts w:ascii="Times New Roman" w:hAnsi="Times New Roman"/>
                <w:sz w:val="20"/>
              </w:rPr>
              <w:t>Culturally Adapted Cognitive Behavioral Therapy — Liệu pháp Nhận thức–Hành vi Thích ứng Văn hóa</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 Behavioral Therapy — Liệu pháp Nhận thức–Hành vi</w:t>
            </w:r>
          </w:p>
        </w:tc>
      </w:tr>
      <w:tr>
        <w:tc>
          <w:tcPr>
            <w:tcW w:type="dxa" w:w="4702"/>
            <w:tcW w:w="1701" w:type="dxa"/>
          </w:tcPr>
          <w:p>
            <w:r>
              <w:rPr>
                <w:rFonts w:ascii="Times New Roman" w:hAnsi="Times New Roman"/>
                <w:sz w:val="20"/>
              </w:rPr>
              <w:t>CTAF</w:t>
            </w:r>
          </w:p>
        </w:tc>
        <w:tc>
          <w:tcPr>
            <w:tcW w:type="dxa" w:w="4702"/>
            <w:tcW w:w="7371" w:type="dxa"/>
          </w:tcPr>
          <w:p>
            <w:r>
              <w:rPr>
                <w:rFonts w:ascii="Times New Roman" w:hAnsi="Times New Roman"/>
                <w:sz w:val="20"/>
              </w:rPr>
              <w:t>Cultural Treatment Adaptation Framework — Khung Thích ứng Văn hóa Điều trị</w:t>
            </w:r>
          </w:p>
        </w:tc>
      </w:tr>
      <w:tr>
        <w:tc>
          <w:tcPr>
            <w:tcW w:type="dxa" w:w="4702"/>
            <w:tcW w:w="1701" w:type="dxa"/>
          </w:tcPr>
          <w:p>
            <w:r>
              <w:rPr>
                <w:rFonts w:ascii="Times New Roman" w:hAnsi="Times New Roman"/>
                <w:sz w:val="20"/>
              </w:rPr>
              <w:t>TAU</w:t>
            </w:r>
          </w:p>
        </w:tc>
        <w:tc>
          <w:tcPr>
            <w:tcW w:type="dxa" w:w="4702"/>
            <w:tcW w:w="7371" w:type="dxa"/>
          </w:tcPr>
          <w:p>
            <w:r>
              <w:rPr>
                <w:rFonts w:ascii="Times New Roman" w:hAnsi="Times New Roman"/>
                <w:sz w:val="20"/>
              </w:rPr>
              <w:t>Treatment As Usual — Điều trị Thông thường</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w:t>
            </w:r>
          </w:p>
        </w:tc>
      </w:tr>
      <w:tr>
        <w:tc>
          <w:tcPr>
            <w:tcW w:type="dxa" w:w="4702"/>
            <w:tcW w:w="1701" w:type="dxa"/>
          </w:tcPr>
          <w:p>
            <w:r>
              <w:rPr>
                <w:rFonts w:ascii="Times New Roman" w:hAnsi="Times New Roman"/>
                <w:sz w:val="20"/>
              </w:rPr>
              <w:t>PTSD</w:t>
            </w:r>
          </w:p>
        </w:tc>
        <w:tc>
          <w:tcPr>
            <w:tcW w:type="dxa" w:w="4702"/>
            <w:tcW w:w="7371" w:type="dxa"/>
          </w:tcPr>
          <w:p>
            <w:r>
              <w:rPr>
                <w:rFonts w:ascii="Times New Roman" w:hAnsi="Times New Roman"/>
                <w:sz w:val="20"/>
              </w:rPr>
              <w:t>Post-Traumatic Stress Disorder — Rối loạn Stress Sau Sang chấn</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ĐNA</w:t>
            </w:r>
          </w:p>
        </w:tc>
        <w:tc>
          <w:tcPr>
            <w:tcW w:type="dxa" w:w="4702"/>
            <w:tcW w:w="7371" w:type="dxa"/>
          </w:tcPr>
          <w:p>
            <w:r>
              <w:rPr>
                <w:rFonts w:ascii="Times New Roman" w:hAnsi="Times New Roman"/>
                <w:sz w:val="20"/>
              </w:rPr>
              <w:t>Đông Nam Á (Southeast Asia)</w:t>
            </w:r>
          </w:p>
        </w:tc>
      </w:tr>
      <w:tr>
        <w:tc>
          <w:tcPr>
            <w:tcW w:type="dxa" w:w="4702"/>
            <w:tcW w:w="1701" w:type="dxa"/>
          </w:tcPr>
          <w:p>
            <w:r>
              <w:rPr>
                <w:rFonts w:ascii="Times New Roman" w:hAnsi="Times New Roman"/>
                <w:sz w:val="20"/>
              </w:rPr>
              <w:t>PRISMA</w:t>
            </w:r>
          </w:p>
        </w:tc>
        <w:tc>
          <w:tcPr>
            <w:tcW w:type="dxa" w:w="4702"/>
            <w:tcW w:w="7371" w:type="dxa"/>
          </w:tcPr>
          <w:p>
            <w:r>
              <w:rPr>
                <w:rFonts w:ascii="Times New Roman" w:hAnsi="Times New Roman"/>
                <w:sz w:val="20"/>
              </w:rPr>
              <w:t>Preferred Reporting Items for Systematic Reviews and Meta-Analyses</w:t>
            </w:r>
          </w:p>
        </w:tc>
      </w:tr>
      <w:tr>
        <w:tc>
          <w:tcPr>
            <w:tcW w:type="dxa" w:w="4702"/>
            <w:tcW w:w="1701" w:type="dxa"/>
          </w:tcPr>
          <w:p>
            <w:r>
              <w:rPr>
                <w:rFonts w:ascii="Times New Roman" w:hAnsi="Times New Roman"/>
                <w:sz w:val="20"/>
              </w:rPr>
              <w:t>PROSPERO</w:t>
            </w:r>
          </w:p>
        </w:tc>
        <w:tc>
          <w:tcPr>
            <w:tcW w:type="dxa" w:w="4702"/>
            <w:tcW w:w="7371" w:type="dxa"/>
          </w:tcPr>
          <w:p>
            <w:r>
              <w:rPr>
                <w:rFonts w:ascii="Times New Roman" w:hAnsi="Times New Roman"/>
                <w:sz w:val="20"/>
              </w:rPr>
              <w:t>Prospective Register of Systematic Reviews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Asian J Psychiatry Q1 IF ≈ 12 — tạp chí uy tín nhất về tâm thần châu Á.</w:t>
      </w:r>
    </w:p>
    <w:p>
      <w:r>
        <w:rPr>
          <w:rFonts w:ascii="Times New Roman" w:hAnsi="Times New Roman"/>
          <w:b w:val="0"/>
          <w:color w:val="FF0000"/>
          <w:sz w:val="24"/>
        </w:rPr>
        <w:t>• TỔNG QUAN HỆ THỐNG DUY NHẤT về CA-CBT lo âu ở ĐNA. PRISMA + PROSPERO.</w:t>
      </w:r>
    </w:p>
    <w:p>
      <w:r>
        <w:rPr>
          <w:rFonts w:ascii="Times New Roman" w:hAnsi="Times New Roman"/>
          <w:b w:val="0"/>
          <w:color w:val="FF0000"/>
          <w:sz w:val="24"/>
        </w:rPr>
        <w:t>• Phạm vi 11 nước ĐNA — bao gồm VN. Tìm kiếm cả GARUDA (Indonesia) + Google Scholar.</w:t>
      </w:r>
    </w:p>
    <w:p>
      <w:r>
        <w:rPr>
          <w:rFonts w:ascii="Times New Roman" w:hAnsi="Times New Roman"/>
          <w:b w:val="0"/>
          <w:color w:val="FF0000"/>
          <w:sz w:val="24"/>
        </w:rPr>
        <w:t>• Khung CTAF phân loại rõ ràng: ngoại vi vs cốt lõi — hướng dẫn thực hành.</w:t>
      </w:r>
    </w:p>
    <w:p>
      <w:r>
        <w:rPr>
          <w:rFonts w:ascii="Times New Roman" w:hAnsi="Times New Roman"/>
          <w:b w:val="0"/>
          <w:color w:val="FF0000"/>
          <w:sz w:val="24"/>
        </w:rPr>
        <w:t>• Phát hiện 0 NC từ VN — xác nhận GAP cực lớn cho đề tài.</w:t>
      </w:r>
    </w:p>
    <w:p>
      <w:r>
        <w:rPr>
          <w:rFonts w:ascii="Times New Roman" w:hAnsi="Times New Roman"/>
          <w:b w:val="0"/>
          <w:color w:val="FF0000"/>
          <w:sz w:val="24"/>
        </w:rPr>
        <w:t>• Open Access CC BY.</w:t>
      </w:r>
    </w:p>
    <w:p>
      <w:r>
        <w:rPr>
          <w:rFonts w:ascii="Times New Roman" w:hAnsi="Times New Roman"/>
          <w:b/>
          <w:color w:val="FF0000"/>
          <w:sz w:val="24"/>
        </w:rPr>
        <w:t>Hạn chế chi tiết:</w:t>
      </w:r>
    </w:p>
    <w:p>
      <w:r>
        <w:rPr>
          <w:rFonts w:ascii="Times New Roman" w:hAnsi="Times New Roman"/>
          <w:b w:val="0"/>
          <w:color w:val="FF0000"/>
          <w:sz w:val="24"/>
        </w:rPr>
        <w:t>• CHỈ 7 NC — quá ít. 1 RCT duy nhất (Thái Lan). Không đủ cho meta-analysis.</w:t>
      </w:r>
    </w:p>
    <w:p>
      <w:r>
        <w:rPr>
          <w:rFonts w:ascii="Times New Roman" w:hAnsi="Times New Roman"/>
          <w:b w:val="0"/>
          <w:color w:val="FF0000"/>
          <w:sz w:val="24"/>
        </w:rPr>
        <w:t>• Không thể so sánh CA-CBT vs CBT KHÔNG thích ứng — câu hỏi chính chưa trả lời.</w:t>
      </w:r>
    </w:p>
    <w:p>
      <w:r>
        <w:rPr>
          <w:rFonts w:ascii="Times New Roman" w:hAnsi="Times New Roman"/>
          <w:b w:val="0"/>
          <w:color w:val="FF0000"/>
          <w:sz w:val="24"/>
        </w:rPr>
        <w:t>• 3/7 NC không mô tả chi tiết thích ứng — thiếu minh bạch.</w:t>
      </w:r>
    </w:p>
    <w:p>
      <w:r>
        <w:rPr>
          <w:rFonts w:ascii="Times New Roman" w:hAnsi="Times New Roman"/>
          <w:b w:val="0"/>
          <w:color w:val="FF0000"/>
          <w:sz w:val="24"/>
        </w:rPr>
        <w:t>• Tìm kiếm chỉ đến 6/2023 — có thể bỏ sót NC mới.</w:t>
      </w:r>
    </w:p>
    <w:p>
      <w:r>
        <w:rPr>
          <w:rFonts w:ascii="Times New Roman" w:hAnsi="Times New Roman"/>
          <w:b w:val="0"/>
          <w:color w:val="FF0000"/>
          <w:sz w:val="24"/>
        </w:rPr>
        <w:t>• Bao gồm PTSD (trước DSM-5) — có thể không phù hợp phân loại hiện tại.</w:t>
      </w:r>
    </w:p>
    <w:p>
      <w:r>
        <w:rPr>
          <w:rFonts w:ascii="Times New Roman" w:hAnsi="Times New Roman"/>
          <w:b w:val="0"/>
          <w:color w:val="FF0000"/>
          <w:sz w:val="24"/>
        </w:rPr>
        <w:t>• Không có NC nào với VTN/HS — tất cả 7 NC đều người lớn hoặc không rõ tuổi.</w:t>
      </w:r>
    </w:p>
    <w:p>
      <w:r>
        <w:rPr>
          <w:rFonts w:ascii="Times New Roman" w:hAnsi="Times New Roman"/>
          <w:b/>
          <w:color w:val="FF0000"/>
          <w:sz w:val="24"/>
        </w:rPr>
        <w:t>Khoảng trống NC / Gap:</w:t>
      </w:r>
    </w:p>
    <w:p>
      <w:r>
        <w:rPr>
          <w:rFonts w:ascii="Times New Roman" w:hAnsi="Times New Roman"/>
          <w:b w:val="0"/>
          <w:color w:val="FF0000"/>
          <w:sz w:val="24"/>
        </w:rPr>
        <w:t>• VN CẦN phát triển CA-CBT riêng — thích ứng cho văn hóa VN (gia đình, thầy cô, tôn trọng thứ bậc, áp lực thi cử).</w:t>
      </w:r>
    </w:p>
    <w:p>
      <w:r>
        <w:rPr>
          <w:rFonts w:ascii="Times New Roman" w:hAnsi="Times New Roman"/>
          <w:b w:val="0"/>
          <w:color w:val="FF0000"/>
          <w:sz w:val="24"/>
        </w:rPr>
        <w:t>• RCT CA-CBT tại VN so sánh với CBT gốc phương Tây — để xác định thích ứng có vượt trội không.</w:t>
      </w:r>
    </w:p>
    <w:p>
      <w:r>
        <w:rPr>
          <w:rFonts w:ascii="Times New Roman" w:hAnsi="Times New Roman"/>
          <w:b w:val="0"/>
          <w:color w:val="FF0000"/>
          <w:sz w:val="24"/>
        </w:rPr>
        <w:t>• CA-CBT cho VTN/HS — không chỉ người lớn. BMC NMA QT29: CBT SUCRA 0,66 cho VTN nhưng chưa rõ CA-CBT.</w:t>
      </w:r>
    </w:p>
    <w:p>
      <w:r>
        <w:rPr>
          <w:rFonts w:ascii="Times New Roman" w:hAnsi="Times New Roman"/>
          <w:b w:val="0"/>
          <w:color w:val="FF0000"/>
          <w:sz w:val="24"/>
        </w:rPr>
        <w:t>• Tích hợp giá trị gia đình VN: cha mẹ tham gia CBT (parent-involved CBT) — phù hợp văn hóa. Islam QT31: cha mẹ AOR=0,75 bảo vệ.</w:t>
      </w:r>
    </w:p>
    <w:p>
      <w:r>
        <w:rPr>
          <w:rFonts w:ascii="Times New Roman" w:hAnsi="Times New Roman"/>
          <w:b w:val="0"/>
          <w:color w:val="FF0000"/>
          <w:sz w:val="24"/>
        </w:rPr>
        <w:t>• So sánh CA-CBT ĐNA: Indonesia vs Thái Lan vs VN — cùng ĐNA nhưng văn hóa khác.</w:t>
      </w:r>
    </w:p>
    <w:p>
      <w:r>
        <w:rPr>
          <w:rFonts w:ascii="Times New Roman" w:hAnsi="Times New Roman"/>
          <w:b w:val="0"/>
          <w:color w:val="FF0000"/>
          <w:sz w:val="24"/>
        </w:rPr>
        <w:t>• CBT qua app/online + thích ứng VN — kết hợp B2 JMIR (digital SAD) + B7 (CA-CBT).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