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https://doi.org/10.1080/09638237.2025.2512332</w:t>
      </w:r>
    </w:p>
    <w:p>
      <w:pPr>
        <w:pStyle w:val="Heading1"/>
      </w:pPr>
      <w:r>
        <w:rPr>
          <w:rFonts w:ascii="Times New Roman" w:hAnsi="Times New Roman"/>
          <w:color w:val="000000"/>
        </w:rPr>
        <w:t>Can thiệp tại trường cho trầm cảm và lo âu tại Vương quốc Anh</w:t>
      </w:r>
    </w:p>
    <w:p>
      <w:r>
        <w:rPr>
          <w:rFonts w:ascii="Times New Roman" w:hAnsi="Times New Roman"/>
          <w:i/>
          <w:sz w:val="26"/>
        </w:rPr>
        <w:t>School based interventions for depression and anxiety in UK</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June S.L. Brown, Ben Carter</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Mental Health (Q1, IF ≈ 3,5) — Taylor &amp; Francis</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2025, Vol. 34(4), pp. 357–361, 6 trang — EDITORIAL</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10.1080/09638237.2025.2512332</w:t>
            </w:r>
          </w:p>
        </w:tc>
      </w:tr>
      <w:tr>
        <w:tc>
          <w:tcPr>
            <w:tcW w:type="dxa" w:w="4702"/>
            <w:tcW w:w="1984" w:type="dxa"/>
            <w:shd w:fill="D9E2F3" w:val="clear"/>
          </w:tcPr>
          <w:p>
            <w:r>
              <w:rPr>
                <w:rFonts w:ascii="Times New Roman" w:hAnsi="Times New Roman"/>
                <w:b/>
                <w:sz w:val="20"/>
              </w:rPr>
              <w:t>Loại</w:t>
            </w:r>
          </w:p>
        </w:tc>
        <w:tc>
          <w:tcPr>
            <w:tcW w:type="dxa" w:w="4702"/>
            <w:tcW w:w="7087" w:type="dxa"/>
          </w:tcPr>
          <w:p>
            <w:r>
              <w:rPr>
                <w:rFonts w:ascii="Times New Roman" w:hAnsi="Times New Roman"/>
                <w:sz w:val="20"/>
              </w:rPr>
              <w:t>Editorial / Commentary — tổng hợp bằng chứng + khuyến nghị</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UK — can thiệp trường cho trầm cảm + lo âu ở VTN</w:t>
            </w:r>
          </w:p>
        </w:tc>
      </w:tr>
    </w:tbl>
    <w:p>
      <w:r>
        <w:rPr>
          <w:rFonts w:ascii="Times New Roman" w:hAnsi="Times New Roman"/>
          <w:i/>
          <w:color w:val="808080"/>
          <w:sz w:val="18"/>
        </w:rPr>
        <w:t>--- Trang 357–361, J Mental Health, Vol. 34(4), 2025 ---</w:t>
      </w:r>
    </w:p>
    <w:p>
      <w:pPr>
        <w:pStyle w:val="Heading2"/>
      </w:pPr>
      <w:r>
        <w:rPr>
          <w:rFonts w:ascii="Times New Roman" w:hAnsi="Times New Roman"/>
          <w:color w:val="000000"/>
        </w:rPr>
        <w:t>TÓM TẮT</w:t>
      </w:r>
    </w:p>
    <w:p>
      <w:r>
        <w:rPr>
          <w:rFonts w:ascii="Times New Roman" w:hAnsi="Times New Roman"/>
          <w:b w:val="0"/>
          <w:i w:val="0"/>
          <w:sz w:val="24"/>
        </w:rPr>
        <w:t>Vấn đề SKTT ở VTN, đặc biệt lo âu và trầm cảm, là mối lo ngại y tế công cộng ngày càng tăng. Tại UK, khoảng 1/4 VTN 17–19 tuổi đáp ứng tiêu chuẩn chẩn đoán rối loạn SKTT. Mặc dù vậy, khoảng 60% người trẻ có vấn đề SKTT KHÔNG nhận được chăm sóc chính thức. Can thiệp SKTT tại trường được công nhận ngày càng nhiều như thành phần thiết yếu của chiến lược can thiệp sớm.</w:t>
      </w:r>
    </w:p>
    <w:p>
      <w:r>
        <w:rPr>
          <w:rFonts w:ascii="Times New Roman" w:hAnsi="Times New Roman"/>
          <w:color w:val="CC0000"/>
          <w:sz w:val="24"/>
        </w:rPr>
        <w:t>Ai nên cung cấp can thiệp? Stallard et al. (2014) và các NC khác phát hiện rằng bác sĩ lâm sàng thường HIỆU QUẢ HƠN giáo viên, đặc biệt ở trường trung học. UK đã giới thiệu nhóm chuyên nghiệp mới: Mental Health Support Teams (MHSTs) — thạc sĩ/sau ĐH trị liệu hoặc trị liệu viên sơ cấp — làm việc trực tiếp tại trường, cung cấp hỗ trợ sớm cho HS có khó khăn SKTT nhẹ–trung bình.</w:t>
      </w:r>
    </w:p>
    <w:p>
      <w:r>
        <w:rPr>
          <w:rFonts w:ascii="Times New Roman" w:hAnsi="Times New Roman"/>
          <w:color w:val="CC0000"/>
          <w:sz w:val="24"/>
        </w:rPr>
        <w:t>Chương trình nào? CBT có hiệu quả cao nhất (Zhang et al. 2023). Chương trình từ Úc (Friends, RAP, Mood Gym), Mỹ (Penn Resilience, Mindfulness), UK chỉ có DISCOVER. RCT lớn mindfulness 8.376 HS/85 trường → KHÔNG hiệu quả (do engagement thấp). Nhưng BESST trial 900 HS/57 trường → KẾT QUẢ TÍCH CỰC.</w:t>
      </w:r>
    </w:p>
    <w:p>
      <w:r>
        <w:rPr>
          <w:rFonts w:ascii="Times New Roman" w:hAnsi="Times New Roman"/>
          <w:b w:val="0"/>
          <w:i w:val="0"/>
          <w:sz w:val="24"/>
        </w:rPr>
        <w:t>Phổ quát vs chỉ định: Phổ quát giảm kỳ thị nhưng hiệu quả thấp hơn. Chỉ định tập trung hơn nhưng có thể bỏ sót HS cần giúp đỡ. Hiện chưa rõ cách nào tốt hơn.</w:t>
      </w:r>
    </w:p>
    <w:p>
      <w:r>
        <w:rPr>
          <w:rFonts w:ascii="Times New Roman" w:hAnsi="Times New Roman"/>
          <w:b w:val="0"/>
          <w:i w:val="0"/>
          <w:sz w:val="24"/>
        </w:rPr>
        <w:t>Tự giới thiệu (self-referral): Mô hình PLACES — dùng ngôn ngữ thường ngày ("stress" thay "depression"), giảm kỳ thị, tăng tiếp cận. HS tự đăng ký → tăng tự chủ, đặc biệt có giá trị cho VTN.</w:t>
      </w:r>
    </w:p>
    <w:p>
      <w:r>
        <w:rPr>
          <w:rFonts w:ascii="Times New Roman" w:hAnsi="Times New Roman"/>
          <w:b w:val="0"/>
          <w:i w:val="0"/>
          <w:sz w:val="24"/>
        </w:rPr>
        <w:t>Đồng thiết kế (co-design): Cho HS tham gia thiết kế can thiệp → tăng engagement. Bài học từ VTN gốc Phi (cần giọng phát thanh người da đen, hình ảnh đại diện).</w:t>
      </w:r>
    </w:p>
    <w:p>
      <w:pPr>
        <w:pStyle w:val="Heading3"/>
      </w:pPr>
      <w:r>
        <w:rPr>
          <w:rFonts w:ascii="Times New Roman" w:hAnsi="Times New Roman"/>
          <w:color w:val="000000"/>
        </w:rPr>
        <w:t>Bảng 1. So sánh mô hình can thiệp trường UK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Mô hình</w:t>
            </w:r>
          </w:p>
        </w:tc>
        <w:tc>
          <w:tcPr>
            <w:tcW w:type="dxa" w:w="2351"/>
            <w:tcW w:w="1701" w:type="dxa"/>
            <w:shd w:fill="D9E2F3" w:val="clear"/>
          </w:tcPr>
          <w:p>
            <w:pPr>
              <w:jc w:val="center"/>
            </w:pPr>
            <w:r>
              <w:rPr>
                <w:rFonts w:ascii="Times New Roman" w:hAnsi="Times New Roman"/>
                <w:b/>
                <w:sz w:val="20"/>
              </w:rPr>
              <w:t>Ưu điểm</w:t>
            </w:r>
          </w:p>
        </w:tc>
        <w:tc>
          <w:tcPr>
            <w:tcW w:type="dxa" w:w="2351"/>
            <w:tcW w:w="1701" w:type="dxa"/>
            <w:shd w:fill="D9E2F3" w:val="clear"/>
          </w:tcPr>
          <w:p>
            <w:pPr>
              <w:jc w:val="center"/>
            </w:pPr>
            <w:r>
              <w:rPr>
                <w:rFonts w:ascii="Times New Roman" w:hAnsi="Times New Roman"/>
                <w:b/>
                <w:sz w:val="20"/>
              </w:rPr>
              <w:t>Nhược điểm</w:t>
            </w:r>
          </w:p>
        </w:tc>
        <w:tc>
          <w:tcPr>
            <w:tcW w:type="dxa" w:w="2351"/>
            <w:tcW w:w="1417" w:type="dxa"/>
            <w:shd w:fill="D9E2F3" w:val="clear"/>
          </w:tcPr>
          <w:p>
            <w:pPr>
              <w:jc w:val="center"/>
            </w:pPr>
            <w:r>
              <w:rPr>
                <w:rFonts w:ascii="Times New Roman" w:hAnsi="Times New Roman"/>
                <w:b/>
                <w:sz w:val="20"/>
              </w:rPr>
              <w:t>Hiệu quả</w:t>
            </w:r>
          </w:p>
        </w:tc>
      </w:tr>
      <w:tr>
        <w:tc>
          <w:tcPr>
            <w:tcW w:type="dxa" w:w="2351"/>
            <w:tcW w:w="1701" w:type="dxa"/>
          </w:tcPr>
          <w:p>
            <w:r>
              <w:rPr>
                <w:rFonts w:ascii="Times New Roman" w:hAnsi="Times New Roman"/>
                <w:sz w:val="20"/>
              </w:rPr>
              <w:t>Phổ quát (universal)</w:t>
            </w:r>
          </w:p>
        </w:tc>
        <w:tc>
          <w:tcPr>
            <w:tcW w:type="dxa" w:w="2351"/>
            <w:tcW w:w="1701" w:type="dxa"/>
          </w:tcPr>
          <w:p>
            <w:r>
              <w:rPr>
                <w:rFonts w:ascii="Times New Roman" w:hAnsi="Times New Roman"/>
                <w:sz w:val="20"/>
              </w:rPr>
              <w:t>Giảm kỳ thị, bao phủ rộng</w:t>
            </w:r>
          </w:p>
        </w:tc>
        <w:tc>
          <w:tcPr>
            <w:tcW w:type="dxa" w:w="2351"/>
            <w:tcW w:w="1701" w:type="dxa"/>
          </w:tcPr>
          <w:p>
            <w:r>
              <w:rPr>
                <w:rFonts w:ascii="Times New Roman" w:hAnsi="Times New Roman"/>
                <w:sz w:val="20"/>
              </w:rPr>
              <w:t>Loãng, ít hiệu quả cho HS có vấn đề</w:t>
            </w:r>
          </w:p>
        </w:tc>
        <w:tc>
          <w:tcPr>
            <w:tcW w:type="dxa" w:w="2351"/>
            <w:tcW w:w="1417" w:type="dxa"/>
          </w:tcPr>
          <w:p>
            <w:r>
              <w:rPr>
                <w:rFonts w:ascii="Times New Roman" w:hAnsi="Times New Roman"/>
                <w:sz w:val="20"/>
              </w:rPr>
              <w:t>TB</w:t>
            </w:r>
          </w:p>
        </w:tc>
      </w:tr>
      <w:tr>
        <w:tc>
          <w:tcPr>
            <w:tcW w:type="dxa" w:w="2351"/>
            <w:tcW w:w="1701" w:type="dxa"/>
          </w:tcPr>
          <w:p>
            <w:r>
              <w:rPr>
                <w:rFonts w:ascii="Times New Roman" w:hAnsi="Times New Roman"/>
                <w:sz w:val="20"/>
              </w:rPr>
              <w:t>Chỉ định (targeted)</w:t>
            </w:r>
          </w:p>
        </w:tc>
        <w:tc>
          <w:tcPr>
            <w:tcW w:type="dxa" w:w="2351"/>
            <w:tcW w:w="1701" w:type="dxa"/>
          </w:tcPr>
          <w:p>
            <w:r>
              <w:rPr>
                <w:rFonts w:ascii="Times New Roman" w:hAnsi="Times New Roman"/>
                <w:sz w:val="20"/>
              </w:rPr>
              <w:t>Tập trung, hiệu quả hơn</w:t>
            </w:r>
          </w:p>
        </w:tc>
        <w:tc>
          <w:tcPr>
            <w:tcW w:type="dxa" w:w="2351"/>
            <w:tcW w:w="1701" w:type="dxa"/>
          </w:tcPr>
          <w:p>
            <w:r>
              <w:rPr>
                <w:rFonts w:ascii="Times New Roman" w:hAnsi="Times New Roman"/>
                <w:sz w:val="20"/>
              </w:rPr>
              <w:t>Bỏ sót, tăng kỳ thị</w:t>
            </w:r>
          </w:p>
        </w:tc>
        <w:tc>
          <w:tcPr>
            <w:tcW w:type="dxa" w:w="2351"/>
            <w:tcW w:w="1417" w:type="dxa"/>
          </w:tcPr>
          <w:p>
            <w:r>
              <w:rPr>
                <w:rFonts w:ascii="Times New Roman" w:hAnsi="Times New Roman"/>
                <w:sz w:val="20"/>
              </w:rPr>
              <w:t>Khá</w:t>
            </w:r>
          </w:p>
        </w:tc>
      </w:tr>
      <w:tr>
        <w:tc>
          <w:tcPr>
            <w:tcW w:type="dxa" w:w="2351"/>
            <w:tcW w:w="1701" w:type="dxa"/>
          </w:tcPr>
          <w:p>
            <w:r>
              <w:rPr>
                <w:rFonts w:ascii="Times New Roman" w:hAnsi="Times New Roman"/>
                <w:sz w:val="20"/>
              </w:rPr>
              <w:t>Tự giới thiệu (self-referral)</w:t>
            </w:r>
          </w:p>
        </w:tc>
        <w:tc>
          <w:tcPr>
            <w:tcW w:type="dxa" w:w="2351"/>
            <w:tcW w:w="1701" w:type="dxa"/>
          </w:tcPr>
          <w:p>
            <w:r>
              <w:rPr>
                <w:rFonts w:ascii="Times New Roman" w:hAnsi="Times New Roman"/>
                <w:sz w:val="20"/>
              </w:rPr>
              <w:t>Tự chủ, giảm kỳ thị</w:t>
            </w:r>
          </w:p>
        </w:tc>
        <w:tc>
          <w:tcPr>
            <w:tcW w:type="dxa" w:w="2351"/>
            <w:tcW w:w="1701" w:type="dxa"/>
          </w:tcPr>
          <w:p>
            <w:r>
              <w:rPr>
                <w:rFonts w:ascii="Times New Roman" w:hAnsi="Times New Roman"/>
                <w:sz w:val="20"/>
              </w:rPr>
              <w:t>Phụ thuộc nhận thức HS</w:t>
            </w:r>
          </w:p>
        </w:tc>
        <w:tc>
          <w:tcPr>
            <w:tcW w:type="dxa" w:w="2351"/>
            <w:tcW w:w="1417" w:type="dxa"/>
          </w:tcPr>
          <w:p>
            <w:r>
              <w:rPr>
                <w:rFonts w:ascii="Times New Roman" w:hAnsi="Times New Roman"/>
                <w:sz w:val="20"/>
              </w:rPr>
              <w:t>Hứa hẹn</w:t>
            </w:r>
          </w:p>
        </w:tc>
      </w:tr>
      <w:tr>
        <w:tc>
          <w:tcPr>
            <w:tcW w:type="dxa" w:w="2351"/>
            <w:tcW w:w="1701" w:type="dxa"/>
          </w:tcPr>
          <w:p>
            <w:r>
              <w:rPr>
                <w:rFonts w:ascii="Times New Roman" w:hAnsi="Times New Roman"/>
                <w:sz w:val="20"/>
              </w:rPr>
              <w:t>GV cung cấp</w:t>
            </w:r>
          </w:p>
        </w:tc>
        <w:tc>
          <w:tcPr>
            <w:tcW w:type="dxa" w:w="2351"/>
            <w:tcW w:w="1701" w:type="dxa"/>
          </w:tcPr>
          <w:p>
            <w:r>
              <w:rPr>
                <w:rFonts w:ascii="Times New Roman" w:hAnsi="Times New Roman"/>
                <w:sz w:val="20"/>
              </w:rPr>
              <w:t>Sẵn có, rẻ</w:t>
            </w:r>
          </w:p>
        </w:tc>
        <w:tc>
          <w:tcPr>
            <w:tcW w:type="dxa" w:w="2351"/>
            <w:tcW w:w="1701" w:type="dxa"/>
          </w:tcPr>
          <w:p>
            <w:r>
              <w:rPr>
                <w:rFonts w:ascii="Times New Roman" w:hAnsi="Times New Roman"/>
                <w:sz w:val="20"/>
              </w:rPr>
              <w:t>Ít hiệu quả hơn lâm sàng</w:t>
            </w:r>
          </w:p>
        </w:tc>
        <w:tc>
          <w:tcPr>
            <w:tcW w:type="dxa" w:w="2351"/>
            <w:tcW w:w="1417" w:type="dxa"/>
          </w:tcPr>
          <w:p>
            <w:r>
              <w:rPr>
                <w:rFonts w:ascii="Times New Roman" w:hAnsi="Times New Roman"/>
                <w:sz w:val="20"/>
              </w:rPr>
              <w:t>Yếu–TB</w:t>
            </w:r>
          </w:p>
        </w:tc>
      </w:tr>
      <w:tr>
        <w:tc>
          <w:tcPr>
            <w:tcW w:type="dxa" w:w="2351"/>
            <w:tcW w:w="1701" w:type="dxa"/>
          </w:tcPr>
          <w:p>
            <w:r>
              <w:rPr>
                <w:rFonts w:ascii="Times New Roman" w:hAnsi="Times New Roman"/>
                <w:sz w:val="20"/>
              </w:rPr>
              <w:t>MHSTs (chuyên gia trường)</w:t>
            </w:r>
          </w:p>
        </w:tc>
        <w:tc>
          <w:tcPr>
            <w:tcW w:type="dxa" w:w="2351"/>
            <w:tcW w:w="1701" w:type="dxa"/>
          </w:tcPr>
          <w:p>
            <w:r>
              <w:rPr>
                <w:rFonts w:ascii="Times New Roman" w:hAnsi="Times New Roman"/>
                <w:sz w:val="20"/>
              </w:rPr>
              <w:t>Chuyên nghiệp + tại trường</w:t>
            </w:r>
          </w:p>
        </w:tc>
        <w:tc>
          <w:tcPr>
            <w:tcW w:type="dxa" w:w="2351"/>
            <w:tcW w:w="1701" w:type="dxa"/>
          </w:tcPr>
          <w:p>
            <w:r>
              <w:rPr>
                <w:rFonts w:ascii="Times New Roman" w:hAnsi="Times New Roman"/>
                <w:sz w:val="20"/>
              </w:rPr>
              <w:t>Chi phí, đào tạo</w:t>
            </w:r>
          </w:p>
        </w:tc>
        <w:tc>
          <w:tcPr>
            <w:tcW w:type="dxa" w:w="2351"/>
            <w:tcW w:w="1417" w:type="dxa"/>
          </w:tcPr>
          <w:p>
            <w:r>
              <w:rPr>
                <w:rFonts w:ascii="Times New Roman" w:hAnsi="Times New Roman"/>
                <w:sz w:val="20"/>
              </w:rPr>
              <w:t>Hứa hẹn</w:t>
            </w:r>
          </w:p>
        </w:tc>
      </w:tr>
      <w:tr>
        <w:tc>
          <w:tcPr>
            <w:tcW w:type="dxa" w:w="2351"/>
            <w:tcW w:w="1701" w:type="dxa"/>
          </w:tcPr>
          <w:p>
            <w:r>
              <w:rPr>
                <w:rFonts w:ascii="Times New Roman" w:hAnsi="Times New Roman"/>
                <w:sz w:val="20"/>
              </w:rPr>
              <w:t>CBT-based</w:t>
            </w:r>
          </w:p>
        </w:tc>
        <w:tc>
          <w:tcPr>
            <w:tcW w:type="dxa" w:w="2351"/>
            <w:tcW w:w="1701" w:type="dxa"/>
          </w:tcPr>
          <w:p>
            <w:r>
              <w:rPr>
                <w:rFonts w:ascii="Times New Roman" w:hAnsi="Times New Roman"/>
                <w:sz w:val="20"/>
              </w:rPr>
              <w:t>Hiệu quả cao nhất</w:t>
            </w:r>
          </w:p>
        </w:tc>
        <w:tc>
          <w:tcPr>
            <w:tcW w:type="dxa" w:w="2351"/>
            <w:tcW w:w="1701" w:type="dxa"/>
          </w:tcPr>
          <w:p>
            <w:r>
              <w:rPr>
                <w:rFonts w:ascii="Times New Roman" w:hAnsi="Times New Roman"/>
                <w:sz w:val="20"/>
              </w:rPr>
              <w:t>Cần đào tạo</w:t>
            </w:r>
          </w:p>
        </w:tc>
        <w:tc>
          <w:tcPr>
            <w:tcW w:type="dxa" w:w="2351"/>
            <w:tcW w:w="1417" w:type="dxa"/>
          </w:tcPr>
          <w:p>
            <w:r>
              <w:rPr>
                <w:rFonts w:ascii="Times New Roman" w:hAnsi="Times New Roman"/>
                <w:sz w:val="20"/>
              </w:rPr>
              <w:t>CAO</w:t>
            </w:r>
          </w:p>
        </w:tc>
      </w:tr>
    </w:tbl>
    <w:p>
      <w:pPr>
        <w:pStyle w:val="Heading3"/>
      </w:pPr>
      <w:r>
        <w:rPr>
          <w:rFonts w:ascii="Times New Roman" w:hAnsi="Times New Roman"/>
          <w:color w:val="000000"/>
        </w:rPr>
        <w:t>Bảng 2. RCTs UK quan trọng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RCT</w:t>
            </w:r>
          </w:p>
        </w:tc>
        <w:tc>
          <w:tcPr>
            <w:tcW w:type="dxa" w:w="2351"/>
            <w:tcW w:w="1701" w:type="dxa"/>
            <w:shd w:fill="D9E2F3" w:val="clear"/>
          </w:tcPr>
          <w:p>
            <w:pPr>
              <w:jc w:val="center"/>
            </w:pPr>
            <w:r>
              <w:rPr>
                <w:rFonts w:ascii="Times New Roman" w:hAnsi="Times New Roman"/>
                <w:b/>
                <w:sz w:val="20"/>
              </w:rPr>
              <w:t>n</w:t>
            </w:r>
          </w:p>
        </w:tc>
        <w:tc>
          <w:tcPr>
            <w:tcW w:type="dxa" w:w="2351"/>
            <w:tcW w:w="1701" w:type="dxa"/>
            <w:shd w:fill="D9E2F3" w:val="clear"/>
          </w:tcPr>
          <w:p>
            <w:pPr>
              <w:jc w:val="center"/>
            </w:pPr>
            <w:r>
              <w:rPr>
                <w:rFonts w:ascii="Times New Roman" w:hAnsi="Times New Roman"/>
                <w:b/>
                <w:sz w:val="20"/>
              </w:rPr>
              <w:t>Can thiệp</w:t>
            </w:r>
          </w:p>
        </w:tc>
        <w:tc>
          <w:tcPr>
            <w:tcW w:type="dxa" w:w="2351"/>
            <w:tcW w:w="2268" w:type="dxa"/>
            <w:shd w:fill="D9E2F3" w:val="clear"/>
          </w:tcPr>
          <w:p>
            <w:pPr>
              <w:jc w:val="center"/>
            </w:pPr>
            <w:r>
              <w:rPr>
                <w:rFonts w:ascii="Times New Roman" w:hAnsi="Times New Roman"/>
                <w:b/>
                <w:sz w:val="20"/>
              </w:rPr>
              <w:t>Kết quả</w:t>
            </w:r>
          </w:p>
        </w:tc>
      </w:tr>
      <w:tr>
        <w:tc>
          <w:tcPr>
            <w:tcW w:type="dxa" w:w="2351"/>
            <w:tcW w:w="1984" w:type="dxa"/>
          </w:tcPr>
          <w:p>
            <w:r>
              <w:rPr>
                <w:rFonts w:ascii="Times New Roman" w:hAnsi="Times New Roman"/>
                <w:sz w:val="20"/>
              </w:rPr>
              <w:t>Mindfulness (Kuyken 2022)</w:t>
            </w:r>
          </w:p>
        </w:tc>
        <w:tc>
          <w:tcPr>
            <w:tcW w:type="dxa" w:w="2351"/>
            <w:tcW w:w="1701" w:type="dxa"/>
          </w:tcPr>
          <w:p>
            <w:r>
              <w:rPr>
                <w:rFonts w:ascii="Times New Roman" w:hAnsi="Times New Roman"/>
                <w:sz w:val="20"/>
              </w:rPr>
              <w:t>8.376 HS / 85 trường</w:t>
            </w:r>
          </w:p>
        </w:tc>
        <w:tc>
          <w:tcPr>
            <w:tcW w:type="dxa" w:w="2351"/>
            <w:tcW w:w="1701" w:type="dxa"/>
          </w:tcPr>
          <w:p>
            <w:r>
              <w:rPr>
                <w:rFonts w:ascii="Times New Roman" w:hAnsi="Times New Roman"/>
                <w:sz w:val="20"/>
              </w:rPr>
              <w:t>Mindfulness do GV</w:t>
            </w:r>
          </w:p>
        </w:tc>
        <w:tc>
          <w:tcPr>
            <w:tcW w:type="dxa" w:w="2351"/>
            <w:tcW w:w="2268" w:type="dxa"/>
          </w:tcPr>
          <w:p>
            <w:r>
              <w:rPr>
                <w:rFonts w:ascii="Times New Roman" w:hAnsi="Times New Roman"/>
                <w:sz w:val="20"/>
              </w:rPr>
              <w:t>KHÔNG hiệu quả (engagement thấp)</w:t>
            </w:r>
          </w:p>
        </w:tc>
      </w:tr>
      <w:tr>
        <w:tc>
          <w:tcPr>
            <w:tcW w:type="dxa" w:w="2351"/>
            <w:tcW w:w="1984" w:type="dxa"/>
          </w:tcPr>
          <w:p>
            <w:r>
              <w:rPr>
                <w:rFonts w:ascii="Times New Roman" w:hAnsi="Times New Roman"/>
                <w:sz w:val="20"/>
              </w:rPr>
              <w:t>BESST (Brown 2024)</w:t>
            </w:r>
          </w:p>
        </w:tc>
        <w:tc>
          <w:tcPr>
            <w:tcW w:type="dxa" w:w="2351"/>
            <w:tcW w:w="1701" w:type="dxa"/>
          </w:tcPr>
          <w:p>
            <w:r>
              <w:rPr>
                <w:rFonts w:ascii="Times New Roman" w:hAnsi="Times New Roman"/>
                <w:sz w:val="20"/>
              </w:rPr>
              <w:t>900 HS / 57 trường</w:t>
            </w:r>
          </w:p>
        </w:tc>
        <w:tc>
          <w:tcPr>
            <w:tcW w:type="dxa" w:w="2351"/>
            <w:tcW w:w="1701" w:type="dxa"/>
          </w:tcPr>
          <w:p>
            <w:r>
              <w:rPr>
                <w:rFonts w:ascii="Times New Roman" w:hAnsi="Times New Roman"/>
                <w:sz w:val="20"/>
              </w:rPr>
              <w:t>CBT tự giới thiệu</w:t>
            </w:r>
          </w:p>
        </w:tc>
        <w:tc>
          <w:tcPr>
            <w:tcW w:type="dxa" w:w="2351"/>
            <w:tcW w:w="2268" w:type="dxa"/>
          </w:tcPr>
          <w:p>
            <w:r>
              <w:rPr>
                <w:rFonts w:ascii="Times New Roman" w:hAnsi="Times New Roman"/>
                <w:sz w:val="20"/>
              </w:rPr>
              <w:t>TÍCH CỰC</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 Mental Health Q1. Editorial từ chuyên gia UK — tổng hợp bằng chứng thực tiễn.</w:t>
      </w:r>
    </w:p>
    <w:p>
      <w:r>
        <w:rPr>
          <w:rFonts w:ascii="Times New Roman" w:hAnsi="Times New Roman"/>
          <w:b w:val="0"/>
          <w:color w:val="FF0000"/>
          <w:sz w:val="24"/>
        </w:rPr>
        <w:t>• So sánh nhiều mô hình: phổ quát/chỉ định/tự giới thiệu/GV/MHSTs.</w:t>
      </w:r>
    </w:p>
    <w:p>
      <w:r>
        <w:rPr>
          <w:rFonts w:ascii="Times New Roman" w:hAnsi="Times New Roman"/>
          <w:b w:val="0"/>
          <w:color w:val="FF0000"/>
          <w:sz w:val="24"/>
        </w:rPr>
        <w:t>• PLACES model + co-design — đổi mới.</w:t>
      </w:r>
    </w:p>
    <w:p>
      <w:r>
        <w:rPr>
          <w:rFonts w:ascii="Times New Roman" w:hAnsi="Times New Roman"/>
          <w:b w:val="0"/>
          <w:color w:val="FF0000"/>
          <w:sz w:val="24"/>
        </w:rPr>
        <w:t>• RCT UK lớn (mindfulness 8.376 HS): bài học THẤT BẠI — engagement then chốt.</w:t>
      </w:r>
    </w:p>
    <w:p>
      <w:r>
        <w:rPr>
          <w:rFonts w:ascii="Times New Roman" w:hAnsi="Times New Roman"/>
          <w:b w:val="0"/>
          <w:color w:val="FF0000"/>
          <w:sz w:val="24"/>
        </w:rPr>
        <w:t>• Phù hợp B8 Sri Lanka (GV cung cấp CBT), QT29 BMC NMA (CBT hạng 2), UNICEF VN22 (GV VN).</w:t>
      </w:r>
    </w:p>
    <w:p>
      <w:r>
        <w:rPr>
          <w:rFonts w:ascii="Times New Roman" w:hAnsi="Times New Roman"/>
          <w:b/>
          <w:color w:val="FF0000"/>
          <w:sz w:val="24"/>
        </w:rPr>
        <w:t>Hạn chế:</w:t>
      </w:r>
    </w:p>
    <w:p>
      <w:r>
        <w:rPr>
          <w:rFonts w:ascii="Times New Roman" w:hAnsi="Times New Roman"/>
          <w:b w:val="0"/>
          <w:color w:val="FF0000"/>
          <w:sz w:val="24"/>
        </w:rPr>
        <w:t>• Editorial — không phải SR/MA/RCT riêng. Ý kiến chuyên gia.</w:t>
      </w:r>
    </w:p>
    <w:p>
      <w:r>
        <w:rPr>
          <w:rFonts w:ascii="Times New Roman" w:hAnsi="Times New Roman"/>
          <w:b w:val="0"/>
          <w:color w:val="FF0000"/>
          <w:sz w:val="24"/>
        </w:rPr>
        <w:t>• Chỉ UK (NHS context) — khác VN.</w:t>
      </w:r>
    </w:p>
    <w:p>
      <w:r>
        <w:rPr>
          <w:rFonts w:ascii="Times New Roman" w:hAnsi="Times New Roman"/>
          <w:b w:val="0"/>
          <w:color w:val="FF0000"/>
          <w:sz w:val="24"/>
        </w:rPr>
        <w:t>• Mindfulness 8.376 HS thất bại — nhưng có thể do implementation không phải phương pháp.</w:t>
      </w:r>
    </w:p>
    <w:p>
      <w:r>
        <w:rPr>
          <w:rFonts w:ascii="Times New Roman" w:hAnsi="Times New Roman"/>
          <w:b w:val="0"/>
          <w:color w:val="FF0000"/>
          <w:sz w:val="24"/>
        </w:rPr>
        <w:t>Gap: VN cần thử mô hình MHST (chuyên gia SKTT tại trường) hoặc PLACES (tự giới thiệu + giảm kỳ thị). RCT CBT self-referral tại VN.</w:t>
      </w:r>
    </w:p>
    <w:p>
      <w:r>
        <w:rPr>
          <w:rFonts w:ascii="Times New Roman" w:hAnsi="Times New Roman"/>
          <w:b/>
          <w:i w:val="0"/>
          <w:sz w:val="24"/>
        </w:rPr>
        <w:t>Đánh giá: ⭐⭐⭐ Trung bình–Khá. Editorial Q1, tổng hợp nhiều mô hình, nhưng không phải NC gốc.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