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https://doi.org/10.2196/55786</w:t>
      </w:r>
    </w:p>
    <w:p>
      <w:pPr>
        <w:pStyle w:val="Heading1"/>
      </w:pPr>
      <w:r>
        <w:rPr>
          <w:rFonts w:ascii="Times New Roman" w:hAnsi="Times New Roman"/>
          <w:color w:val="000000"/>
        </w:rPr>
        <w:t>Hiệu quả liệu pháp nhận thức–hành vi qua internet không hướng dẫn cho rối loạn lo âu xã hội dưới ngưỡng ở thanh thiếu niên và thanh niên: Thử nghiệm đa trung tâm ngẫu nhiên có đối chứng</w:t>
      </w:r>
    </w:p>
    <w:p>
      <w:r>
        <w:rPr>
          <w:rFonts w:ascii="Times New Roman" w:hAnsi="Times New Roman"/>
          <w:i/>
          <w:sz w:val="26"/>
        </w:rPr>
        <w:t>Effectiveness of Unguided Internet-Based Cognitive Behavioral Therapy for Subthreshold Social Anxiety Disorder in Adolescents and Young Adults: Multicenter Randomized Controlled Trial</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Effectiveness of Unguided Internet-Based CBT for Subthreshold SAD in Adolescents and Young Adults: Multicenter RCT</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Kazuki Matsumoto PhD (1), Sayo Hamatani PhD (2,3), Kiko Shiga PhD (4), Kiyoko Iiboshi PhD (4), Makiko Kasai PhD (5), Yasuhiro Kimura MA (6), Satoshi Yokota MA (7), Katsunori Watanabe PhD (8), Yoko Kubo MA (9), Masayuki Nakamura MD PhD (10)</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BV ĐH Kagoshima; (2-3) ĐH Fukui; (4) ĐH Shigakukan; (5) ĐH Naruto; (6) CL Fukushima; (7) THPT Kochi Kokusai; (8) ĐH Jin-ai; (9-10) ĐH Kagoshima — 10 tác giả từ 8 cơ quan Nhật Bản</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JMIR Pediatrics and Parenting (Q2, IF ≈ 2,5)</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2024, Vol. 7, e55786, 13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10.2196/55786</w:t>
            </w:r>
          </w:p>
        </w:tc>
      </w:tr>
      <w:tr>
        <w:tc>
          <w:tcPr>
            <w:tcW w:type="dxa" w:w="4702"/>
            <w:tcW w:w="1984" w:type="dxa"/>
            <w:shd w:fill="D9E2F3" w:val="clear"/>
          </w:tcPr>
          <w:p>
            <w:r>
              <w:rPr>
                <w:rFonts w:ascii="Times New Roman" w:hAnsi="Times New Roman"/>
                <w:b/>
                <w:sz w:val="20"/>
              </w:rPr>
              <w:t>Đăng ký TN</w:t>
            </w:r>
          </w:p>
        </w:tc>
        <w:tc>
          <w:tcPr>
            <w:tcW w:type="dxa" w:w="4702"/>
            <w:tcW w:w="7087" w:type="dxa"/>
          </w:tcPr>
          <w:p>
            <w:r>
              <w:rPr>
                <w:rFonts w:ascii="Times New Roman" w:hAnsi="Times New Roman"/>
                <w:sz w:val="20"/>
              </w:rPr>
              <w:t>UMIN000049768</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Thử nghiệm ngẫu nhiên có đối chứng đa trung tâm (multicenter RCT) — iCBT TỰ HỌC hoàn toàn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77 HS + SV (38 can thiệp + 39 đối chứng), 6 ĐH + 1 THPT Nhật Bản, SAD dưới ngưỡng, 12/2022–10/2023</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LSAS-J (lo âu XH), SPS (lo âu XH phát biểu), PHQ-9 (trầm cảm), GAD-7 (lo âu chung), EQ-5D-5L (chất lượng sống)</w:t>
            </w:r>
          </w:p>
        </w:tc>
      </w:tr>
      <w:tr>
        <w:tc>
          <w:tcPr>
            <w:tcW w:type="dxa" w:w="4702"/>
            <w:tcW w:w="1984" w:type="dxa"/>
            <w:shd w:fill="D9E2F3" w:val="clear"/>
          </w:tcPr>
          <w:p>
            <w:r>
              <w:rPr>
                <w:rFonts w:ascii="Times New Roman" w:hAnsi="Times New Roman"/>
                <w:b/>
                <w:sz w:val="20"/>
              </w:rPr>
              <w:t>Can thiệp</w:t>
            </w:r>
          </w:p>
        </w:tc>
        <w:tc>
          <w:tcPr>
            <w:tcW w:type="dxa" w:w="4702"/>
            <w:tcW w:w="7087" w:type="dxa"/>
          </w:tcPr>
          <w:p>
            <w:r>
              <w:rPr>
                <w:rFonts w:ascii="Times New Roman" w:hAnsi="Times New Roman"/>
                <w:sz w:val="20"/>
              </w:rPr>
              <w:t>iCBT tự học hoàn toàn: 10 phiên dạng văn bản, dạy kỹ thuật CBT cho lo âu XH</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JMIR</w:t>
            </w:r>
          </w:p>
        </w:tc>
      </w:tr>
    </w:tbl>
    <w:p>
      <w:r>
        <w:rPr>
          <w:rFonts w:ascii="Times New Roman" w:hAnsi="Times New Roman"/>
          <w:i/>
          <w:color w:val="808080"/>
          <w:sz w:val="18"/>
        </w:rPr>
        <w:t>--- Trang 1–13, JMIR Pediatrics and Parenting, Vol. 7, 2024 ---</w:t>
      </w:r>
    </w:p>
    <w:p>
      <w:pPr>
        <w:pStyle w:val="Heading2"/>
      </w:pPr>
      <w:r>
        <w:rPr>
          <w:rFonts w:ascii="Times New Roman" w:hAnsi="Times New Roman"/>
          <w:color w:val="000000"/>
        </w:rPr>
        <w:t>TÓM TẮT</w:t>
      </w:r>
    </w:p>
    <w:p>
      <w:r>
        <w:rPr>
          <w:rFonts w:ascii="Times New Roman" w:hAnsi="Times New Roman"/>
          <w:b w:val="0"/>
          <w:i w:val="0"/>
          <w:sz w:val="24"/>
        </w:rPr>
        <w:t>Bối cảnh: Rối loạn lo âu xã hội (SAD) là rối loạn tâm thần phổ biến ở thanh thiếu niên và thanh niên. Can thiệp sớm có thể giúp ngăn chặn phát triển SAD đầy đủ. Xem xét rằng VTN có triệu chứng lo âu XH không ưa thích phiên mặt đối mặt do sợ giao tiếp với nhà trị liệu, liệu pháp nhận thức–hành vi qua internet (iCBT) được triển khai.</w:t>
      </w:r>
    </w:p>
    <w:p>
      <w:r>
        <w:rPr>
          <w:rFonts w:ascii="Times New Roman" w:hAnsi="Times New Roman"/>
          <w:color w:val="CC0000"/>
          <w:sz w:val="24"/>
        </w:rPr>
        <w:t>Phương pháp: RCT đa trung tâm từ 12/2022 đến 10/2023. Người tham gia là HS/SV tại 6 đại học và 1 trường THPT Nhật Bản. Can thiệp: iCBT TỰ HỌC HOÀN TOÀN (complete self-help) gồm 10 phiên dạng văn bản dạy kỹ thuật CBT cho lo âu XH ở VTN và thanh niên. Đối chứng: không can thiệp. Phân ngẫu nhiên 1:1 bằng chương trình máy tính. Đo: LSAS-J + SPS (lo âu XH), PHQ-9 (trầm cảm), GAD-7 (lo âu chung), EQ-5D-5L (chất lượng sống).</w:t>
      </w:r>
    </w:p>
    <w:p>
      <w:r>
        <w:rPr>
          <w:rFonts w:ascii="Times New Roman" w:hAnsi="Times New Roman"/>
          <w:color w:val="CC0000"/>
          <w:sz w:val="24"/>
        </w:rPr>
        <w:t>Kết quả: 77 HS/SV được ghi danh (38 can thiệp, 39 đối chứng). ANCOVA với trầm cảm làm biến đồng: nhóm can thiệp giảm đáng kể triệu chứng lo âu XH, trầm cảm và lo âu chung so với đối chứng. Tỷ lệ đáp ứng: 61% (19/31) can thiệp vs 24% (9/38) đối chứng — OR = 4,97 (KTC 95%: 1,61–16,53; p = 0,003). Tỷ lệ phục hồi: 68% (21/31) vs 34% (13/38) — OR = 3,95 (KTC: 1,32–12,56; p = 0,008). Tỷ lệ thuyên giảm: OR = 2,01 (không đáng kể, p = 0,20).</w:t>
      </w:r>
    </w:p>
    <w:p>
      <w:r>
        <w:rPr>
          <w:rFonts w:ascii="Times New Roman" w:hAnsi="Times New Roman"/>
          <w:b w:val="0"/>
          <w:i w:val="0"/>
          <w:sz w:val="24"/>
        </w:rPr>
        <w:t>Kết luận: iCBT tự học hoàn toàn có thể giảm hiệu quả triệu chứng lo âu XH dưới ngưỡng ở HS/SV Nhật Bản. Can thiệp sớm qua internet có tiềm năng ngăn chặn phát triển SAD đầy đủ với chi phí thấp và không cần chuyên gia.</w:t>
      </w:r>
    </w:p>
    <w:p>
      <w:pPr>
        <w:pStyle w:val="Heading2"/>
      </w:pPr>
      <w:r>
        <w:rPr>
          <w:rFonts w:ascii="Times New Roman" w:hAnsi="Times New Roman"/>
          <w:color w:val="000000"/>
        </w:rPr>
        <w:t>TÓM TẮT ĐÁNH GIÁ NHANH</w:t>
      </w:r>
    </w:p>
    <w:p>
      <w:r>
        <w:rPr>
          <w:rFonts w:ascii="Times New Roman" w:hAnsi="Times New Roman"/>
          <w:b w:val="0"/>
          <w:i w:val="0"/>
          <w:sz w:val="24"/>
        </w:rPr>
        <w:t>• JMIR Pediatrics Q2. RCT đa trung tâm Nhật Bản (6 ĐH + 1 THPT) — đăng ký UMIN000049768.</w:t>
      </w:r>
    </w:p>
    <w:p>
      <w:r>
        <w:rPr>
          <w:rFonts w:ascii="Times New Roman" w:hAnsi="Times New Roman"/>
          <w:b w:val="0"/>
          <w:i w:val="0"/>
          <w:sz w:val="24"/>
        </w:rPr>
        <w:t>• iCBT TỰ HỌC HOÀN TOÀN (không hướng dẫn) — chi phí THẤP NHẤT. Không cần chuyên gia hay GV.</w:t>
      </w:r>
    </w:p>
    <w:p>
      <w:r>
        <w:rPr>
          <w:rFonts w:ascii="Times New Roman" w:hAnsi="Times New Roman"/>
          <w:b w:val="0"/>
          <w:i w:val="0"/>
          <w:sz w:val="24"/>
        </w:rPr>
        <w:t>• SAD DƯỚI NGƯỠNG — can thiệp SỚM trước khi thành rối loạn đầy đủ. Phòng ngừa hơn chữa trị.</w:t>
      </w:r>
    </w:p>
    <w:p>
      <w:r>
        <w:rPr>
          <w:rFonts w:ascii="Times New Roman" w:hAnsi="Times New Roman"/>
          <w:b w:val="0"/>
          <w:i w:val="0"/>
          <w:sz w:val="24"/>
        </w:rPr>
        <w:t>• Response rate 61% (OR=4,97) và recovery 68% (OR=3,95) — hiệu quả đáng kể.</w:t>
      </w:r>
    </w:p>
    <w:p>
      <w:r>
        <w:rPr>
          <w:rFonts w:ascii="Times New Roman" w:hAnsi="Times New Roman"/>
          <w:b w:val="0"/>
          <w:i w:val="0"/>
          <w:sz w:val="24"/>
        </w:rPr>
        <w:t>• Nhật Bản — Đông Bắc Á, văn hóa gần VN hơn phương Tây.</w:t>
      </w:r>
    </w:p>
    <w:p>
      <w:r>
        <w:rPr>
          <w:rFonts w:ascii="Times New Roman" w:hAnsi="Times New Roman"/>
          <w:b w:val="0"/>
          <w:i w:val="0"/>
          <w:sz w:val="24"/>
        </w:rPr>
        <w:t>• Bao gồm 1 THPT — không chỉ đại học.</w:t>
      </w:r>
    </w:p>
    <w:p>
      <w:r>
        <w:rPr>
          <w:rFonts w:ascii="Times New Roman" w:hAnsi="Times New Roman"/>
          <w:b w:val="0"/>
          <w:i w:val="0"/>
          <w:sz w:val="24"/>
        </w:rPr>
        <w:t>• Phù hợp B9 NMA (iCBT SUCRA 71,2% hạng 1 cho SAD).</w:t>
      </w:r>
    </w:p>
    <w:p>
      <w:r>
        <w:rPr>
          <w:rFonts w:ascii="Times New Roman" w:hAnsi="Times New Roman"/>
          <w:b w:val="0"/>
          <w:i w:val="0"/>
          <w:sz w:val="24"/>
        </w:rPr>
        <w:t>• Nhưng B2 JMIR MA: có hướng dẫn (g=0,825) &gt; không hướng dẫn (~0,3–0,4) — hiệu quả có thể hạn chế.</w:t>
      </w:r>
    </w:p>
    <w:p>
      <w:r>
        <w:rPr>
          <w:rFonts w:ascii="Times New Roman" w:hAnsi="Times New Roman"/>
          <w:b/>
          <w:i w:val="0"/>
          <w:sz w:val="24"/>
        </w:rPr>
        <w:t>Hạn chế:</w:t>
      </w:r>
    </w:p>
    <w:p>
      <w:r>
        <w:rPr>
          <w:rFonts w:ascii="Times New Roman" w:hAnsi="Times New Roman"/>
          <w:b w:val="0"/>
          <w:i w:val="0"/>
          <w:sz w:val="24"/>
        </w:rPr>
        <w:t>• n = 77 — nhỏ. Chỉ Nhật Bản.</w:t>
      </w:r>
    </w:p>
    <w:p>
      <w:r>
        <w:rPr>
          <w:rFonts w:ascii="Times New Roman" w:hAnsi="Times New Roman"/>
          <w:b w:val="0"/>
          <w:i w:val="0"/>
          <w:sz w:val="24"/>
        </w:rPr>
        <w:t>• SAD dưới ngưỡng — không phải SAD đầy đủ.</w:t>
      </w:r>
    </w:p>
    <w:p>
      <w:r>
        <w:rPr>
          <w:rFonts w:ascii="Times New Roman" w:hAnsi="Times New Roman"/>
          <w:b w:val="0"/>
          <w:i w:val="0"/>
          <w:sz w:val="24"/>
        </w:rPr>
        <w:t>• KHÔNG hướng dẫn — B2 JMIR cho thấy có hướng dẫn hiệu quả hơn nhiều.</w:t>
      </w:r>
    </w:p>
    <w:p>
      <w:r>
        <w:rPr>
          <w:rFonts w:ascii="Times New Roman" w:hAnsi="Times New Roman"/>
          <w:b w:val="0"/>
          <w:i w:val="0"/>
          <w:sz w:val="24"/>
        </w:rPr>
        <w:t>• Thuyên giảm không đáng kể (OR=2,01, p=0,20).</w:t>
      </w:r>
    </w:p>
    <w:p>
      <w:r>
        <w:rPr>
          <w:rFonts w:ascii="Times New Roman" w:hAnsi="Times New Roman"/>
          <w:b w:val="0"/>
          <w:i w:val="0"/>
          <w:sz w:val="24"/>
        </w:rPr>
        <w:t>• Không theo dõi dài hạn (chỉ ngay sau can thiệp).</w:t>
      </w:r>
    </w:p>
    <w:p>
      <w:r>
        <w:rPr>
          <w:rFonts w:ascii="Times New Roman" w:hAnsi="Times New Roman"/>
          <w:i/>
          <w:color w:val="808080"/>
          <w:sz w:val="18"/>
        </w:rPr>
        <w:t>--- Trang 1–5, JMIR Pediatrics, Vol. 7, 2024 ---</w:t>
      </w:r>
    </w:p>
    <w:p>
      <w:pPr>
        <w:pStyle w:val="Heading2"/>
      </w:pPr>
      <w:r>
        <w:rPr>
          <w:rFonts w:ascii="Times New Roman" w:hAnsi="Times New Roman"/>
          <w:color w:val="000000"/>
        </w:rPr>
        <w:t>1. PHƯƠNG PHÁP</w:t>
      </w:r>
    </w:p>
    <w:p>
      <w:r>
        <w:rPr>
          <w:rFonts w:ascii="Times New Roman" w:hAnsi="Times New Roman"/>
          <w:b w:val="0"/>
          <w:i w:val="0"/>
          <w:sz w:val="24"/>
        </w:rPr>
        <w:t>1.1. Thiết kế: RCT đa trung tâm. 7 cơ sở (6 ĐH + 1 THPT) tại 6 tỉnh Nhật Bản. Thời gian: 12/2022–10/2023. Đăng ký: UMIN000049768.</w:t>
      </w:r>
    </w:p>
    <w:p>
      <w:r>
        <w:rPr>
          <w:rFonts w:ascii="Times New Roman" w:hAnsi="Times New Roman"/>
          <w:b w:val="0"/>
          <w:i w:val="0"/>
          <w:sz w:val="24"/>
        </w:rPr>
        <w:t>1.2. Người tham gia: HS + SV có SAD dưới ngưỡng (LSAS-J ≥30 và &lt;60; hoặc SPS ≥16). Không có tiền sử rối loạn tâm thần. Loại trừ: đang nhận trị liệu, dùng thuốc, ý tưởng tự tử. Phân ngẫu nhiên 1:1 bằng máy tính.</w:t>
      </w:r>
    </w:p>
    <w:p>
      <w:r>
        <w:rPr>
          <w:rFonts w:ascii="Times New Roman" w:hAnsi="Times New Roman"/>
          <w:b w:val="0"/>
          <w:i w:val="0"/>
          <w:sz w:val="24"/>
        </w:rPr>
        <w:t>1.3. Can thiệp: iCBT TỰ HỌC HOÀN TOÀN (complete self-help) — 10 phiên dạng văn bản. Nội dung: giáo dục tâm lý về lo âu XH, tái cấu trúc nhận thức, phơi nhiễm (exposure) — tất cả thông qua văn bản tự đọc, KHÔNG có nhà trị liệu hay hướng dẫn viên. Đối chứng: không can thiệp.</w:t>
      </w:r>
    </w:p>
    <w:p>
      <w:r>
        <w:rPr>
          <w:rFonts w:ascii="Times New Roman" w:hAnsi="Times New Roman"/>
          <w:b w:val="0"/>
          <w:i w:val="0"/>
          <w:sz w:val="24"/>
        </w:rPr>
        <w:t>1.4. Thang đo: (a) LSAS-J (Liebowitz Social Anxiety Scale tiếng Nhật, 24 mục, 0–144); (b) SPS (Social Phobia Scale, 20 mục); (c) PHQ-9 (trầm cảm); (d) GAD-7 (lo âu chung); (e) EQ-5D-5L (chất lượng sống). Đo tại ban đầu và sau can thiệp.</w:t>
      </w:r>
    </w:p>
    <w:p>
      <w:r>
        <w:rPr>
          <w:rFonts w:ascii="Times New Roman" w:hAnsi="Times New Roman"/>
          <w:b w:val="0"/>
          <w:i w:val="0"/>
          <w:sz w:val="24"/>
        </w:rPr>
        <w:t>1.5. Phân tích: ANCOVA với trầm cảm (PHQ-9 ban đầu) là biến đồng. Fisher exact test cho tỷ lệ đáp ứng/phục hồi/thuyên giảm. Đáp ứng = giảm ≥50% LSAS-J. Phục hồi = LSAS-J &lt;30 sau can thiệp. Thuyên giảm = LSAS-J &lt;30 và SPS &lt;16.</w:t>
      </w:r>
    </w:p>
    <w:p>
      <w:r>
        <w:rPr>
          <w:rFonts w:ascii="Times New Roman" w:hAnsi="Times New Roman"/>
          <w:i/>
          <w:color w:val="808080"/>
          <w:sz w:val="18"/>
        </w:rPr>
        <w:t>--- Trang 5–9, JMIR Pediatrics, Vol. 7, 2024 ---</w:t>
      </w:r>
    </w:p>
    <w:p>
      <w:pPr>
        <w:pStyle w:val="Heading2"/>
      </w:pPr>
      <w:r>
        <w:rPr>
          <w:rFonts w:ascii="Times New Roman" w:hAnsi="Times New Roman"/>
          <w:color w:val="000000"/>
        </w:rPr>
        <w:t>2. KẾT QUẢ</w:t>
      </w:r>
    </w:p>
    <w:p>
      <w:r>
        <w:rPr>
          <w:rFonts w:ascii="Times New Roman" w:hAnsi="Times New Roman"/>
          <w:b w:val="0"/>
          <w:i w:val="0"/>
          <w:sz w:val="24"/>
        </w:rPr>
        <w:t>77 HS/SV ghi danh: 38 can thiệp + 39 đối chứng. Tuổi TB: can thiệp 19,8 (SD=2,2), đối chứng 20,1 (SD=2,6). Nữ: 66% can thiệp, 67% đối chứng. LSAS-J ban đầu: can thiệp 46,9 (SD=17,4), đối chứng 44,6 (SD=17,6). Hoàn thành đầy đủ: 31/38 (82%) can thiệp, 38/39 (97%) đối chứng.</w:t>
      </w:r>
    </w:p>
    <w:p>
      <w:pPr>
        <w:pStyle w:val="Heading3"/>
      </w:pPr>
      <w:r>
        <w:rPr>
          <w:rFonts w:ascii="Times New Roman" w:hAnsi="Times New Roman"/>
          <w:color w:val="000000"/>
        </w:rPr>
        <w:t>Bảng 1. Kết quả chính — ANCOVA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Thang đo</w:t>
            </w:r>
          </w:p>
        </w:tc>
        <w:tc>
          <w:tcPr>
            <w:tcW w:type="dxa" w:w="1881"/>
            <w:tcW w:w="1417" w:type="dxa"/>
            <w:shd w:fill="D9E2F3" w:val="clear"/>
          </w:tcPr>
          <w:p>
            <w:pPr>
              <w:jc w:val="center"/>
            </w:pPr>
            <w:r>
              <w:rPr>
                <w:rFonts w:ascii="Times New Roman" w:hAnsi="Times New Roman"/>
                <w:b/>
                <w:sz w:val="20"/>
              </w:rPr>
              <w:t>Can thiệp (sau)</w:t>
            </w:r>
          </w:p>
        </w:tc>
        <w:tc>
          <w:tcPr>
            <w:tcW w:type="dxa" w:w="1881"/>
            <w:tcW w:w="1417" w:type="dxa"/>
            <w:shd w:fill="D9E2F3" w:val="clear"/>
          </w:tcPr>
          <w:p>
            <w:pPr>
              <w:jc w:val="center"/>
            </w:pPr>
            <w:r>
              <w:rPr>
                <w:rFonts w:ascii="Times New Roman" w:hAnsi="Times New Roman"/>
                <w:b/>
                <w:sz w:val="20"/>
              </w:rPr>
              <w:t>Đối chứng (sau)</w:t>
            </w:r>
          </w:p>
        </w:tc>
        <w:tc>
          <w:tcPr>
            <w:tcW w:type="dxa" w:w="1881"/>
            <w:tcW w:w="1134" w:type="dxa"/>
            <w:shd w:fill="D9E2F3" w:val="clear"/>
          </w:tcPr>
          <w:p>
            <w:pPr>
              <w:jc w:val="center"/>
            </w:pPr>
            <w:r>
              <w:rPr>
                <w:rFonts w:ascii="Times New Roman" w:hAnsi="Times New Roman"/>
                <w:b/>
                <w:sz w:val="20"/>
              </w:rPr>
              <w:t>F / p</w:t>
            </w:r>
          </w:p>
        </w:tc>
        <w:tc>
          <w:tcPr>
            <w:tcW w:type="dxa" w:w="1881"/>
            <w:tcW w:w="1701" w:type="dxa"/>
            <w:shd w:fill="D9E2F3" w:val="clear"/>
          </w:tcPr>
          <w:p>
            <w:pPr>
              <w:jc w:val="center"/>
            </w:pPr>
            <w:r>
              <w:rPr>
                <w:rFonts w:ascii="Times New Roman" w:hAnsi="Times New Roman"/>
                <w:b/>
                <w:sz w:val="20"/>
              </w:rPr>
              <w:t>Kích thước hiệu ứng</w:t>
            </w:r>
          </w:p>
        </w:tc>
      </w:tr>
      <w:tr>
        <w:tc>
          <w:tcPr>
            <w:tcW w:type="dxa" w:w="1881"/>
            <w:tcW w:w="1984" w:type="dxa"/>
          </w:tcPr>
          <w:p>
            <w:r>
              <w:rPr>
                <w:rFonts w:ascii="Times New Roman" w:hAnsi="Times New Roman"/>
                <w:sz w:val="20"/>
              </w:rPr>
              <w:t>LSAS-J (lo âu XH)</w:t>
            </w:r>
          </w:p>
        </w:tc>
        <w:tc>
          <w:tcPr>
            <w:tcW w:type="dxa" w:w="1881"/>
            <w:tcW w:w="1417" w:type="dxa"/>
          </w:tcPr>
          <w:p>
            <w:r>
              <w:rPr>
                <w:rFonts w:ascii="Times New Roman" w:hAnsi="Times New Roman"/>
                <w:sz w:val="20"/>
              </w:rPr>
              <w:t>Giảm đáng kể</w:t>
            </w:r>
          </w:p>
        </w:tc>
        <w:tc>
          <w:tcPr>
            <w:tcW w:type="dxa" w:w="1881"/>
            <w:tcW w:w="1417" w:type="dxa"/>
          </w:tcPr>
          <w:p>
            <w:r>
              <w:rPr>
                <w:rFonts w:ascii="Times New Roman" w:hAnsi="Times New Roman"/>
                <w:sz w:val="20"/>
              </w:rPr>
              <w:t>Không thay đổi</w:t>
            </w:r>
          </w:p>
        </w:tc>
        <w:tc>
          <w:tcPr>
            <w:tcW w:type="dxa" w:w="1881"/>
            <w:tcW w:w="1134" w:type="dxa"/>
          </w:tcPr>
          <w:p>
            <w:r>
              <w:rPr>
                <w:rFonts w:ascii="Times New Roman" w:hAnsi="Times New Roman"/>
                <w:sz w:val="20"/>
              </w:rPr>
              <w:t>p &lt; 0,05</w:t>
            </w:r>
          </w:p>
        </w:tc>
        <w:tc>
          <w:tcPr>
            <w:tcW w:type="dxa" w:w="1881"/>
            <w:tcW w:w="1701" w:type="dxa"/>
          </w:tcPr>
          <w:p>
            <w:r>
              <w:rPr>
                <w:rFonts w:ascii="Times New Roman" w:hAnsi="Times New Roman"/>
                <w:sz w:val="20"/>
              </w:rPr>
              <w:t>Cohen d ≈ 0,5–0,7</w:t>
            </w:r>
          </w:p>
        </w:tc>
      </w:tr>
      <w:tr>
        <w:tc>
          <w:tcPr>
            <w:tcW w:type="dxa" w:w="1881"/>
            <w:tcW w:w="1984" w:type="dxa"/>
          </w:tcPr>
          <w:p>
            <w:r>
              <w:rPr>
                <w:rFonts w:ascii="Times New Roman" w:hAnsi="Times New Roman"/>
                <w:sz w:val="20"/>
              </w:rPr>
              <w:t>SPS (lo âu phát biểu)</w:t>
            </w:r>
          </w:p>
        </w:tc>
        <w:tc>
          <w:tcPr>
            <w:tcW w:type="dxa" w:w="1881"/>
            <w:tcW w:w="1417" w:type="dxa"/>
          </w:tcPr>
          <w:p>
            <w:r>
              <w:rPr>
                <w:rFonts w:ascii="Times New Roman" w:hAnsi="Times New Roman"/>
                <w:sz w:val="20"/>
              </w:rPr>
              <w:t>Giảm đáng kể</w:t>
            </w:r>
          </w:p>
        </w:tc>
        <w:tc>
          <w:tcPr>
            <w:tcW w:type="dxa" w:w="1881"/>
            <w:tcW w:w="1417" w:type="dxa"/>
          </w:tcPr>
          <w:p>
            <w:r>
              <w:rPr>
                <w:rFonts w:ascii="Times New Roman" w:hAnsi="Times New Roman"/>
                <w:sz w:val="20"/>
              </w:rPr>
            </w:r>
          </w:p>
        </w:tc>
        <w:tc>
          <w:tcPr>
            <w:tcW w:type="dxa" w:w="1881"/>
            <w:tcW w:w="1134" w:type="dxa"/>
          </w:tcPr>
          <w:p>
            <w:r>
              <w:rPr>
                <w:rFonts w:ascii="Times New Roman" w:hAnsi="Times New Roman"/>
                <w:sz w:val="20"/>
              </w:rPr>
              <w:t>p &lt; 0,05</w:t>
            </w:r>
          </w:p>
        </w:tc>
        <w:tc>
          <w:tcPr>
            <w:tcW w:type="dxa" w:w="1881"/>
            <w:tcW w:w="1701" w:type="dxa"/>
          </w:tcPr>
          <w:p>
            <w:r>
              <w:rPr>
                <w:rFonts w:ascii="Times New Roman" w:hAnsi="Times New Roman"/>
                <w:sz w:val="20"/>
              </w:rPr>
            </w:r>
          </w:p>
        </w:tc>
      </w:tr>
      <w:tr>
        <w:tc>
          <w:tcPr>
            <w:tcW w:type="dxa" w:w="1881"/>
            <w:tcW w:w="1984" w:type="dxa"/>
          </w:tcPr>
          <w:p>
            <w:r>
              <w:rPr>
                <w:rFonts w:ascii="Times New Roman" w:hAnsi="Times New Roman"/>
                <w:sz w:val="20"/>
              </w:rPr>
              <w:t>PHQ-9 (trầm cảm)</w:t>
            </w:r>
          </w:p>
        </w:tc>
        <w:tc>
          <w:tcPr>
            <w:tcW w:type="dxa" w:w="1881"/>
            <w:tcW w:w="1417" w:type="dxa"/>
          </w:tcPr>
          <w:p>
            <w:r>
              <w:rPr>
                <w:rFonts w:ascii="Times New Roman" w:hAnsi="Times New Roman"/>
                <w:sz w:val="20"/>
              </w:rPr>
              <w:t>Giảm đáng kể</w:t>
            </w:r>
          </w:p>
        </w:tc>
        <w:tc>
          <w:tcPr>
            <w:tcW w:type="dxa" w:w="1881"/>
            <w:tcW w:w="1417" w:type="dxa"/>
          </w:tcPr>
          <w:p>
            <w:r>
              <w:rPr>
                <w:rFonts w:ascii="Times New Roman" w:hAnsi="Times New Roman"/>
                <w:sz w:val="20"/>
              </w:rPr>
            </w:r>
          </w:p>
        </w:tc>
        <w:tc>
          <w:tcPr>
            <w:tcW w:type="dxa" w:w="1881"/>
            <w:tcW w:w="1134" w:type="dxa"/>
          </w:tcPr>
          <w:p>
            <w:r>
              <w:rPr>
                <w:rFonts w:ascii="Times New Roman" w:hAnsi="Times New Roman"/>
                <w:sz w:val="20"/>
              </w:rPr>
              <w:t>p &lt; 0,05</w:t>
            </w:r>
          </w:p>
        </w:tc>
        <w:tc>
          <w:tcPr>
            <w:tcW w:type="dxa" w:w="1881"/>
            <w:tcW w:w="1701" w:type="dxa"/>
          </w:tcPr>
          <w:p>
            <w:r>
              <w:rPr>
                <w:rFonts w:ascii="Times New Roman" w:hAnsi="Times New Roman"/>
                <w:sz w:val="20"/>
              </w:rPr>
            </w:r>
          </w:p>
        </w:tc>
      </w:tr>
      <w:tr>
        <w:tc>
          <w:tcPr>
            <w:tcW w:type="dxa" w:w="1881"/>
            <w:tcW w:w="1984" w:type="dxa"/>
          </w:tcPr>
          <w:p>
            <w:r>
              <w:rPr>
                <w:rFonts w:ascii="Times New Roman" w:hAnsi="Times New Roman"/>
                <w:sz w:val="20"/>
              </w:rPr>
              <w:t>GAD-7 (lo âu chung)</w:t>
            </w:r>
          </w:p>
        </w:tc>
        <w:tc>
          <w:tcPr>
            <w:tcW w:type="dxa" w:w="1881"/>
            <w:tcW w:w="1417" w:type="dxa"/>
          </w:tcPr>
          <w:p>
            <w:r>
              <w:rPr>
                <w:rFonts w:ascii="Times New Roman" w:hAnsi="Times New Roman"/>
                <w:sz w:val="20"/>
              </w:rPr>
              <w:t>Giảm đáng kể</w:t>
            </w:r>
          </w:p>
        </w:tc>
        <w:tc>
          <w:tcPr>
            <w:tcW w:type="dxa" w:w="1881"/>
            <w:tcW w:w="1417" w:type="dxa"/>
          </w:tcPr>
          <w:p>
            <w:r>
              <w:rPr>
                <w:rFonts w:ascii="Times New Roman" w:hAnsi="Times New Roman"/>
                <w:sz w:val="20"/>
              </w:rPr>
            </w:r>
          </w:p>
        </w:tc>
        <w:tc>
          <w:tcPr>
            <w:tcW w:type="dxa" w:w="1881"/>
            <w:tcW w:w="1134" w:type="dxa"/>
          </w:tcPr>
          <w:p>
            <w:r>
              <w:rPr>
                <w:rFonts w:ascii="Times New Roman" w:hAnsi="Times New Roman"/>
                <w:sz w:val="20"/>
              </w:rPr>
              <w:t>p &lt; 0,05</w:t>
            </w:r>
          </w:p>
        </w:tc>
        <w:tc>
          <w:tcPr>
            <w:tcW w:type="dxa" w:w="1881"/>
            <w:tcW w:w="1701" w:type="dxa"/>
          </w:tcPr>
          <w:p>
            <w:r>
              <w:rPr>
                <w:rFonts w:ascii="Times New Roman" w:hAnsi="Times New Roman"/>
                <w:sz w:val="20"/>
              </w:rPr>
            </w:r>
          </w:p>
        </w:tc>
      </w:tr>
      <w:tr>
        <w:tc>
          <w:tcPr>
            <w:tcW w:type="dxa" w:w="1881"/>
            <w:tcW w:w="1984" w:type="dxa"/>
          </w:tcPr>
          <w:p>
            <w:r>
              <w:rPr>
                <w:rFonts w:ascii="Times New Roman" w:hAnsi="Times New Roman"/>
                <w:sz w:val="20"/>
              </w:rPr>
              <w:t>EQ-5D-5L (chất lượng sống)</w:t>
            </w:r>
          </w:p>
        </w:tc>
        <w:tc>
          <w:tcPr>
            <w:tcW w:type="dxa" w:w="1881"/>
            <w:tcW w:w="1417" w:type="dxa"/>
          </w:tcPr>
          <w:p>
            <w:r>
              <w:rPr>
                <w:rFonts w:ascii="Times New Roman" w:hAnsi="Times New Roman"/>
                <w:sz w:val="20"/>
              </w:rPr>
              <w:t>Không đáng kể</w:t>
            </w:r>
          </w:p>
        </w:tc>
        <w:tc>
          <w:tcPr>
            <w:tcW w:type="dxa" w:w="1881"/>
            <w:tcW w:w="1417" w:type="dxa"/>
          </w:tcPr>
          <w:p>
            <w:r>
              <w:rPr>
                <w:rFonts w:ascii="Times New Roman" w:hAnsi="Times New Roman"/>
                <w:sz w:val="20"/>
              </w:rPr>
            </w:r>
          </w:p>
        </w:tc>
        <w:tc>
          <w:tcPr>
            <w:tcW w:type="dxa" w:w="1881"/>
            <w:tcW w:w="1134" w:type="dxa"/>
          </w:tcPr>
          <w:p>
            <w:r>
              <w:rPr>
                <w:rFonts w:ascii="Times New Roman" w:hAnsi="Times New Roman"/>
                <w:sz w:val="20"/>
              </w:rPr>
              <w:t>p &gt; 0,05</w:t>
            </w:r>
          </w:p>
        </w:tc>
        <w:tc>
          <w:tcPr>
            <w:tcW w:type="dxa" w:w="1881"/>
            <w:tcW w:w="1701" w:type="dxa"/>
          </w:tcPr>
          <w:p>
            <w:r>
              <w:rPr>
                <w:rFonts w:ascii="Times New Roman" w:hAnsi="Times New Roman"/>
                <w:sz w:val="20"/>
              </w:rPr>
            </w:r>
          </w:p>
        </w:tc>
      </w:tr>
    </w:tbl>
    <w:p>
      <w:pPr>
        <w:pStyle w:val="Heading3"/>
      </w:pPr>
      <w:r>
        <w:rPr>
          <w:rFonts w:ascii="Times New Roman" w:hAnsi="Times New Roman"/>
          <w:color w:val="000000"/>
        </w:rPr>
        <w:t>Bảng 2. Tỷ lệ đáp ứng, phục hồi, thuyên giảm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Chỉ số</w:t>
            </w:r>
          </w:p>
        </w:tc>
        <w:tc>
          <w:tcPr>
            <w:tcW w:type="dxa" w:w="1881"/>
            <w:tcW w:w="1417" w:type="dxa"/>
            <w:shd w:fill="D9E2F3" w:val="clear"/>
          </w:tcPr>
          <w:p>
            <w:pPr>
              <w:jc w:val="center"/>
            </w:pPr>
            <w:r>
              <w:rPr>
                <w:rFonts w:ascii="Times New Roman" w:hAnsi="Times New Roman"/>
                <w:b/>
                <w:sz w:val="20"/>
              </w:rPr>
              <w:t>Can thiệp</w:t>
            </w:r>
          </w:p>
        </w:tc>
        <w:tc>
          <w:tcPr>
            <w:tcW w:type="dxa" w:w="1881"/>
            <w:tcW w:w="1417" w:type="dxa"/>
            <w:shd w:fill="D9E2F3" w:val="clear"/>
          </w:tcPr>
          <w:p>
            <w:pPr>
              <w:jc w:val="center"/>
            </w:pPr>
            <w:r>
              <w:rPr>
                <w:rFonts w:ascii="Times New Roman" w:hAnsi="Times New Roman"/>
                <w:b/>
                <w:sz w:val="20"/>
              </w:rPr>
              <w:t>Đối chứng</w:t>
            </w:r>
          </w:p>
        </w:tc>
        <w:tc>
          <w:tcPr>
            <w:tcW w:type="dxa" w:w="1881"/>
            <w:tcW w:w="1701" w:type="dxa"/>
            <w:shd w:fill="D9E2F3" w:val="clear"/>
          </w:tcPr>
          <w:p>
            <w:pPr>
              <w:jc w:val="center"/>
            </w:pPr>
            <w:r>
              <w:rPr>
                <w:rFonts w:ascii="Times New Roman" w:hAnsi="Times New Roman"/>
                <w:b/>
                <w:sz w:val="20"/>
              </w:rPr>
              <w:t>OR (KTC 95%)</w:t>
            </w:r>
          </w:p>
        </w:tc>
        <w:tc>
          <w:tcPr>
            <w:tcW w:type="dxa" w:w="1881"/>
            <w:tcW w:w="850" w:type="dxa"/>
            <w:shd w:fill="D9E2F3" w:val="clear"/>
          </w:tcPr>
          <w:p>
            <w:pPr>
              <w:jc w:val="center"/>
            </w:pPr>
            <w:r>
              <w:rPr>
                <w:rFonts w:ascii="Times New Roman" w:hAnsi="Times New Roman"/>
                <w:b/>
                <w:sz w:val="20"/>
              </w:rPr>
              <w:t>p</w:t>
            </w:r>
          </w:p>
        </w:tc>
      </w:tr>
      <w:tr>
        <w:tc>
          <w:tcPr>
            <w:tcW w:type="dxa" w:w="1881"/>
            <w:tcW w:w="2268" w:type="dxa"/>
          </w:tcPr>
          <w:p>
            <w:r>
              <w:rPr>
                <w:rFonts w:ascii="Times New Roman" w:hAnsi="Times New Roman"/>
                <w:sz w:val="20"/>
              </w:rPr>
              <w:t>Đáp ứng (≥50% giảm LSAS)</w:t>
            </w:r>
          </w:p>
        </w:tc>
        <w:tc>
          <w:tcPr>
            <w:tcW w:type="dxa" w:w="1881"/>
            <w:tcW w:w="1417" w:type="dxa"/>
          </w:tcPr>
          <w:p>
            <w:r>
              <w:rPr>
                <w:rFonts w:ascii="Times New Roman" w:hAnsi="Times New Roman"/>
                <w:sz w:val="20"/>
              </w:rPr>
              <w:t>61% (19/31)</w:t>
            </w:r>
          </w:p>
        </w:tc>
        <w:tc>
          <w:tcPr>
            <w:tcW w:type="dxa" w:w="1881"/>
            <w:tcW w:w="1417" w:type="dxa"/>
          </w:tcPr>
          <w:p>
            <w:r>
              <w:rPr>
                <w:rFonts w:ascii="Times New Roman" w:hAnsi="Times New Roman"/>
                <w:sz w:val="20"/>
              </w:rPr>
              <w:t>24% (9/38)</w:t>
            </w:r>
          </w:p>
        </w:tc>
        <w:tc>
          <w:tcPr>
            <w:tcW w:type="dxa" w:w="1881"/>
            <w:tcW w:w="1701" w:type="dxa"/>
          </w:tcPr>
          <w:p>
            <w:r>
              <w:rPr>
                <w:rFonts w:ascii="Times New Roman" w:hAnsi="Times New Roman"/>
                <w:sz w:val="20"/>
              </w:rPr>
              <w:t>4,97 (1,61–16,53)</w:t>
            </w:r>
          </w:p>
        </w:tc>
        <w:tc>
          <w:tcPr>
            <w:tcW w:type="dxa" w:w="1881"/>
            <w:tcW w:w="850" w:type="dxa"/>
          </w:tcPr>
          <w:p>
            <w:r>
              <w:rPr>
                <w:rFonts w:ascii="Times New Roman" w:hAnsi="Times New Roman"/>
                <w:sz w:val="20"/>
              </w:rPr>
              <w:t>0,003**</w:t>
            </w:r>
          </w:p>
        </w:tc>
      </w:tr>
      <w:tr>
        <w:tc>
          <w:tcPr>
            <w:tcW w:type="dxa" w:w="1881"/>
            <w:tcW w:w="2268" w:type="dxa"/>
          </w:tcPr>
          <w:p>
            <w:r>
              <w:rPr>
                <w:rFonts w:ascii="Times New Roman" w:hAnsi="Times New Roman"/>
                <w:sz w:val="20"/>
              </w:rPr>
              <w:t>Phục hồi (LSAS &lt;30)</w:t>
            </w:r>
          </w:p>
        </w:tc>
        <w:tc>
          <w:tcPr>
            <w:tcW w:type="dxa" w:w="1881"/>
            <w:tcW w:w="1417" w:type="dxa"/>
          </w:tcPr>
          <w:p>
            <w:r>
              <w:rPr>
                <w:rFonts w:ascii="Times New Roman" w:hAnsi="Times New Roman"/>
                <w:sz w:val="20"/>
              </w:rPr>
              <w:t>68% (21/31)</w:t>
            </w:r>
          </w:p>
        </w:tc>
        <w:tc>
          <w:tcPr>
            <w:tcW w:type="dxa" w:w="1881"/>
            <w:tcW w:w="1417" w:type="dxa"/>
          </w:tcPr>
          <w:p>
            <w:r>
              <w:rPr>
                <w:rFonts w:ascii="Times New Roman" w:hAnsi="Times New Roman"/>
                <w:sz w:val="20"/>
              </w:rPr>
              <w:t>34% (13/38)</w:t>
            </w:r>
          </w:p>
        </w:tc>
        <w:tc>
          <w:tcPr>
            <w:tcW w:type="dxa" w:w="1881"/>
            <w:tcW w:w="1701" w:type="dxa"/>
          </w:tcPr>
          <w:p>
            <w:r>
              <w:rPr>
                <w:rFonts w:ascii="Times New Roman" w:hAnsi="Times New Roman"/>
                <w:sz w:val="20"/>
              </w:rPr>
              <w:t>3,95 (1,32–12,56)</w:t>
            </w:r>
          </w:p>
        </w:tc>
        <w:tc>
          <w:tcPr>
            <w:tcW w:type="dxa" w:w="1881"/>
            <w:tcW w:w="850" w:type="dxa"/>
          </w:tcPr>
          <w:p>
            <w:r>
              <w:rPr>
                <w:rFonts w:ascii="Times New Roman" w:hAnsi="Times New Roman"/>
                <w:sz w:val="20"/>
              </w:rPr>
              <w:t>0,008**</w:t>
            </w:r>
          </w:p>
        </w:tc>
      </w:tr>
      <w:tr>
        <w:tc>
          <w:tcPr>
            <w:tcW w:type="dxa" w:w="1881"/>
            <w:tcW w:w="2268" w:type="dxa"/>
          </w:tcPr>
          <w:p>
            <w:r>
              <w:rPr>
                <w:rFonts w:ascii="Times New Roman" w:hAnsi="Times New Roman"/>
                <w:sz w:val="20"/>
              </w:rPr>
              <w:t>Thuyên giảm (LSAS&lt;30 + SPS&lt;16)</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2,01 (0,64–6,60)</w:t>
            </w:r>
          </w:p>
        </w:tc>
        <w:tc>
          <w:tcPr>
            <w:tcW w:type="dxa" w:w="1881"/>
            <w:tcW w:w="850" w:type="dxa"/>
          </w:tcPr>
          <w:p>
            <w:r>
              <w:rPr>
                <w:rFonts w:ascii="Times New Roman" w:hAnsi="Times New Roman"/>
                <w:sz w:val="20"/>
              </w:rPr>
              <w:t>0,20 n.s.</w:t>
            </w:r>
          </w:p>
        </w:tc>
      </w:tr>
    </w:tbl>
    <w:p>
      <w:r>
        <w:rPr>
          <w:rFonts w:ascii="Times New Roman" w:hAnsi="Times New Roman"/>
          <w:b w:val="0"/>
          <w:i/>
          <w:sz w:val="18"/>
        </w:rPr>
        <w:t>Đáp ứng 61% vs 24% (OR=4,97) và phục hồi 68% vs 34% (OR=3,95) — hiệu quả ĐÁNG KỂ. Thuyên giảm không đáng kể — cần can thiệp mạnh hơn hoặc dài hơn cho thuyên giảm hoàn toàn.</w:t>
      </w:r>
    </w:p>
    <w:p>
      <w:r>
        <w:rPr>
          <w:rFonts w:ascii="Times New Roman" w:hAnsi="Times New Roman"/>
          <w:i/>
          <w:color w:val="808080"/>
          <w:sz w:val="18"/>
        </w:rPr>
        <w:t>--- Trang 9–12, JMIR Pediatrics, Vol. 7, 2024 ---</w:t>
      </w:r>
    </w:p>
    <w:p>
      <w:pPr>
        <w:pStyle w:val="Heading2"/>
      </w:pPr>
      <w:r>
        <w:rPr>
          <w:rFonts w:ascii="Times New Roman" w:hAnsi="Times New Roman"/>
          <w:color w:val="000000"/>
        </w:rPr>
        <w:t>3. THẢO LUẬN VÀ KẾT LUẬN</w:t>
      </w:r>
    </w:p>
    <w:p>
      <w:r>
        <w:rPr>
          <w:rFonts w:ascii="Times New Roman" w:hAnsi="Times New Roman"/>
          <w:b w:val="0"/>
          <w:i w:val="0"/>
          <w:sz w:val="24"/>
        </w:rPr>
        <w:t>iCBT tự học hoàn toàn HIỆU QUẢ giảm lo âu XH, trầm cảm và lo âu chung ở HS/SV Nhật với SAD dưới ngưỡng. Đáp ứng 61% (OR=4,97) và phục hồi 68% (OR=3,95) — rất cao cho can thiệp tự học không hướng dẫn.</w:t>
      </w:r>
    </w:p>
    <w:p>
      <w:r>
        <w:rPr>
          <w:rFonts w:ascii="Times New Roman" w:hAnsi="Times New Roman"/>
          <w:b w:val="0"/>
          <w:i w:val="0"/>
          <w:sz w:val="24"/>
        </w:rPr>
        <w:t>SAD dưới ngưỡng = can thiệp SỚM. Phòng ngừa trước khi SAD trở thành đầy đủ — đặc biệt quan trọng ở VTN vì SAD thường khởi phát ~9,2 tuổi (B9 NMA Xian 2024). Phù hợp Jefferies QT35: 18% VN có SAD nhưng không biết — can thiệp sớm có thể giúp nhóm này.</w:t>
      </w:r>
    </w:p>
    <w:p>
      <w:r>
        <w:rPr>
          <w:rFonts w:ascii="Times New Roman" w:hAnsi="Times New Roman"/>
          <w:b w:val="0"/>
          <w:i w:val="0"/>
          <w:sz w:val="24"/>
        </w:rPr>
        <w:t>iCBT tự học = chi phí THẤP NHẤT: không cần chuyên gia, không cần GV, không cần lịch hẹn. Chỉ cần internet + điện thoại/máy tính. Phù hợp LMIC như VN thiếu chuyên gia SKTT.</w:t>
      </w:r>
    </w:p>
    <w:p>
      <w:r>
        <w:rPr>
          <w:rFonts w:ascii="Times New Roman" w:hAnsi="Times New Roman"/>
          <w:b w:val="0"/>
          <w:i w:val="0"/>
          <w:sz w:val="24"/>
        </w:rPr>
        <w:t>Tuy nhiên, B2 JMIR MA cho thấy DMHI có hướng dẫn (g=0,825) vượt trội không hướng dẫn (~0,3–0,4). Bài này (iCBT không hướng dẫn) đạt OR=4,97 — khá cao nhưng có thể TỐT HƠN nếu có GV/mentor hướng dẫn. Gợi ý VN: phát triển iCBT có GV hướng dẫn (kết hợp B11 + B8 Sri Lanka + B7 CA-CBT ĐNA).</w:t>
      </w:r>
    </w:p>
    <w:p>
      <w:r>
        <w:rPr>
          <w:rFonts w:ascii="Times New Roman" w:hAnsi="Times New Roman"/>
          <w:b w:val="0"/>
          <w:i w:val="0"/>
          <w:sz w:val="24"/>
        </w:rPr>
        <w:t>Nhật Bản — ĐBA, văn hóa tôn trọng thứ bậc, ngại nói trước người lạ — tương tự VN. Jefferies QT35: VN SAD 30,7%, "nói với người có thẩm quyền" xếp hạng lo âu 3/17 — văn hóa thứ bậc.</w:t>
      </w:r>
    </w:p>
    <w:p>
      <w:r>
        <w:rPr>
          <w:rFonts w:ascii="Times New Roman" w:hAnsi="Times New Roman"/>
          <w:b w:val="0"/>
          <w:i w:val="0"/>
          <w:sz w:val="24"/>
        </w:rPr>
        <w:t>Hạn chế: (1) n=77 nhỏ. (2) Chỉ Nhật Bản. (3) SAD dưới ngưỡng — chưa biết hiệu quả cho SAD đầy đủ. (4) Không theo dõi dài hạn. (5) Thuyên giảm không đáng kể (p=0,20). (6) 10 phiên văn bản — thiếu video/tương tác (B3 JAMA Maya có video + quiz + gamification).</w:t>
      </w:r>
    </w:p>
    <w:p>
      <w:pPr>
        <w:pStyle w:val="Heading2"/>
      </w:pPr>
      <w:r>
        <w:rPr>
          <w:rFonts w:ascii="Times New Roman" w:hAnsi="Times New Roman"/>
          <w:color w:val="000000"/>
        </w:rPr>
        <w:t>TÀI LIỆU THAM KHẢO</w:t>
      </w:r>
    </w:p>
    <w:p>
      <w:r>
        <w:rPr>
          <w:rFonts w:ascii="Times New Roman" w:hAnsi="Times New Roman"/>
          <w:b w:val="0"/>
          <w:i w:val="0"/>
          <w:sz w:val="20"/>
        </w:rPr>
        <w:t>Matsumoto, K. et al. (2024). Effectiveness of Unguided iCBT for Subthreshold SAD in Adolescents and Young Adults. JMIR Pediatrics and Parenting, 7, e55786.</w:t>
      </w:r>
    </w:p>
    <w:p>
      <w:r>
        <w:rPr>
          <w:rFonts w:ascii="Times New Roman" w:hAnsi="Times New Roman"/>
          <w:b w:val="0"/>
          <w:i w:val="0"/>
          <w:sz w:val="20"/>
        </w:rPr>
        <w:t>Liebowitz, M.R. (1987). Social phobia. Modern Problems of Pharmacopsychiatry, 22, 141–173.</w:t>
      </w:r>
    </w:p>
    <w:p>
      <w:r>
        <w:rPr>
          <w:rFonts w:ascii="Times New Roman" w:hAnsi="Times New Roman"/>
          <w:b w:val="0"/>
          <w:i w:val="0"/>
          <w:sz w:val="20"/>
        </w:rPr>
        <w:t>(Xem đầy đủ 50+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iCBT</w:t>
            </w:r>
          </w:p>
        </w:tc>
        <w:tc>
          <w:tcPr>
            <w:tcW w:type="dxa" w:w="4702"/>
            <w:tcW w:w="7371" w:type="dxa"/>
          </w:tcPr>
          <w:p>
            <w:r>
              <w:rPr>
                <w:rFonts w:ascii="Times New Roman" w:hAnsi="Times New Roman"/>
                <w:sz w:val="20"/>
              </w:rPr>
              <w:t>Internet-based Cognitive Behavioral Therapy — Liệu pháp Nhận thức–Hành vi qua Internet</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LSAS-J</w:t>
            </w:r>
          </w:p>
        </w:tc>
        <w:tc>
          <w:tcPr>
            <w:tcW w:type="dxa" w:w="4702"/>
            <w:tcW w:w="7371" w:type="dxa"/>
          </w:tcPr>
          <w:p>
            <w:r>
              <w:rPr>
                <w:rFonts w:ascii="Times New Roman" w:hAnsi="Times New Roman"/>
                <w:sz w:val="20"/>
              </w:rPr>
              <w:t>Liebowitz Social Anxiety Scale — Nhật Bản</w:t>
            </w:r>
          </w:p>
        </w:tc>
      </w:tr>
      <w:tr>
        <w:tc>
          <w:tcPr>
            <w:tcW w:type="dxa" w:w="4702"/>
            <w:tcW w:w="1701" w:type="dxa"/>
          </w:tcPr>
          <w:p>
            <w:r>
              <w:rPr>
                <w:rFonts w:ascii="Times New Roman" w:hAnsi="Times New Roman"/>
                <w:sz w:val="20"/>
              </w:rPr>
              <w:t>SPS</w:t>
            </w:r>
          </w:p>
        </w:tc>
        <w:tc>
          <w:tcPr>
            <w:tcW w:type="dxa" w:w="4702"/>
            <w:tcW w:w="7371" w:type="dxa"/>
          </w:tcPr>
          <w:p>
            <w:r>
              <w:rPr>
                <w:rFonts w:ascii="Times New Roman" w:hAnsi="Times New Roman"/>
                <w:sz w:val="20"/>
              </w:rPr>
              <w:t>Social Phobia Scale</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Patient Health Questionnaire 9-item</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w:t>
            </w:r>
          </w:p>
        </w:tc>
      </w:tr>
      <w:tr>
        <w:tc>
          <w:tcPr>
            <w:tcW w:type="dxa" w:w="4702"/>
            <w:tcW w:w="1701" w:type="dxa"/>
          </w:tcPr>
          <w:p>
            <w:r>
              <w:rPr>
                <w:rFonts w:ascii="Times New Roman" w:hAnsi="Times New Roman"/>
                <w:sz w:val="20"/>
              </w:rPr>
              <w:t>EQ-5D-5L</w:t>
            </w:r>
          </w:p>
        </w:tc>
        <w:tc>
          <w:tcPr>
            <w:tcW w:type="dxa" w:w="4702"/>
            <w:tcW w:w="7371" w:type="dxa"/>
          </w:tcPr>
          <w:p>
            <w:r>
              <w:rPr>
                <w:rFonts w:ascii="Times New Roman" w:hAnsi="Times New Roman"/>
                <w:sz w:val="20"/>
              </w:rPr>
              <w:t>EuroQol 5 Dimensions 5 Levels</w:t>
            </w:r>
          </w:p>
        </w:tc>
      </w:tr>
      <w:tr>
        <w:tc>
          <w:tcPr>
            <w:tcW w:type="dxa" w:w="4702"/>
            <w:tcW w:w="1701" w:type="dxa"/>
          </w:tcPr>
          <w:p>
            <w:r>
              <w:rPr>
                <w:rFonts w:ascii="Times New Roman" w:hAnsi="Times New Roman"/>
                <w:sz w:val="20"/>
              </w:rPr>
              <w:t>ANCOVA</w:t>
            </w:r>
          </w:p>
        </w:tc>
        <w:tc>
          <w:tcPr>
            <w:tcW w:type="dxa" w:w="4702"/>
            <w:tcW w:w="7371" w:type="dxa"/>
          </w:tcPr>
          <w:p>
            <w:r>
              <w:rPr>
                <w:rFonts w:ascii="Times New Roman" w:hAnsi="Times New Roman"/>
                <w:sz w:val="20"/>
              </w:rPr>
              <w:t>Analysis of Covariance</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JMIR Pediatrics Q2. RCT đa trung tâm (7 cơ sở) — đăng ký UMIN000049768.</w:t>
      </w:r>
    </w:p>
    <w:p>
      <w:r>
        <w:rPr>
          <w:rFonts w:ascii="Times New Roman" w:hAnsi="Times New Roman"/>
          <w:b w:val="0"/>
          <w:color w:val="FF0000"/>
          <w:sz w:val="24"/>
        </w:rPr>
        <w:t>• iCBT TỰ HỌC HOÀN TOÀN — chi phí thấp nhất, không cần chuyên gia. KHẢ THI nhất cho LMIC như VN.</w:t>
      </w:r>
    </w:p>
    <w:p>
      <w:r>
        <w:rPr>
          <w:rFonts w:ascii="Times New Roman" w:hAnsi="Times New Roman"/>
          <w:b w:val="0"/>
          <w:color w:val="FF0000"/>
          <w:sz w:val="24"/>
        </w:rPr>
        <w:t>• SAD DƯỚI NGƯỠNG — can thiệp PHÒNG NGỮA. Phù hợp QT35 Jefferies (18% false negatives VN).</w:t>
      </w:r>
    </w:p>
    <w:p>
      <w:r>
        <w:rPr>
          <w:rFonts w:ascii="Times New Roman" w:hAnsi="Times New Roman"/>
          <w:b w:val="0"/>
          <w:color w:val="FF0000"/>
          <w:sz w:val="24"/>
        </w:rPr>
        <w:t>• Đáp ứng 61% OR=4,97 + phục hồi 68% OR=3,95 — hiệu quả đáng kể.</w:t>
      </w:r>
    </w:p>
    <w:p>
      <w:r>
        <w:rPr>
          <w:rFonts w:ascii="Times New Roman" w:hAnsi="Times New Roman"/>
          <w:b w:val="0"/>
          <w:color w:val="FF0000"/>
          <w:sz w:val="24"/>
        </w:rPr>
        <w:t>• Nhật Bản ĐBA — văn hóa gần VN (thứ bậc, ngại tương tác). Phù hợp B9 NMA (iCBT hạng 1 SUCRA 71,2%).</w:t>
      </w:r>
    </w:p>
    <w:p>
      <w:r>
        <w:rPr>
          <w:rFonts w:ascii="Times New Roman" w:hAnsi="Times New Roman"/>
          <w:b w:val="0"/>
          <w:color w:val="FF0000"/>
          <w:sz w:val="24"/>
        </w:rPr>
        <w:t>• Giảm cả trầm cảm + lo âu chung — "ba trong một".</w:t>
      </w:r>
    </w:p>
    <w:p>
      <w:r>
        <w:rPr>
          <w:rFonts w:ascii="Times New Roman" w:hAnsi="Times New Roman"/>
          <w:b w:val="0"/>
          <w:color w:val="FF0000"/>
          <w:sz w:val="24"/>
        </w:rPr>
        <w:t>• Bao gồm 1 THPT (không chỉ ĐH) — VTN cấp 3.</w:t>
      </w:r>
    </w:p>
    <w:p>
      <w:r>
        <w:rPr>
          <w:rFonts w:ascii="Times New Roman" w:hAnsi="Times New Roman"/>
          <w:b/>
          <w:color w:val="FF0000"/>
          <w:sz w:val="24"/>
        </w:rPr>
        <w:t>Hạn chế chi tiết:</w:t>
      </w:r>
    </w:p>
    <w:p>
      <w:r>
        <w:rPr>
          <w:rFonts w:ascii="Times New Roman" w:hAnsi="Times New Roman"/>
          <w:b w:val="0"/>
          <w:color w:val="FF0000"/>
          <w:sz w:val="24"/>
        </w:rPr>
        <w:t>• n = 77 nhỏ. Chỉ Nhật Bản — khác VN về giáo dục, kinh tế.</w:t>
      </w:r>
    </w:p>
    <w:p>
      <w:r>
        <w:rPr>
          <w:rFonts w:ascii="Times New Roman" w:hAnsi="Times New Roman"/>
          <w:b w:val="0"/>
          <w:color w:val="FF0000"/>
          <w:sz w:val="24"/>
        </w:rPr>
        <w:t>• SAD dưới ngưỡng — chưa biết hiệu quả cho SAD ĐẦY ĐỦ. B9 NMA bao gồm SAD đầy đủ.</w:t>
      </w:r>
    </w:p>
    <w:p>
      <w:r>
        <w:rPr>
          <w:rFonts w:ascii="Times New Roman" w:hAnsi="Times New Roman"/>
          <w:b w:val="0"/>
          <w:color w:val="FF0000"/>
          <w:sz w:val="24"/>
        </w:rPr>
        <w:t>• KHÔNG hướng dẫn — B2 JMIR MA: có hướng dẫn (g=0,825) VƯỢT TRỘI. B3 JAMA (d=0,94) có app tương tác cao.</w:t>
      </w:r>
    </w:p>
    <w:p>
      <w:r>
        <w:rPr>
          <w:rFonts w:ascii="Times New Roman" w:hAnsi="Times New Roman"/>
          <w:b w:val="0"/>
          <w:color w:val="FF0000"/>
          <w:sz w:val="24"/>
        </w:rPr>
        <w:t>• Thuyên giảm không đáng kể (p=0,20) — giảm triệu chứng nhưng không "khỏi bệnh".</w:t>
      </w:r>
    </w:p>
    <w:p>
      <w:r>
        <w:rPr>
          <w:rFonts w:ascii="Times New Roman" w:hAnsi="Times New Roman"/>
          <w:b w:val="0"/>
          <w:color w:val="FF0000"/>
          <w:sz w:val="24"/>
        </w:rPr>
        <w:t>• Không theo dõi dài hạn — hiệu quả DUY TRÌ không? B3 JAMA: d=1,04 sau 12 tuần.</w:t>
      </w:r>
    </w:p>
    <w:p>
      <w:r>
        <w:rPr>
          <w:rFonts w:ascii="Times New Roman" w:hAnsi="Times New Roman"/>
          <w:b w:val="0"/>
          <w:color w:val="FF0000"/>
          <w:sz w:val="24"/>
        </w:rPr>
        <w:t>• 10 phiên văn bản thuần túy — thiếu video, quiz, gamification. B3 JAMA Maya có tất cả.</w:t>
      </w:r>
    </w:p>
    <w:p>
      <w:r>
        <w:rPr>
          <w:rFonts w:ascii="Times New Roman" w:hAnsi="Times New Roman"/>
          <w:b/>
          <w:color w:val="FF0000"/>
          <w:sz w:val="24"/>
        </w:rPr>
        <w:t>Khoảng trống NC / Gap:</w:t>
      </w:r>
    </w:p>
    <w:p>
      <w:r>
        <w:rPr>
          <w:rFonts w:ascii="Times New Roman" w:hAnsi="Times New Roman"/>
          <w:b w:val="0"/>
          <w:color w:val="FF0000"/>
          <w:sz w:val="24"/>
        </w:rPr>
        <w:t>• VN cần iCBT cho SAD dưới ngưỡng — sàng lọc SIAS-17 (QT35: VN SAD 30,7%) + can thiệp sớm qua app/web.</w:t>
      </w:r>
    </w:p>
    <w:p>
      <w:r>
        <w:rPr>
          <w:rFonts w:ascii="Times New Roman" w:hAnsi="Times New Roman"/>
          <w:b w:val="0"/>
          <w:color w:val="FF0000"/>
          <w:sz w:val="24"/>
        </w:rPr>
        <w:t>• So sánh: iCBT tự học (bài này) vs iCBT có GV hướng dẫn (B2 JMIR g=0,825) tại VN.</w:t>
      </w:r>
    </w:p>
    <w:p>
      <w:r>
        <w:rPr>
          <w:rFonts w:ascii="Times New Roman" w:hAnsi="Times New Roman"/>
          <w:b w:val="0"/>
          <w:color w:val="FF0000"/>
          <w:sz w:val="24"/>
        </w:rPr>
        <w:t>• Phát triển iCBT tiếng Việt: 10 phiên + video + quiz + gamification (kết hợp B11 + B3 JAMA Maya).</w:t>
      </w:r>
    </w:p>
    <w:p>
      <w:r>
        <w:rPr>
          <w:rFonts w:ascii="Times New Roman" w:hAnsi="Times New Roman"/>
          <w:b w:val="0"/>
          <w:color w:val="FF0000"/>
          <w:sz w:val="24"/>
        </w:rPr>
        <w:t>• Thích ứng văn hóa VN: tình huống lo âu XH VN (“nói trước lớp”, “gặp người có thẩm quyền”) + B7 CA-CBT ĐNA.</w:t>
      </w:r>
    </w:p>
    <w:p>
      <w:r>
        <w:rPr>
          <w:rFonts w:ascii="Times New Roman" w:hAnsi="Times New Roman"/>
          <w:b w:val="0"/>
          <w:color w:val="FF0000"/>
          <w:sz w:val="24"/>
        </w:rPr>
        <w:t>• RCT iCBT cho HS THCS VN (cấp 2) — tuổi khởi phát SAD ~9,2 (B9 NMA). VN21 (lớp 6→9) có thể kết hợp.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