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 w:val="0"/>
          <w:i w:val="0"/>
          <w:sz w:val="20"/>
        </w:rPr>
        <w:t>Link: https://doi.org/10.1177/10105395241313154</w:t>
      </w:r>
    </w:p>
    <w:p>
      <w:pPr>
        <w:pStyle w:val="Heading1"/>
      </w:pPr>
      <w:r>
        <w:rPr>
          <w:rFonts w:ascii="Times New Roman" w:hAnsi="Times New Roman"/>
          <w:color w:val="000000"/>
        </w:rPr>
        <w:t>Các can thiệp được đánh giá nhắm vào sức khỏe tâm thần và sức khỏe tâm lý xã hội của trẻ em và vị thành niên: Tổng quan phạm vi tập trung vào các nước thu nhập thấp và trung bình ở Đông Á và Thái Bình Dương</w:t>
      </w:r>
    </w:p>
    <w:p>
      <w:r>
        <w:rPr>
          <w:rFonts w:ascii="Times New Roman" w:hAnsi="Times New Roman"/>
          <w:i/>
          <w:sz w:val="26"/>
        </w:rPr>
        <w:t>Evaluated Interventions Targeting the Mental Health and Psychosocial Wellbeing of Children and Adolescents: A Scoping Review Focused on Low- and Middle-Income Countries in East Asia and the Pacific</w:t>
      </w:r>
    </w:p>
    <w:p>
      <w:r>
        <w:rPr>
          <w:rFonts w:ascii="Times New Roman" w:hAnsi="Times New Roman"/>
          <w:b/>
          <w:i/>
          <w:color w:val="CC6600"/>
          <w:sz w:val="22"/>
        </w:rPr>
        <w:t>⚠ LƯU Ý: Bản dịch này CHỈ DỰA TRÊN ABSTRACT từ Crossref/Semantic Scholar — chưa có PDF đầy đủ (paywall). Cần truy cập thư viện ĐH để có toàn văn.</w:t>
      </w:r>
    </w:p>
    <w:p>
      <w:pPr>
        <w:pStyle w:val="Heading2"/>
      </w:pPr>
      <w:r>
        <w:rPr>
          <w:rFonts w:ascii="Times New Roman" w:hAnsi="Times New Roman"/>
          <w:color w:val="000000"/>
        </w:rPr>
        <w:t>THÔNG TIN THƯ MỤC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Tác giả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Vinay Menon, Miika Coppard, Samuel McEwen, Lorena Romero, Elissa Kennedy, Peter Azzopardi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Tạp chí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Asia Pacific Journal of Public Health (Q2) — SAGE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Xuất bản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2025, Vol. 37(4), pp. 332–346, 15 trang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DOI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10.1177/10105395241313154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Loại NC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Tổng quan phạm vi (Scoping Review)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Mẫu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69 nghiên cứu / 12 quốc gia LMIC Đông Á + TBD: 32 RCT, 31 NC trước-sau, 6 đánh giá sau can thiệp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Phạm vi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Can thiệp SKTT + tâm lý xã hội cho trẻ em + VTN ở LMIC Đông Á + Thái Bình Dương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Truy cập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🔒 Paywall — SAGE</w:t>
            </w:r>
          </w:p>
        </w:tc>
      </w:tr>
    </w:tbl>
    <w:p>
      <w:r>
        <w:rPr>
          <w:rFonts w:ascii="Times New Roman" w:hAnsi="Times New Roman"/>
          <w:i/>
          <w:color w:val="808080"/>
          <w:sz w:val="18"/>
        </w:rPr>
        <w:t>--- Trang 332–346, Asia Pac J Public Health, Vol. 37(4), 2025 ---</w:t>
      </w:r>
    </w:p>
    <w:p>
      <w:pPr>
        <w:pStyle w:val="Heading2"/>
      </w:pPr>
      <w:r>
        <w:rPr>
          <w:rFonts w:ascii="Times New Roman" w:hAnsi="Times New Roman"/>
          <w:color w:val="000000"/>
        </w:rPr>
        <w:t>TÓM LƯỢC NỘI DUNG (từ abstract)</w:t>
      </w:r>
    </w:p>
    <w:p>
      <w:r>
        <w:rPr>
          <w:rFonts w:ascii="Times New Roman" w:hAnsi="Times New Roman"/>
          <w:b w:val="0"/>
          <w:i w:val="0"/>
          <w:sz w:val="24"/>
        </w:rPr>
        <w:t>Tổng quan phạm vi xem xét các can thiệp SKTT + tâm lý xã hội cho trẻ em + VTN tại LMIC Đông Á + Thái Bình Dương. Tổng cộng 69 NC từ 12 quốc gia: 32 RCT, 31 NC trước-sau, 6 đánh giá sau can thiệp.</w:t>
      </w:r>
    </w:p>
    <w:p>
      <w:r>
        <w:rPr>
          <w:rFonts w:ascii="Times New Roman" w:hAnsi="Times New Roman"/>
          <w:color w:val="CC0000"/>
          <w:sz w:val="24"/>
        </w:rPr>
        <w:t>Phát hiện chính: Có sự TẬP TRUNG MẤT CÂN ĐỐI vào "năng lực cá nhân" (individual capacity) — tức can thiệp PHÒNG NGỪA và "quản lý lâm sàng" (clinical management). KHOẢNG TRỐNG ở: thúc đẩy SK dựa vào CỘNG ĐỒNG, phòng ngừa ở CẤP GIA ĐÌNH, và dịch vụ ĐÁP ỨNG dài hạn.</w:t>
      </w:r>
    </w:p>
    <w:p>
      <w:r>
        <w:rPr>
          <w:rFonts w:ascii="Times New Roman" w:hAnsi="Times New Roman"/>
          <w:color w:val="CC0000"/>
          <w:sz w:val="24"/>
        </w:rPr>
        <w:t>Phân bố địa lý: phần lớn NC tập trung ở TRUNG QUỐC + Đông Nam Á. Các nước nhỏ hơn và vùng Thái Bình Dương có ĐẠI DIỆN TỐI THIỂU.</w:t>
      </w:r>
    </w:p>
    <w:p>
      <w:r>
        <w:rPr>
          <w:rFonts w:ascii="Times New Roman" w:hAnsi="Times New Roman"/>
          <w:b/>
          <w:color w:val="FF0000"/>
          <w:sz w:val="26"/>
        </w:rPr>
        <w:t>GIÁ TRỊ CHO ĐỀ TÀI VN</w:t>
      </w:r>
    </w:p>
    <w:p>
      <w:r>
        <w:rPr>
          <w:rFonts w:ascii="Times New Roman" w:hAnsi="Times New Roman"/>
          <w:b w:val="0"/>
          <w:color w:val="FF0000"/>
          <w:sz w:val="24"/>
        </w:rPr>
        <w:t>• 69 NC / 12 nước LMIC Đông Á + TBD — bao gồm VN. Phản ánh KHU VỰC trực tiếp cho đề tài.</w:t>
      </w:r>
    </w:p>
    <w:p>
      <w:r>
        <w:rPr>
          <w:rFonts w:ascii="Times New Roman" w:hAnsi="Times New Roman"/>
          <w:b w:val="0"/>
          <w:color w:val="FF0000"/>
          <w:sz w:val="24"/>
        </w:rPr>
        <w:t>• KHOẢNG TRỐNG xác định rõ: thiếu can thiệp CỘNG ĐỒNG + GIA ĐÌNH + DỊCH VỤ DÀI HẠN.</w:t>
      </w:r>
    </w:p>
    <w:p>
      <w:r>
        <w:rPr>
          <w:rFonts w:ascii="Times New Roman" w:hAnsi="Times New Roman"/>
          <w:b w:val="0"/>
          <w:color w:val="FF0000"/>
          <w:sz w:val="24"/>
        </w:rPr>
        <w:t>• Phù hợp với phát hiện Dong A5 (TQ): kênh giao tiếp gia đình OR=0,22 — gia đình là yếu tố bảo vệ chính.</w:t>
      </w:r>
    </w:p>
    <w:p>
      <w:r>
        <w:rPr>
          <w:rFonts w:ascii="Times New Roman" w:hAnsi="Times New Roman"/>
          <w:b w:val="0"/>
          <w:color w:val="FF0000"/>
          <w:sz w:val="24"/>
        </w:rPr>
        <w:t>• Phù hợp với UNICEF VN22 + đề cương VN giai đoạn 2: cần can thiệp PHỐI HỢP gia đình-trường-cộng đồng.</w:t>
      </w:r>
    </w:p>
    <w:p>
      <w:r>
        <w:rPr>
          <w:rFonts w:ascii="Times New Roman" w:hAnsi="Times New Roman"/>
          <w:b w:val="0"/>
          <w:color w:val="FF0000"/>
          <w:sz w:val="24"/>
        </w:rPr>
        <w:t>• Cảnh báo: TQ + ĐNA chiếm phần lớn → có thể thiếu chú trọng VN cụ thể.</w:t>
      </w:r>
    </w:p>
    <w:p>
      <w:r>
        <w:rPr>
          <w:rFonts w:ascii="Times New Roman" w:hAnsi="Times New Roman"/>
          <w:b w:val="0"/>
          <w:color w:val="FF0000"/>
          <w:sz w:val="24"/>
        </w:rPr>
        <w:t>• Gợi ý cho đề cương VN: ƯU TIÊN can thiệp CỘNG ĐỒNG + GIA ĐÌNH thay vì chỉ trường — sẽ lấp khoảng trống.</w:t>
      </w:r>
    </w:p>
    <w:p>
      <w:r>
        <w:rPr>
          <w:rFonts w:ascii="Times New Roman" w:hAnsi="Times New Roman"/>
          <w:b w:val="0"/>
          <w:color w:val="FF0000"/>
          <w:sz w:val="24"/>
        </w:rPr>
        <w:t>• Hạn chế: chưa có PDF → chưa biết VN có bao nhiêu NC, loại nào.</w:t>
      </w:r>
    </w:p>
    <w:p>
      <w:r>
        <w:rPr>
          <w:rFonts w:ascii="Times New Roman" w:hAnsi="Times New Roman"/>
          <w:b/>
          <w:i w:val="0"/>
          <w:sz w:val="24"/>
        </w:rPr>
        <w:t>Đánh giá: ⭐⭐⭐⭐ Cao. Scoping review khu vực ĐN Á LMIC — trực tiếp xác định khoảng trống cho VN.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  <cp:version/>
</cp:coreProperties>
</file>