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Saikia et al. 2023</w:t>
      </w:r>
    </w:p>
    <w:p>
      <w:r>
        <w:rPr>
          <w:rFonts w:ascii="Times New Roman" w:hAnsi="Times New Roman"/>
          <w:b/>
          <w:i w:val="0"/>
          <w:sz w:val="24"/>
        </w:rPr>
        <w:t>Phát hiện đặc biệt: NAM &gt; NỮ về lo âu — trái ngược y văn quốc tế</w:t>
      </w:r>
    </w:p>
    <w:p>
      <w:r>
        <w:rPr>
          <w:rFonts w:ascii="Times New Roman" w:hAnsi="Times New Roman"/>
          <w:b/>
          <w:color w:val="FF0000"/>
          <w:sz w:val="26"/>
        </w:rPr>
        <w:t>Tên công trình, tác giả, năm, mẫu khảo sát, đối tượng, khách thể, địa bàn</w:t>
      </w:r>
    </w:p>
    <w:p>
      <w:r>
        <w:rPr>
          <w:rFonts w:ascii="Times New Roman" w:hAnsi="Times New Roman"/>
          <w:b w:val="0"/>
          <w:i w:val="0"/>
          <w:sz w:val="24"/>
        </w:rPr>
        <w:t>Công trình « Các bệnh lý sức khỏe tâm thần và các yếu tố liên quan ở thanh thiếu niên tại Kamrup (Metro), Assam: Một nghiên cứu tại trường học » (Mental Health Morbidities and their Correlates among the Adolescents in Kamrup (Metro), Assam: A School-Based Study), do Anku M. Saikia, Hemen Das và Vinoth Rajendran (2023), Khoa Y học Cộng đồng, Trường Y khoa Gauhati, Guwahati, Assam, Ấn Độ, khảo sát 360 thanh thiếu niên 14–17 tuổi tại 10 trường THCS công lập quận Kamrup (Metro), vùng Đông Bắc Ấn Độ. Indian Journal of Community Medicine, 48(5), 733–738. PMID: 37970140.</w:t>
      </w:r>
    </w:p>
    <w:p>
      <w:r>
        <w:rPr>
          <w:rFonts w:ascii="Times New Roman" w:hAnsi="Times New Roman"/>
          <w:b/>
          <w:color w:val="FF0000"/>
          <w:sz w:val="26"/>
        </w:rPr>
        <w:t>Phương pháp nghiên cứu</w:t>
      </w:r>
    </w:p>
    <w:p>
      <w:r>
        <w:rPr>
          <w:rFonts w:ascii="Times New Roman" w:hAnsi="Times New Roman"/>
          <w:b/>
          <w:i w:val="0"/>
          <w:sz w:val="24"/>
        </w:rPr>
        <w:t>Công trình sử dụng Thang đo Trầm cảm Lo âu Căng thẳng 21 mục (DASS-21 — Depression Anxiety Stress Scale) phiên bản tiếng Assam, kết hợp thang Kuppuswamy sửa đổi đánh giá kinh tế xã hội. Nói cách khác, đây là nghiên cứu sàng lọc cắt ngang tại trường học.</w:t>
      </w:r>
    </w:p>
    <w:p>
      <w:r>
        <w:rPr>
          <w:rFonts w:ascii="Times New Roman" w:hAnsi="Times New Roman"/>
          <w:b w:val="0"/>
          <w:i w:val="0"/>
          <w:sz w:val="24"/>
        </w:rPr>
        <w:t>DASS-21 là phiên bản rút gọn 21 mục của thang gốc 42 mục (Lovibond &amp; Lovibond, 1995). Phiên bản tiếng Assam được dịch ngược và xác nhận bởi nhóm chuyên gia tâm thần học. Lấy mẫu ngẫu nhiên đơn giản 10/120 trường, 36 HS/trường (12/lớp 8,9,10), nam nữ bằng nhau. Thu thập 4/2019–6/2020. Phân tích chi-square, SPSS.</w:t>
      </w:r>
    </w:p>
    <w:p>
      <w:r>
        <w:rPr>
          <w:rFonts w:ascii="Times New Roman" w:hAnsi="Times New Roman"/>
          <w:b/>
          <w:color w:val="FF0000"/>
          <w:sz w:val="26"/>
        </w:rPr>
        <w:t>Kết quả nghiên cứu định lượng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Yếu tố</w:t>
            </w:r>
          </w:p>
        </w:tc>
        <w:tc>
          <w:tcPr>
            <w:tcW w:type="dxa" w:w="3135"/>
            <w:tcW w:w="1417" w:type="dxa"/>
            <w:shd w:fill="D9E2F3" w:val="clear"/>
          </w:tcPr>
          <w:p>
            <w:pPr>
              <w:jc w:val="center"/>
            </w:pPr>
            <w:r>
              <w:rPr>
                <w:rFonts w:ascii="Times New Roman" w:hAnsi="Times New Roman"/>
                <w:b/>
                <w:sz w:val="20"/>
              </w:rPr>
              <w:t>P (lo âu)</w:t>
            </w:r>
          </w:p>
        </w:tc>
        <w:tc>
          <w:tcPr>
            <w:tcW w:type="dxa" w:w="3135"/>
            <w:tcW w:w="2268" w:type="dxa"/>
            <w:shd w:fill="D9E2F3" w:val="clear"/>
          </w:tcPr>
          <w:p>
            <w:pPr>
              <w:jc w:val="center"/>
            </w:pPr>
            <w:r>
              <w:rPr>
                <w:rFonts w:ascii="Times New Roman" w:hAnsi="Times New Roman"/>
                <w:b/>
                <w:sz w:val="20"/>
              </w:rPr>
              <w:t>Ghi chú</w:t>
            </w:r>
          </w:p>
        </w:tc>
      </w:tr>
      <w:tr>
        <w:tc>
          <w:tcPr>
            <w:tcW w:type="dxa" w:w="3135"/>
            <w:tcW w:w="3118" w:type="dxa"/>
          </w:tcPr>
          <w:p>
            <w:r>
              <w:rPr>
                <w:rFonts w:ascii="Times New Roman" w:hAnsi="Times New Roman"/>
                <w:sz w:val="20"/>
              </w:rPr>
              <w:t>Giới tính: NAM 30,0% &gt; NỮ 18,9%</w:t>
            </w:r>
          </w:p>
        </w:tc>
        <w:tc>
          <w:tcPr>
            <w:tcW w:type="dxa" w:w="3135"/>
            <w:tcW w:w="1417" w:type="dxa"/>
          </w:tcPr>
          <w:p>
            <w:r>
              <w:rPr>
                <w:rFonts w:ascii="Times New Roman" w:hAnsi="Times New Roman"/>
                <w:sz w:val="20"/>
              </w:rPr>
              <w:t>0,049</w:t>
            </w:r>
          </w:p>
        </w:tc>
        <w:tc>
          <w:tcPr>
            <w:tcW w:type="dxa" w:w="3135"/>
            <w:tcW w:w="2268" w:type="dxa"/>
          </w:tcPr>
          <w:p>
            <w:r>
              <w:rPr>
                <w:rFonts w:ascii="Times New Roman" w:hAnsi="Times New Roman"/>
                <w:sz w:val="20"/>
              </w:rPr>
              <w:t>⚠️ TRÁI Y VĂN</w:t>
            </w:r>
          </w:p>
        </w:tc>
      </w:tr>
      <w:tr>
        <w:tc>
          <w:tcPr>
            <w:tcW w:type="dxa" w:w="3135"/>
            <w:tcW w:w="3118" w:type="dxa"/>
          </w:tcPr>
          <w:p>
            <w:r>
              <w:rPr>
                <w:rFonts w:ascii="Times New Roman" w:hAnsi="Times New Roman"/>
                <w:sz w:val="20"/>
              </w:rPr>
              <w:t>Cha mẹ đơn thân</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63,2% nếu đơn thân</w:t>
            </w:r>
          </w:p>
        </w:tc>
      </w:tr>
      <w:tr>
        <w:tc>
          <w:tcPr>
            <w:tcW w:type="dxa" w:w="3135"/>
            <w:tcW w:w="3118" w:type="dxa"/>
          </w:tcPr>
          <w:p>
            <w:r>
              <w:rPr>
                <w:rFonts w:ascii="Times New Roman" w:hAnsi="Times New Roman"/>
                <w:sz w:val="20"/>
              </w:rPr>
              <w:t>Cha mẹ sử dụng rượu</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38,3–40,4%</w:t>
            </w:r>
          </w:p>
        </w:tc>
      </w:tr>
      <w:tr>
        <w:tc>
          <w:tcPr>
            <w:tcW w:type="dxa" w:w="3135"/>
            <w:tcW w:w="3118" w:type="dxa"/>
          </w:tcPr>
          <w:p>
            <w:r>
              <w:rPr>
                <w:rFonts w:ascii="Times New Roman" w:hAnsi="Times New Roman"/>
                <w:sz w:val="20"/>
              </w:rPr>
              <w:t>Chơi trò chơi điện tử</w:t>
            </w:r>
          </w:p>
        </w:tc>
        <w:tc>
          <w:tcPr>
            <w:tcW w:type="dxa" w:w="3135"/>
            <w:tcW w:w="1417" w:type="dxa"/>
          </w:tcPr>
          <w:p>
            <w:r>
              <w:rPr>
                <w:rFonts w:ascii="Times New Roman" w:hAnsi="Times New Roman"/>
                <w:sz w:val="20"/>
              </w:rPr>
              <w:t>0,003</w:t>
            </w:r>
          </w:p>
        </w:tc>
        <w:tc>
          <w:tcPr>
            <w:tcW w:type="dxa" w:w="3135"/>
            <w:tcW w:w="2268" w:type="dxa"/>
          </w:tcPr>
          <w:p>
            <w:r>
              <w:rPr>
                <w:rFonts w:ascii="Times New Roman" w:hAnsi="Times New Roman"/>
                <w:sz w:val="20"/>
              </w:rPr>
              <w:t>27,9–30,8%</w:t>
            </w:r>
          </w:p>
        </w:tc>
      </w:tr>
      <w:tr>
        <w:tc>
          <w:tcPr>
            <w:tcW w:type="dxa" w:w="3135"/>
            <w:tcW w:w="3118" w:type="dxa"/>
          </w:tcPr>
          <w:p>
            <w:r>
              <w:rPr>
                <w:rFonts w:ascii="Times New Roman" w:hAnsi="Times New Roman"/>
                <w:sz w:val="20"/>
              </w:rPr>
              <w:t>Lưu ban</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51,7–58,6%</w:t>
            </w:r>
          </w:p>
        </w:tc>
      </w:tr>
      <w:tr>
        <w:tc>
          <w:tcPr>
            <w:tcW w:type="dxa" w:w="3135"/>
            <w:tcW w:w="3118" w:type="dxa"/>
          </w:tcPr>
          <w:p>
            <w:r>
              <w:rPr>
                <w:rFonts w:ascii="Times New Roman" w:hAnsi="Times New Roman"/>
                <w:sz w:val="20"/>
              </w:rPr>
              <w:t>Tầng lớp KT-XH thấp</w:t>
            </w:r>
          </w:p>
        </w:tc>
        <w:tc>
          <w:tcPr>
            <w:tcW w:type="dxa" w:w="3135"/>
            <w:tcW w:w="1417" w:type="dxa"/>
          </w:tcPr>
          <w:p>
            <w:r>
              <w:rPr>
                <w:rFonts w:ascii="Times New Roman" w:hAnsi="Times New Roman"/>
                <w:sz w:val="20"/>
              </w:rPr>
              <w:t>0,028</w:t>
            </w:r>
          </w:p>
        </w:tc>
        <w:tc>
          <w:tcPr>
            <w:tcW w:type="dxa" w:w="3135"/>
            <w:tcW w:w="2268" w:type="dxa"/>
          </w:tcPr>
          <w:p>
            <w:r>
              <w:rPr>
                <w:rFonts w:ascii="Times New Roman" w:hAnsi="Times New Roman"/>
                <w:sz w:val="20"/>
              </w:rPr>
              <w:t>Chỉ ý nghĩa với lo âu</w:t>
            </w:r>
          </w:p>
        </w:tc>
      </w:tr>
    </w:tbl>
    <w:p/>
    <w:p>
      <w:pPr>
        <w:pStyle w:val="Heading3"/>
      </w:pPr>
      <w:r>
        <w:rPr>
          <w:rFonts w:ascii="Times New Roman" w:hAnsi="Times New Roman"/>
          <w:color w:val="0070C0"/>
        </w:rPr>
        <w:t>Khác biệt giới tính — PHÁT HIỆN ĐẶC BIỆT</w:t>
      </w:r>
    </w:p>
    <w:p>
      <w:r>
        <w:rPr>
          <w:rFonts w:ascii="Times New Roman" w:hAnsi="Times New Roman"/>
          <w:b w:val="0"/>
          <w:i w:val="0"/>
          <w:sz w:val="24"/>
        </w:rPr>
        <w:t>Nam giới có tỷ lệ lo âu CAO HƠN nữ giới (30,0% so với 18,9%, P = 0,049) — TRÁI NGƯỢC hoàn toàn với y văn quốc tế, nơi nữ luôn cao hơn nam (McLean et al., 2011; Salk et al., 2017). Trong 11 bài nghiên cứu của Đề tài, chỉ có 2 bài cho thấy nam &gt; nữ (Saikia 2023 và Xu 2021). Phát hiện này có thể được giải thích bởi đặc thù văn hóa bộ lạc vùng Đông Bắc Ấn Độ, nơi kỳ vọng về vai trò nam giới khác biệt so với phần còn lại của Ấn Độ. Tuy nhiên, nghiên cứu tại cùng khu vực (Kumar &amp; Akoijam 2017 tại Manipur; Nag et al. 2019 tại Tripura) đều cho thấy nữ &gt; nam — khiến phát hiện này càng bất thường.</w:t>
      </w:r>
    </w:p>
    <w:p>
      <w:r>
        <w:rPr>
          <w:rFonts w:ascii="Times New Roman" w:hAnsi="Times New Roman"/>
          <w:b/>
          <w:color w:val="FF0000"/>
          <w:sz w:val="26"/>
        </w:rPr>
        <w:t>Nhận xét, phát hiện qua kết quả nghiên cứu</w:t>
      </w:r>
    </w:p>
    <w:p>
      <w:r>
        <w:rPr>
          <w:rFonts w:ascii="Times New Roman" w:hAnsi="Times New Roman"/>
          <w:b w:val="0"/>
          <w:i w:val="0"/>
          <w:sz w:val="24"/>
        </w:rPr>
        <w:t>• Cha mẹ đơn thân: tỷ lệ lo âu 63,2% — gấp gần 3 lần nhóm sống với cả hai bố mẹ (22,3%). Đây là yếu tố nguy cơ gia đình mạnh, tương tự Pham et al. (2024) tại Việt Nam.</w:t>
      </w:r>
    </w:p>
    <w:p>
      <w:r>
        <w:rPr>
          <w:rFonts w:ascii="Times New Roman" w:hAnsi="Times New Roman"/>
          <w:b w:val="0"/>
          <w:i w:val="0"/>
          <w:sz w:val="24"/>
        </w:rPr>
        <w:t>• Chơi game: liên quan có ý nghĩa với cả lo âu (P=0,003) và trầm cảm (P&lt;0,001), tương tự Chen et al. (2023) tại Trung Quốc (OR=5,00 cho rối loạn chơi game).</w:t>
      </w:r>
    </w:p>
    <w:p>
      <w:r>
        <w:rPr>
          <w:rFonts w:ascii="Times New Roman" w:hAnsi="Times New Roman"/>
          <w:b w:val="0"/>
          <w:i w:val="0"/>
          <w:sz w:val="24"/>
        </w:rPr>
        <w:t>• Đông Bắc Ấn Độ: khu vực hầu như chưa được nghiên cứu về SKTT thanh thiếu niên — nghiên cứu tiên phong.</w:t>
      </w:r>
    </w:p>
    <w:p>
      <w:r>
        <w:rPr>
          <w:rFonts w:ascii="Times New Roman" w:hAnsi="Times New Roman"/>
          <w:b/>
          <w:color w:val="FF0000"/>
          <w:sz w:val="26"/>
        </w:rPr>
        <w:t>Kết luận</w:t>
      </w:r>
    </w:p>
    <w:p>
      <w:r>
        <w:rPr>
          <w:rFonts w:ascii="Times New Roman" w:hAnsi="Times New Roman"/>
          <w:b/>
          <w:i w:val="0"/>
          <w:sz w:val="24"/>
        </w:rPr>
        <w:t>Tỷ lệ đáng kể trầm cảm (22,2%), lo âu (24,4%) và căng thẳng (6,9%) ở thanh thiếu niên Đông Bắc Ấn Độ. Phát hiện nam &gt; nữ về lo âu (P=0,049) gợi ý yếu tố văn hóa bộ lạc đặc thù có thể đảo ngược xu hướng giới tính. Các yếu tố gia đình (đơn thân, rượu) và lối sống (game) cần được giải quyết trong can thiệp.</w:t>
      </w:r>
    </w:p>
    <w:p>
      <w:r>
        <w:rPr>
          <w:rFonts w:ascii="Times New Roman" w:hAnsi="Times New Roman"/>
          <w:b/>
          <w:color w:val="FF0000"/>
          <w:sz w:val="26"/>
        </w:rPr>
        <w:t>Phản biện</w:t>
      </w:r>
    </w:p>
    <w:p>
      <w:r>
        <w:rPr>
          <w:rFonts w:ascii="Times New Roman" w:hAnsi="Times New Roman"/>
          <w:b w:val="0"/>
          <w:color w:val="FF0000"/>
          <w:sz w:val="24"/>
        </w:rPr>
        <w:t>Chỉ dùng chi-square đơn biến — thiếu hồi quy đa biến. DASS-21 tiếng Assam thiếu Cronbach alpha. Thu thập 4/2019–6/2020 trùng COVID-19 không kiểm soát. P=0,049 rất sát ngưỡng — có thể thay đổi với cỡ mẫu lớn hơn. Tuy nhiên, lấy mẫu ngẫu nhiên 10/120 trường là điểm mạnh.</w:t>
      </w:r>
    </w:p>
    <w:p>
      <w:r>
        <w:rPr>
          <w:rFonts w:ascii="Times New Roman" w:hAnsi="Times New Roman"/>
          <w:b/>
          <w:color w:val="FF0000"/>
          <w:sz w:val="26"/>
        </w:rPr>
        <w:t>Hướng nghiên cứu tiếp theo</w:t>
      </w:r>
    </w:p>
    <w:p>
      <w:r>
        <w:rPr>
          <w:rFonts w:ascii="Times New Roman" w:hAnsi="Times New Roman"/>
          <w:b w:val="0"/>
          <w:color w:val="FF0000"/>
          <w:sz w:val="24"/>
        </w:rPr>
        <w:t>Mở rộng cỡ mẫu với hồi quy đa biến. Khảo sát sâu văn hóa bộ lạc giải thích nam &gt; nữ. Xác thực DASS-21 tiếng Assam. Can thiệp giảm game và hỗ trợ gia đình đơn thân.</w:t>
      </w:r>
    </w:p>
    <w:p>
      <w:r>
        <w:rPr>
          <w:rFonts w:ascii="Times New Roman" w:hAnsi="Times New Roman"/>
          <w:b/>
          <w:sz w:val="24"/>
        </w:rPr>
        <w:t>Đánh giá: ⭐⭐⭐ Trung bình. Tiên phong cho Đông Bắc Ấn Độ, lấy mẫu ngẫu nhiên tốt, nhưng thiếu đa biến và P sát ngưỡng.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