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Wen et al. 2020</w:t>
      </w:r>
    </w:p>
    <w:p>
      <w:r>
        <w:rPr>
          <w:rFonts w:ascii="Times New Roman" w:hAnsi="Times New Roman"/>
          <w:b/>
          <w:i w:val="0"/>
          <w:sz w:val="24"/>
        </w:rPr>
        <w:t>Phát hiện đặc biệt: Nữ lo âu nặng gấp gần 4 lần nam — áp lực học tập OR=11,6</w:t>
      </w:r>
    </w:p>
    <w:p>
      <w:r>
        <w:rPr>
          <w:rFonts w:ascii="Times New Roman" w:hAnsi="Times New Roman"/>
          <w:b/>
          <w:color w:val="FF0000"/>
          <w:sz w:val="26"/>
        </w:rPr>
        <w:t>Tên công trình, tác giả, năm, mẫu khảo sát, đối tượng, khách thể, địa bàn</w:t>
      </w:r>
    </w:p>
    <w:p>
      <w:r>
        <w:rPr>
          <w:rFonts w:ascii="Times New Roman" w:hAnsi="Times New Roman"/>
          <w:b w:val="0"/>
          <w:i w:val="0"/>
          <w:sz w:val="24"/>
        </w:rPr>
        <w:t>Công trình « Phân tích hồ sơ tiềm ẩn về lo âu ở học sinh trung học cơ sở tại các vùng nông thôn kém phát triển của Trung Quốc » (A Latent Profile Analysis of Anxiety among Junior High School Students in Less Developed Rural Regions of China), do Xiaotong Wen, Yixiang Lin, Yuchen Liu và cộng sự (2020), Đại học Nam Xương, tỉnh Giang Tây, khảo sát 900 học sinh lớp 9–12 (tuổi TB 14,14) tại 6 huyện nông thôn tỉnh Giang Tây, miền Đông Trung Quốc. Int J Environ Res Public Health, 17(11):4079. PMID: 32521646.</w:t>
      </w:r>
    </w:p>
    <w:p>
      <w:r>
        <w:rPr>
          <w:rFonts w:ascii="Times New Roman" w:hAnsi="Times New Roman"/>
          <w:b/>
          <w:color w:val="FF0000"/>
          <w:sz w:val="26"/>
        </w:rPr>
        <w:t>Phương pháp nghiên cứu</w:t>
      </w:r>
    </w:p>
    <w:p>
      <w:r>
        <w:rPr>
          <w:rFonts w:ascii="Times New Roman" w:hAnsi="Times New Roman"/>
          <w:b/>
          <w:i w:val="0"/>
          <w:sz w:val="24"/>
        </w:rPr>
        <w:t>Công trình sử dụng Trắc nghiệm Sức khỏe Tâm thần (MHT — Mental Health Test, 100 mục, 8 thang nội dung, Cronbach α = 0,878) — thang chẩn đoán lo âu tiêu chuẩn hóa cho THCS Trung Quốc. Nói cách khác, nghiên cứu sử dụng phân tích hồ sơ tiềm ẩn (LPA — Latent Profile Analysis) kết hợp hồi quy logistic đa biến — phương pháp tập trung vào cá nhân (person-centered).</w:t>
      </w:r>
    </w:p>
    <w:p>
      <w:r>
        <w:rPr>
          <w:rFonts w:ascii="Times New Roman" w:hAnsi="Times New Roman"/>
          <w:b w:val="0"/>
          <w:i w:val="0"/>
          <w:sz w:val="24"/>
        </w:rPr>
        <w:t>Lấy mẫu cụm ngẫu nhiên phân tầng nhiều giai đoạn: Ủy ban Y tế tỉnh chọn huyện → chọn xã → chọn trường → chọn lớp ngẫu nhiên. Phân tích bằng Mplus 7.4 (LPA) và SPSS 24.0 (hồi quy logistic).</w:t>
      </w:r>
    </w:p>
    <w:p>
      <w:r>
        <w:rPr>
          <w:rFonts w:ascii="Times New Roman" w:hAnsi="Times New Roman"/>
          <w:b/>
          <w:color w:val="FF0000"/>
          <w:sz w:val="26"/>
        </w:rPr>
        <w:t>Kết quả nghiên cứu định lượng</w:t>
      </w:r>
    </w:p>
    <w:p>
      <w:r>
        <w:rPr>
          <w:rFonts w:ascii="Times New Roman" w:hAnsi="Times New Roman"/>
          <w:b/>
          <w:i w:val="0"/>
          <w:sz w:val="24"/>
        </w:rPr>
        <w:t>LPA xác định 3 hồ sơ lo âu (N = 900):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i w:val="0"/>
          <w:sz w:val="24"/>
        </w:rPr>
        <w:t>Yếu tố liên quan (hồi quy logistic, nhóm tham chiếu: lo âu nhẹ):</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Lo âu TB (OR)</w:t>
            </w:r>
          </w:p>
        </w:tc>
        <w:tc>
          <w:tcPr>
            <w:tcW w:type="dxa" w:w="2351"/>
            <w:tcW w:w="1417" w:type="dxa"/>
            <w:shd w:fill="D9E2F3" w:val="clear"/>
          </w:tcPr>
          <w:p>
            <w:pPr>
              <w:jc w:val="center"/>
            </w:pPr>
            <w:r>
              <w:rPr>
                <w:rFonts w:ascii="Times New Roman" w:hAnsi="Times New Roman"/>
                <w:b/>
                <w:sz w:val="20"/>
              </w:rPr>
              <w:t>Lo âu nặng (OR)</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Áp lực học tập rất cao</w:t>
            </w:r>
          </w:p>
        </w:tc>
        <w:tc>
          <w:tcPr>
            <w:tcW w:type="dxa" w:w="2351"/>
            <w:tcW w:w="1417" w:type="dxa"/>
          </w:tcPr>
          <w:p>
            <w:r>
              <w:rPr>
                <w:rFonts w:ascii="Times New Roman" w:hAnsi="Times New Roman"/>
                <w:sz w:val="20"/>
              </w:rPr>
              <w:t>6,523*</w:t>
            </w:r>
          </w:p>
        </w:tc>
        <w:tc>
          <w:tcPr>
            <w:tcW w:type="dxa" w:w="2351"/>
            <w:tcW w:w="1417" w:type="dxa"/>
          </w:tcPr>
          <w:p>
            <w:r>
              <w:rPr>
                <w:rFonts w:ascii="Times New Roman" w:hAnsi="Times New Roman"/>
                <w:sz w:val="20"/>
              </w:rPr>
              <w:t>11,579*</w:t>
            </w:r>
          </w:p>
        </w:tc>
        <w:tc>
          <w:tcPr>
            <w:tcW w:type="dxa" w:w="2351"/>
            <w:tcW w:w="1984" w:type="dxa"/>
          </w:tcPr>
          <w:p>
            <w:r>
              <w:rPr>
                <w:rFonts w:ascii="Times New Roman" w:hAnsi="Times New Roman"/>
                <w:sz w:val="20"/>
              </w:rPr>
              <w:t>Yếu tố mạnh nhất</w:t>
            </w:r>
          </w:p>
        </w:tc>
      </w:tr>
      <w:tr>
        <w:tc>
          <w:tcPr>
            <w:tcW w:type="dxa" w:w="2351"/>
            <w:tcW w:w="2268" w:type="dxa"/>
          </w:tcPr>
          <w:p>
            <w:r>
              <w:rPr>
                <w:rFonts w:ascii="Times New Roman" w:hAnsi="Times New Roman"/>
                <w:sz w:val="20"/>
              </w:rPr>
              <w:t>Áp lực học tập cao</w:t>
            </w:r>
          </w:p>
        </w:tc>
        <w:tc>
          <w:tcPr>
            <w:tcW w:type="dxa" w:w="2351"/>
            <w:tcW w:w="1417" w:type="dxa"/>
          </w:tcPr>
          <w:p>
            <w:r>
              <w:rPr>
                <w:rFonts w:ascii="Times New Roman" w:hAnsi="Times New Roman"/>
                <w:sz w:val="20"/>
              </w:rPr>
              <w:t>6,122*</w:t>
            </w:r>
          </w:p>
        </w:tc>
        <w:tc>
          <w:tcPr>
            <w:tcW w:type="dxa" w:w="2351"/>
            <w:tcW w:w="1417" w:type="dxa"/>
          </w:tcPr>
          <w:p>
            <w:r>
              <w:rPr>
                <w:rFonts w:ascii="Times New Roman" w:hAnsi="Times New Roman"/>
                <w:sz w:val="20"/>
              </w:rPr>
              <w:t>5,894*</w:t>
            </w:r>
          </w:p>
        </w:tc>
        <w:tc>
          <w:tcPr>
            <w:tcW w:type="dxa" w:w="2351"/>
            <w:tcW w:w="1984" w:type="dxa"/>
          </w:tcPr>
          <w:p>
            <w:r>
              <w:rPr>
                <w:rFonts w:ascii="Times New Roman" w:hAnsi="Times New Roman"/>
                <w:sz w:val="20"/>
              </w:rPr>
              <w:t>—</w:t>
            </w:r>
          </w:p>
        </w:tc>
      </w:tr>
      <w:tr>
        <w:tc>
          <w:tcPr>
            <w:tcW w:type="dxa" w:w="2351"/>
            <w:tcW w:w="2268" w:type="dxa"/>
          </w:tcPr>
          <w:p>
            <w:r>
              <w:rPr>
                <w:rFonts w:ascii="Times New Roman" w:hAnsi="Times New Roman"/>
                <w:sz w:val="20"/>
              </w:rPr>
              <w:t>Giới tính nam (vs nữ)</w:t>
            </w:r>
          </w:p>
        </w:tc>
        <w:tc>
          <w:tcPr>
            <w:tcW w:type="dxa" w:w="2351"/>
            <w:tcW w:w="1417" w:type="dxa"/>
          </w:tcPr>
          <w:p>
            <w:r>
              <w:rPr>
                <w:rFonts w:ascii="Times New Roman" w:hAnsi="Times New Roman"/>
                <w:sz w:val="20"/>
              </w:rPr>
              <w:t>0,649*</w:t>
            </w:r>
          </w:p>
        </w:tc>
        <w:tc>
          <w:tcPr>
            <w:tcW w:type="dxa" w:w="2351"/>
            <w:tcW w:w="1417" w:type="dxa"/>
          </w:tcPr>
          <w:p>
            <w:r>
              <w:rPr>
                <w:rFonts w:ascii="Times New Roman" w:hAnsi="Times New Roman"/>
                <w:sz w:val="20"/>
              </w:rPr>
              <w:t>0,262*</w:t>
            </w:r>
          </w:p>
        </w:tc>
        <w:tc>
          <w:tcPr>
            <w:tcW w:type="dxa" w:w="2351"/>
            <w:tcW w:w="1984" w:type="dxa"/>
          </w:tcPr>
          <w:p>
            <w:r>
              <w:rPr>
                <w:rFonts w:ascii="Times New Roman" w:hAnsi="Times New Roman"/>
                <w:sz w:val="20"/>
              </w:rPr>
              <w:t>Nam = bảo vệ → NỮ &gt; NAM</w:t>
            </w:r>
          </w:p>
        </w:tc>
      </w:tr>
      <w:tr>
        <w:tc>
          <w:tcPr>
            <w:tcW w:type="dxa" w:w="2351"/>
            <w:tcW w:w="2268" w:type="dxa"/>
          </w:tcPr>
          <w:p>
            <w:r>
              <w:rPr>
                <w:rFonts w:ascii="Times New Roman" w:hAnsi="Times New Roman"/>
                <w:sz w:val="20"/>
              </w:rPr>
              <w:t>SKTT trường đầy đủ</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0,562*</w:t>
            </w:r>
          </w:p>
        </w:tc>
        <w:tc>
          <w:tcPr>
            <w:tcW w:type="dxa" w:w="2351"/>
            <w:tcW w:w="1984" w:type="dxa"/>
          </w:tcPr>
          <w:p>
            <w:r>
              <w:rPr>
                <w:rFonts w:ascii="Times New Roman" w:hAnsi="Times New Roman"/>
                <w:sz w:val="20"/>
              </w:rPr>
              <w:t>Yếu tố bảo vệ</w:t>
            </w:r>
          </w:p>
        </w:tc>
      </w:tr>
      <w:tr>
        <w:tc>
          <w:tcPr>
            <w:tcW w:type="dxa" w:w="2351"/>
            <w:tcW w:w="2268" w:type="dxa"/>
          </w:tcPr>
          <w:p>
            <w:r>
              <w:rPr>
                <w:rFonts w:ascii="Times New Roman" w:hAnsi="Times New Roman"/>
                <w:sz w:val="20"/>
              </w:rPr>
              <w:t>Thành tích xuất sắc (vs không đạt)</w:t>
            </w:r>
          </w:p>
        </w:tc>
        <w:tc>
          <w:tcPr>
            <w:tcW w:type="dxa" w:w="2351"/>
            <w:tcW w:w="1417" w:type="dxa"/>
          </w:tcPr>
          <w:p>
            <w:r>
              <w:rPr>
                <w:rFonts w:ascii="Times New Roman" w:hAnsi="Times New Roman"/>
                <w:sz w:val="20"/>
              </w:rPr>
              <w:t>0,377*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Yếu tố bảo vệ</w:t>
            </w:r>
          </w:p>
        </w:tc>
      </w:tr>
    </w:tbl>
    <w:p>
      <w:r>
        <w:rPr>
          <w:rFonts w:ascii="Times New Roman" w:hAnsi="Times New Roman"/>
          <w:b w:val="0"/>
          <w:i/>
          <w:sz w:val="20"/>
        </w:rPr>
        <w:t>* P &lt; 0,05</w:t>
      </w:r>
    </w:p>
    <w:p/>
    <w:p>
      <w:pPr>
        <w:pStyle w:val="Heading3"/>
      </w:pPr>
      <w:r>
        <w:rPr>
          <w:rFonts w:ascii="Times New Roman" w:hAnsi="Times New Roman"/>
          <w:color w:val="0070C0"/>
        </w:rPr>
        <w:t>Khác biệt giới tính — NỮ &gt; NAM (phù hợp y văn)</w:t>
      </w:r>
    </w:p>
    <w:p>
      <w:r>
        <w:rPr>
          <w:rFonts w:ascii="Times New Roman" w:hAnsi="Times New Roman"/>
          <w:b w:val="0"/>
          <w:i w:val="0"/>
          <w:sz w:val="24"/>
        </w:rPr>
        <w:t>OR nam = 0,262 cho lo âu nặng → nữ có nguy cơ lo âu nặng gấp gần 4 lần nam. Nữ chiếm 63,23% nhóm lo âu nặng so với nam 36,77% (χ² = 31,337, P &lt; 0,001). Phát hiện này PHÙ HỢP với y văn quốc tế — nữ lo âu hơn nam.</w:t>
      </w:r>
    </w:p>
    <w:p>
      <w:r>
        <w:rPr>
          <w:rFonts w:ascii="Times New Roman" w:hAnsi="Times New Roman"/>
          <w:b/>
          <w:i w:val="0"/>
          <w:sz w:val="24"/>
        </w:rPr>
        <w:t>⚠️ LƯU Ý: Bài này ban đầu bị nhầm là "nam &gt; nữ". Sau khi so khớp với PDF gốc, xác nhận NỮ &gt; NAM. OR = 0,262 cho nam nghĩa là nam có nguy cơ CHỈ BẰNG 26,2% so với nữ.</w:t>
      </w:r>
    </w:p>
    <w:p>
      <w:r>
        <w:rPr>
          <w:rFonts w:ascii="Times New Roman" w:hAnsi="Times New Roman"/>
          <w:b/>
          <w:color w:val="FF0000"/>
          <w:sz w:val="26"/>
        </w:rPr>
        <w:t>Nhận xét, phát hiện qua kết quả nghiên cứu</w:t>
      </w:r>
    </w:p>
    <w:p>
      <w:r>
        <w:rPr>
          <w:rFonts w:ascii="Times New Roman" w:hAnsi="Times New Roman"/>
          <w:b w:val="0"/>
          <w:i w:val="0"/>
          <w:sz w:val="24"/>
        </w:rPr>
        <w:t>• Áp lực học tập — yếu tố nguy cơ mạnh nhất: OR = 11,579 cho lo âu nặng khi áp lực "rất cao". Đây là OR lớn nhất trong tất cả 11 bài NC, phản ánh đặc thù hệ thống giáo dục Trung Quốc tập trung vào thi cử.</w:t>
      </w:r>
    </w:p>
    <w:p>
      <w:r>
        <w:rPr>
          <w:rFonts w:ascii="Times New Roman" w:hAnsi="Times New Roman"/>
          <w:b w:val="0"/>
          <w:i w:val="0"/>
          <w:sz w:val="24"/>
        </w:rPr>
        <w:t>• Hỗ trợ SKTT tại trường — yếu tố bảo vệ: OR = 0,562, gợi ý thiết lập phòng tư vấn tâm lý chuyên nghiệp tại trường giảm lo âu nặng.</w:t>
      </w:r>
    </w:p>
    <w:p>
      <w:r>
        <w:rPr>
          <w:rFonts w:ascii="Times New Roman" w:hAnsi="Times New Roman"/>
          <w:b w:val="0"/>
          <w:i w:val="0"/>
          <w:sz w:val="24"/>
        </w:rPr>
        <w:t>• Phương pháp LPA độc đáo: xác định 3 hồ sơ khách quan bằng tiêu chuẩn thống kê (BIC, entropy = 0,816, BLRT P &lt; 0,001) — ít NC nào sử dụng phương pháp này.</w:t>
      </w:r>
    </w:p>
    <w:p>
      <w:r>
        <w:rPr>
          <w:rFonts w:ascii="Times New Roman" w:hAnsi="Times New Roman"/>
          <w:b/>
          <w:color w:val="FF0000"/>
          <w:sz w:val="26"/>
        </w:rPr>
        <w:t>Kết luận</w:t>
      </w:r>
    </w:p>
    <w:p>
      <w:r>
        <w:rPr>
          <w:rFonts w:ascii="Times New Roman" w:hAnsi="Times New Roman"/>
          <w:b/>
          <w:i w:val="0"/>
          <w:sz w:val="24"/>
        </w:rPr>
        <w:t>24,8% học sinh THCS nông thôn Trung Quốc có lo âu nặng. Áp lực học tập là yếu tố nguy cơ mạnh nhất (OR = 11,6). Nữ lo âu nặng gấp gần 4 lần nam (OR nam = 0,262). Hỗ trợ SKTT tại trường giảm nguy cơ (OR = 0,562). Giảm áp lực học tập và thiết lập phòng tư vấn tâm lý chuyên nghiệp là hai khuyến nghị chính.</w:t>
      </w:r>
    </w:p>
    <w:p>
      <w:r>
        <w:rPr>
          <w:rFonts w:ascii="Times New Roman" w:hAnsi="Times New Roman"/>
          <w:b/>
          <w:color w:val="FF0000"/>
          <w:sz w:val="26"/>
        </w:rPr>
        <w:t>Phản biện</w:t>
      </w:r>
    </w:p>
    <w:p>
      <w:r>
        <w:rPr>
          <w:rFonts w:ascii="Times New Roman" w:hAnsi="Times New Roman"/>
          <w:b w:val="0"/>
          <w:color w:val="FF0000"/>
          <w:sz w:val="24"/>
        </w:rPr>
        <w:t>LPA độc đáo nhưng cỡ mẫu 900 khiêm tốn, chỉ nông thôn 1 tỉnh. MHT là thang đặc thù Trung Quốc — khó so sánh quốc tế (không dùng GAD-7/DASS-21). Tạp chí IJERPH bị loại khỏi SCIE năm 2023. Thiết kế cắt ngang — không suy luận nhân quả.</w:t>
      </w:r>
    </w:p>
    <w:p>
      <w:r>
        <w:rPr>
          <w:rFonts w:ascii="Times New Roman" w:hAnsi="Times New Roman"/>
          <w:b/>
          <w:color w:val="FF0000"/>
          <w:sz w:val="26"/>
        </w:rPr>
        <w:t>Hướng nghiên cứu tiếp theo</w:t>
      </w:r>
    </w:p>
    <w:p>
      <w:r>
        <w:rPr>
          <w:rFonts w:ascii="Times New Roman" w:hAnsi="Times New Roman"/>
          <w:b w:val="0"/>
          <w:color w:val="FF0000"/>
          <w:sz w:val="24"/>
        </w:rPr>
        <w:t>Nghiên cứu dọc THCS → THPT. So sánh nông thôn–thành thị cùng tỉnh. Can thiệp giảm áp lực học tập. Sử dụng GAD-7 song song MHT để so sánh quốc tế.</w:t>
      </w:r>
    </w:p>
    <w:p>
      <w:r>
        <w:rPr>
          <w:rFonts w:ascii="Times New Roman" w:hAnsi="Times New Roman"/>
          <w:b/>
          <w:sz w:val="24"/>
        </w:rPr>
        <w:t>Đánh giá: ⭐⭐⭐ Trung bình-Khá. LPA độc đáo, áp lực học tập OR=11,6 là dữ liệu mạnh, nhưng cỡ mẫu nhỏ và tạp chí bị loại SCIE.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