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32"/>
        </w:rPr>
        <w:t>KHẢO SÁT SỨC KHOẺ TÂM THẦN VỊ THÀNH NIÊN VIỆT NAM</w:t>
      </w:r>
    </w:p>
    <w:p>
      <w:pPr>
        <w:jc w:val="center"/>
      </w:pPr>
      <w:r>
        <w:rPr>
          <w:rFonts w:ascii="Times New Roman" w:hAnsi="Times New Roman"/>
          <w:b/>
          <w:color w:val="1F3A68"/>
          <w:sz w:val="32"/>
        </w:rPr>
        <w:t>(V-NAMHS)</w:t>
      </w:r>
    </w:p>
    <w:p>
      <w:pPr>
        <w:jc w:val="center"/>
      </w:pPr>
      <w:r>
        <w:rPr>
          <w:rFonts w:ascii="Times New Roman" w:hAnsi="Times New Roman"/>
          <w:b/>
          <w:sz w:val="28"/>
        </w:rPr>
        <w:t>BÁO CÁO VỀ CÁC PHÁT HIỆN CHÍNH</w:t>
      </w:r>
    </w:p>
    <w:p>
      <w:pPr>
        <w:jc w:val="center"/>
      </w:pPr>
      <w:r>
        <w:rPr>
          <w:rFonts w:ascii="Times New Roman" w:hAnsi="Times New Roman"/>
          <w:i/>
          <w:sz w:val="24"/>
        </w:rPr>
        <w:t>Viet Nam Adolescent Mental Health Survey — Report on Main Findings</w:t>
      </w:r>
    </w:p>
    <w:p>
      <w:r>
        <w:rPr>
          <w:rFonts w:ascii="Times New Roman" w:hAnsi="Times New Roman"/>
        </w:rPr>
      </w:r>
    </w:p>
    <w:p>
      <w:pPr>
        <w:jc w:val="center"/>
      </w:pPr>
      <w:r>
        <w:rPr>
          <w:rFonts w:ascii="Times New Roman" w:hAnsi="Times New Roman"/>
          <w:b/>
          <w:sz w:val="24"/>
        </w:rPr>
        <w:t>THÁNG 11 NĂM 2022 | NOVEMBER 2022</w:t>
      </w:r>
    </w:p>
    <w:p>
      <w:r>
        <w:rPr>
          <w:rFonts w:ascii="Times New Roman" w:hAnsi="Times New Roman"/>
        </w:rPr>
      </w:r>
    </w:p>
    <w:p>
      <w:pPr>
        <w:jc w:val="center"/>
      </w:pPr>
      <w:r>
        <w:rPr>
          <w:rFonts w:ascii="Times New Roman" w:hAnsi="Times New Roman"/>
          <w:i/>
          <w:color w:val="808080"/>
          <w:sz w:val="20"/>
        </w:rPr>
        <w:t>Canonical ID: VN002 | Mã dự án Lo âu: VN002_VNAMHS_2022_National</w:t>
      </w:r>
    </w:p>
    <w:p>
      <w:r>
        <w:rPr>
          <w:rFonts w:ascii="Times New Roman" w:hAnsi="Times New Roman"/>
        </w:rPr>
      </w:r>
    </w:p>
    <w:p>
      <w:pPr>
        <w:jc w:val="center"/>
      </w:pPr>
      <w:r>
        <w:drawing>
          <wp:inline xmlns:a="http://schemas.openxmlformats.org/drawingml/2006/main" xmlns:pic="http://schemas.openxmlformats.org/drawingml/2006/picture">
            <wp:extent cx="4320000" cy="2499811"/>
            <wp:docPr id="1" name="Picture 1"/>
            <wp:cNvGraphicFramePr>
              <a:graphicFrameLocks noChangeAspect="1"/>
            </wp:cNvGraphicFramePr>
            <a:graphic>
              <a:graphicData uri="http://schemas.openxmlformats.org/drawingml/2006/picture">
                <pic:pic>
                  <pic:nvPicPr>
                    <pic:cNvPr id="0" name="p001_img4_Image27.jpg"/>
                    <pic:cNvPicPr/>
                  </pic:nvPicPr>
                  <pic:blipFill>
                    <a:blip r:embed="rId9"/>
                    <a:stretch>
                      <a:fillRect/>
                    </a:stretch>
                  </pic:blipFill>
                  <pic:spPr>
                    <a:xfrm>
                      <a:off x="0" y="0"/>
                      <a:ext cx="4320000" cy="2499811"/>
                    </a:xfrm>
                    <a:prstGeom prst="rect"/>
                  </pic:spPr>
                </pic:pic>
              </a:graphicData>
            </a:graphic>
          </wp:inline>
        </w:drawing>
      </w:r>
    </w:p>
    <w:p>
      <w:pPr>
        <w:jc w:val="center"/>
      </w:pPr>
      <w:r>
        <w:rPr>
          <w:rFonts w:ascii="Times New Roman" w:hAnsi="Times New Roman"/>
          <w:i/>
          <w:color w:val="666666"/>
          <w:sz w:val="18"/>
        </w:rPr>
        <w:t>Ảnh bìa — Báo cáo V-NAMHS 2022</w:t>
        <w:br/>
        <w:t>(Cover image — V-NAMHS 2022 Report)</w:t>
      </w:r>
    </w:p>
    <w:p>
      <w:r>
        <w:rPr>
          <w:rFonts w:ascii="Times New Roman" w:hAnsi="Times New Roman"/>
        </w:rPr>
      </w:r>
    </w:p>
    <w:p>
      <w:pPr>
        <w:jc w:val="center"/>
      </w:pPr>
      <w:r>
        <w:rPr>
          <w:rFonts w:ascii="Times New Roman" w:hAnsi="Times New Roman"/>
          <w:i/>
          <w:sz w:val="20"/>
        </w:rPr>
        <w:t>Trích dẫn đề xuất (Suggested Citation): Institute of Sociology, University of Queensland, and Johns Hopkins Bloomberg School of Public Health. 2022. Viet Nam Adolescent Mental Health Survey: Report on Main Findings. Hanoi, Viet Nam: Institute of Sociology.</w:t>
      </w:r>
    </w:p>
    <w:p>
      <w:r>
        <w:rPr>
          <w:rFonts w:ascii="Times New Roman" w:hAnsi="Times New Roman"/>
        </w:rPr>
      </w:r>
    </w:p>
    <w:p>
      <w:r>
        <w:rPr>
          <w:rFonts w:ascii="Times New Roman" w:hAnsi="Times New Roman"/>
          <w:b/>
          <w:color w:val="1F3A68"/>
          <w:sz w:val="28"/>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E7E6E6"/>
          </w:tcPr>
          <w:p>
            <w:r/>
            <w:r>
              <w:rPr>
                <w:rFonts w:ascii="Times New Roman" w:hAnsi="Times New Roman"/>
                <w:b/>
                <w:sz w:val="20"/>
              </w:rPr>
              <w:t>Tiêu đề tiếng Việt</w:t>
            </w:r>
          </w:p>
        </w:tc>
        <w:tc>
          <w:tcPr>
            <w:tcW w:type="dxa" w:w="4320"/>
          </w:tcPr>
          <w:p>
            <w:r/>
            <w:r>
              <w:rPr>
                <w:rFonts w:ascii="Times New Roman" w:hAnsi="Times New Roman"/>
                <w:sz w:val="20"/>
              </w:rPr>
              <w:t>Khảo sát Sức khoẻ Tâm thần Vị thành niên Việt Nam — Báo cáo về các Phát hiện chính</w:t>
            </w:r>
          </w:p>
        </w:tc>
      </w:tr>
      <w:tr>
        <w:tc>
          <w:tcPr>
            <w:tcW w:type="dxa" w:w="4320"/>
            <w:shd w:fill="E7E6E6"/>
          </w:tcPr>
          <w:p>
            <w:r/>
            <w:r>
              <w:rPr>
                <w:rFonts w:ascii="Times New Roman" w:hAnsi="Times New Roman"/>
                <w:b/>
                <w:sz w:val="20"/>
              </w:rPr>
              <w:t>Tiêu đề tiếng Anh</w:t>
            </w:r>
          </w:p>
        </w:tc>
        <w:tc>
          <w:tcPr>
            <w:tcW w:type="dxa" w:w="4320"/>
          </w:tcPr>
          <w:p>
            <w:r/>
            <w:r>
              <w:rPr>
                <w:rFonts w:ascii="Times New Roman" w:hAnsi="Times New Roman"/>
                <w:sz w:val="20"/>
              </w:rPr>
              <w:t>Viet Nam Adolescent Mental Health Survey (V-NAMHS) — Report on Main Findings</w:t>
            </w:r>
          </w:p>
        </w:tc>
      </w:tr>
      <w:tr>
        <w:tc>
          <w:tcPr>
            <w:tcW w:type="dxa" w:w="4320"/>
            <w:shd w:fill="E7E6E6"/>
          </w:tcPr>
          <w:p>
            <w:r/>
            <w:r>
              <w:rPr>
                <w:rFonts w:ascii="Times New Roman" w:hAnsi="Times New Roman"/>
                <w:b/>
                <w:sz w:val="20"/>
              </w:rPr>
              <w:t>Năm công bố</w:t>
            </w:r>
          </w:p>
        </w:tc>
        <w:tc>
          <w:tcPr>
            <w:tcW w:type="dxa" w:w="4320"/>
          </w:tcPr>
          <w:p>
            <w:r/>
            <w:r>
              <w:rPr>
                <w:rFonts w:ascii="Times New Roman" w:hAnsi="Times New Roman"/>
                <w:sz w:val="20"/>
              </w:rPr>
              <w:t>2022 (tháng 11)</w:t>
            </w:r>
          </w:p>
        </w:tc>
      </w:tr>
      <w:tr>
        <w:tc>
          <w:tcPr>
            <w:tcW w:type="dxa" w:w="4320"/>
            <w:shd w:fill="E7E6E6"/>
          </w:tcPr>
          <w:p>
            <w:r/>
            <w:r>
              <w:rPr>
                <w:rFonts w:ascii="Times New Roman" w:hAnsi="Times New Roman"/>
                <w:b/>
                <w:sz w:val="20"/>
              </w:rPr>
              <w:t>Tác giả chính</w:t>
            </w:r>
          </w:p>
        </w:tc>
        <w:tc>
          <w:tcPr>
            <w:tcW w:type="dxa" w:w="4320"/>
          </w:tcPr>
          <w:p>
            <w:r/>
            <w:r>
              <w:rPr>
                <w:rFonts w:ascii="Times New Roman" w:hAnsi="Times New Roman"/>
                <w:sz w:val="20"/>
              </w:rPr>
              <w:t>Vũ Mạnh Lợi, Nguyễn Đức Vinh (Viện Xã hội học); Đào Thị Khánh Hoa (Hội Xã hội học VN); Holly E. Erskine, Cartiah McGrath, Krystina Wallis, Sarah J. Blondell, Harvey A. Whiteford, James G. Scott (Đại học Queensland); Robert Blum, Shoshanna Fine, Mengmeng Li, Astha Ramaiya (Johns Hopkins BSPH)</w:t>
            </w:r>
          </w:p>
        </w:tc>
      </w:tr>
      <w:tr>
        <w:tc>
          <w:tcPr>
            <w:tcW w:type="dxa" w:w="4320"/>
            <w:shd w:fill="E7E6E6"/>
          </w:tcPr>
          <w:p>
            <w:r/>
            <w:r>
              <w:rPr>
                <w:rFonts w:ascii="Times New Roman" w:hAnsi="Times New Roman"/>
                <w:b/>
                <w:sz w:val="20"/>
              </w:rPr>
              <w:t>Cơ quan xuất bản</w:t>
            </w:r>
          </w:p>
        </w:tc>
        <w:tc>
          <w:tcPr>
            <w:tcW w:type="dxa" w:w="4320"/>
          </w:tcPr>
          <w:p>
            <w:r/>
            <w:r>
              <w:rPr>
                <w:rFonts w:ascii="Times New Roman" w:hAnsi="Times New Roman"/>
                <w:sz w:val="20"/>
              </w:rPr>
              <w:t>Viện Xã hội học (IOS) thuộc Viện Hàn lâm KHXH Việt Nam (VASS), phối hợp với The University of Queensland (UQ) và Johns Hopkins Bloomberg School of Public Health (JHSPH)</w:t>
            </w:r>
          </w:p>
        </w:tc>
      </w:tr>
      <w:tr>
        <w:tc>
          <w:tcPr>
            <w:tcW w:type="dxa" w:w="4320"/>
            <w:shd w:fill="E7E6E6"/>
          </w:tcPr>
          <w:p>
            <w:r/>
            <w:r>
              <w:rPr>
                <w:rFonts w:ascii="Times New Roman" w:hAnsi="Times New Roman"/>
                <w:b/>
                <w:sz w:val="20"/>
              </w:rPr>
              <w:t>Loại tài liệu</w:t>
            </w:r>
          </w:p>
        </w:tc>
        <w:tc>
          <w:tcPr>
            <w:tcW w:type="dxa" w:w="4320"/>
          </w:tcPr>
          <w:p>
            <w:r/>
            <w:r>
              <w:rPr>
                <w:rFonts w:ascii="Times New Roman" w:hAnsi="Times New Roman"/>
                <w:sz w:val="20"/>
              </w:rPr>
              <w:t>Báo cáo điều tra dân số — quốc gia (nationally representative household survey)</w:t>
            </w:r>
          </w:p>
        </w:tc>
      </w:tr>
      <w:tr>
        <w:tc>
          <w:tcPr>
            <w:tcW w:type="dxa" w:w="4320"/>
            <w:shd w:fill="E7E6E6"/>
          </w:tcPr>
          <w:p>
            <w:r/>
            <w:r>
              <w:rPr>
                <w:rFonts w:ascii="Times New Roman" w:hAnsi="Times New Roman"/>
                <w:b/>
                <w:sz w:val="20"/>
              </w:rPr>
              <w:t>Ngôn ngữ gốc</w:t>
            </w:r>
          </w:p>
        </w:tc>
        <w:tc>
          <w:tcPr>
            <w:tcW w:type="dxa" w:w="4320"/>
          </w:tcPr>
          <w:p>
            <w:r/>
            <w:r>
              <w:rPr>
                <w:rFonts w:ascii="Times New Roman" w:hAnsi="Times New Roman"/>
                <w:sz w:val="20"/>
              </w:rPr>
              <w:t>Tiếng Anh</w:t>
            </w:r>
          </w:p>
        </w:tc>
      </w:tr>
      <w:tr>
        <w:tc>
          <w:tcPr>
            <w:tcW w:type="dxa" w:w="4320"/>
            <w:shd w:fill="E7E6E6"/>
          </w:tcPr>
          <w:p>
            <w:r/>
            <w:r>
              <w:rPr>
                <w:rFonts w:ascii="Times New Roman" w:hAnsi="Times New Roman"/>
                <w:b/>
                <w:sz w:val="20"/>
              </w:rPr>
              <w:t>Số trang bản gốc</w:t>
            </w:r>
          </w:p>
        </w:tc>
        <w:tc>
          <w:tcPr>
            <w:tcW w:type="dxa" w:w="4320"/>
          </w:tcPr>
          <w:p>
            <w:r/>
            <w:r>
              <w:rPr>
                <w:rFonts w:ascii="Times New Roman" w:hAnsi="Times New Roman"/>
                <w:sz w:val="20"/>
              </w:rPr>
              <w:t>51 trang (~132.000 ký tự EN)</w:t>
            </w:r>
          </w:p>
        </w:tc>
      </w:tr>
      <w:tr>
        <w:tc>
          <w:tcPr>
            <w:tcW w:type="dxa" w:w="4320"/>
            <w:shd w:fill="E7E6E6"/>
          </w:tcPr>
          <w:p>
            <w:r/>
            <w:r>
              <w:rPr>
                <w:rFonts w:ascii="Times New Roman" w:hAnsi="Times New Roman"/>
                <w:b/>
                <w:sz w:val="20"/>
              </w:rPr>
              <w:t>Địa bàn khảo sát</w:t>
            </w:r>
          </w:p>
        </w:tc>
        <w:tc>
          <w:tcPr>
            <w:tcW w:type="dxa" w:w="4320"/>
          </w:tcPr>
          <w:p>
            <w:r/>
            <w:r>
              <w:rPr>
                <w:rFonts w:ascii="Times New Roman" w:hAnsi="Times New Roman"/>
                <w:sz w:val="20"/>
              </w:rPr>
              <w:t>38 tỉnh/thành phố thuộc 4 vùng địa lý, bao phủ cả đô thị và nông thôn; đại diện quốc gia VTN 10–17 tuổi</w:t>
            </w:r>
          </w:p>
        </w:tc>
      </w:tr>
      <w:tr>
        <w:tc>
          <w:tcPr>
            <w:tcW w:type="dxa" w:w="4320"/>
            <w:shd w:fill="E7E6E6"/>
          </w:tcPr>
          <w:p>
            <w:r/>
            <w:r>
              <w:rPr>
                <w:rFonts w:ascii="Times New Roman" w:hAnsi="Times New Roman"/>
                <w:b/>
                <w:sz w:val="20"/>
              </w:rPr>
              <w:t>Cỡ mẫu</w:t>
            </w:r>
          </w:p>
        </w:tc>
        <w:tc>
          <w:tcPr>
            <w:tcW w:type="dxa" w:w="4320"/>
          </w:tcPr>
          <w:p>
            <w:r/>
            <w:r>
              <w:rPr>
                <w:rFonts w:ascii="Times New Roman" w:hAnsi="Times New Roman"/>
                <w:sz w:val="20"/>
              </w:rPr>
              <w:t>5.996 cặp phụ huynh–vị thành niên (81,1 % tỷ lệ trả lời từ 6.048 hộ đủ tiêu chuẩn)</w:t>
            </w:r>
          </w:p>
        </w:tc>
      </w:tr>
      <w:tr>
        <w:tc>
          <w:tcPr>
            <w:tcW w:type="dxa" w:w="4320"/>
            <w:shd w:fill="E7E6E6"/>
          </w:tcPr>
          <w:p>
            <w:r/>
            <w:r>
              <w:rPr>
                <w:rFonts w:ascii="Times New Roman" w:hAnsi="Times New Roman"/>
                <w:b/>
                <w:sz w:val="20"/>
              </w:rPr>
              <w:t>Thời gian thực địa</w:t>
            </w:r>
          </w:p>
        </w:tc>
        <w:tc>
          <w:tcPr>
            <w:tcW w:type="dxa" w:w="4320"/>
          </w:tcPr>
          <w:p>
            <w:r/>
            <w:r>
              <w:rPr>
                <w:rFonts w:ascii="Times New Roman" w:hAnsi="Times New Roman"/>
                <w:sz w:val="20"/>
              </w:rPr>
              <w:t>21/9/2021 đến 16/12/2021, bắt đầu miền Bắc xuống miền Nam</w:t>
            </w:r>
          </w:p>
        </w:tc>
      </w:tr>
      <w:tr>
        <w:tc>
          <w:tcPr>
            <w:tcW w:type="dxa" w:w="4320"/>
            <w:shd w:fill="E7E6E6"/>
          </w:tcPr>
          <w:p>
            <w:r/>
            <w:r>
              <w:rPr>
                <w:rFonts w:ascii="Times New Roman" w:hAnsi="Times New Roman"/>
                <w:b/>
                <w:sz w:val="20"/>
              </w:rPr>
              <w:t>Công cụ đo chính</w:t>
            </w:r>
          </w:p>
        </w:tc>
        <w:tc>
          <w:tcPr>
            <w:tcW w:type="dxa" w:w="4320"/>
          </w:tcPr>
          <w:p>
            <w:r/>
            <w:r>
              <w:rPr>
                <w:rFonts w:ascii="Times New Roman" w:hAnsi="Times New Roman"/>
                <w:sz w:val="20"/>
              </w:rPr>
              <w:t>DISC-5 (Diagnostic Interview Schedule for Children, Version 5) — chẩn đoán theo DSM-5</w:t>
            </w:r>
          </w:p>
        </w:tc>
      </w:tr>
      <w:tr>
        <w:tc>
          <w:tcPr>
            <w:tcW w:type="dxa" w:w="4320"/>
            <w:shd w:fill="E7E6E6"/>
          </w:tcPr>
          <w:p>
            <w:r/>
            <w:r>
              <w:rPr>
                <w:rFonts w:ascii="Times New Roman" w:hAnsi="Times New Roman"/>
                <w:b/>
                <w:sz w:val="20"/>
              </w:rPr>
              <w:t>Rối loạn đo lường</w:t>
            </w:r>
          </w:p>
        </w:tc>
        <w:tc>
          <w:tcPr>
            <w:tcW w:type="dxa" w:w="4320"/>
          </w:tcPr>
          <w:p>
            <w:r/>
            <w:r>
              <w:rPr>
                <w:rFonts w:ascii="Times New Roman" w:hAnsi="Times New Roman"/>
                <w:sz w:val="20"/>
              </w:rPr>
              <w:t>6 loại: ám ảnh xã hội, rối loạn lo âu tổng quát, rối loạn trầm cảm nặng, PTSD, rối loạn hành vi, ADHD</w:t>
            </w:r>
          </w:p>
        </w:tc>
      </w:tr>
      <w:tr>
        <w:tc>
          <w:tcPr>
            <w:tcW w:type="dxa" w:w="4320"/>
            <w:shd w:fill="E7E6E6"/>
          </w:tcPr>
          <w:p>
            <w:r/>
            <w:r>
              <w:rPr>
                <w:rFonts w:ascii="Times New Roman" w:hAnsi="Times New Roman"/>
                <w:b/>
                <w:sz w:val="20"/>
              </w:rPr>
              <w:t>Khung hợp tác quốc tế</w:t>
            </w:r>
          </w:p>
        </w:tc>
        <w:tc>
          <w:tcPr>
            <w:tcW w:type="dxa" w:w="4320"/>
          </w:tcPr>
          <w:p>
            <w:r/>
            <w:r>
              <w:rPr>
                <w:rFonts w:ascii="Times New Roman" w:hAnsi="Times New Roman"/>
                <w:sz w:val="20"/>
              </w:rPr>
              <w:t>NAMHS — cùng Indonesia (I-NAMHS) và Kenya (K-NAMHS)</w:t>
            </w:r>
          </w:p>
        </w:tc>
      </w:tr>
      <w:tr>
        <w:tc>
          <w:tcPr>
            <w:tcW w:type="dxa" w:w="4320"/>
            <w:shd w:fill="E7E6E6"/>
          </w:tcPr>
          <w:p>
            <w:r/>
            <w:r>
              <w:rPr>
                <w:rFonts w:ascii="Times New Roman" w:hAnsi="Times New Roman"/>
                <w:b/>
                <w:sz w:val="20"/>
              </w:rPr>
              <w:t>Ngày dịch/cập nhật</w:t>
            </w:r>
          </w:p>
        </w:tc>
        <w:tc>
          <w:tcPr>
            <w:tcW w:type="dxa" w:w="4320"/>
          </w:tcPr>
          <w:p>
            <w:r/>
            <w:r>
              <w:rPr>
                <w:rFonts w:ascii="Times New Roman" w:hAnsi="Times New Roman"/>
                <w:sz w:val="20"/>
              </w:rPr>
              <w:t>14/04/2026 — rebuild Jenkins template từ bản v1 (06/04/2026)</w:t>
            </w:r>
          </w:p>
        </w:tc>
      </w:tr>
      <w:tr>
        <w:tc>
          <w:tcPr>
            <w:tcW w:type="dxa" w:w="4320"/>
            <w:shd w:fill="E7E6E6"/>
          </w:tcPr>
          <w:p>
            <w:r/>
            <w:r>
              <w:rPr>
                <w:rFonts w:ascii="Times New Roman" w:hAnsi="Times New Roman"/>
                <w:b/>
                <w:sz w:val="20"/>
              </w:rPr>
              <w:t>Canonical ID</w:t>
            </w:r>
          </w:p>
        </w:tc>
        <w:tc>
          <w:tcPr>
            <w:tcW w:type="dxa" w:w="4320"/>
          </w:tcPr>
          <w:p>
            <w:r/>
            <w:r>
              <w:rPr>
                <w:rFonts w:ascii="Times New Roman" w:hAnsi="Times New Roman"/>
                <w:sz w:val="20"/>
              </w:rPr>
              <w:t>VN002 (dự án Lo âu)</w:t>
            </w:r>
          </w:p>
        </w:tc>
      </w:tr>
    </w:tbl>
    <w:p/>
    <w:p>
      <w:r>
        <w:rPr>
          <w:rFonts w:ascii="Times New Roman" w:hAnsi="Times New Roman"/>
          <w:b/>
          <w:color w:val="1F3A68"/>
          <w:sz w:val="28"/>
        </w:rPr>
        <w:t>TÓM TẮT (Abstract)</w:t>
      </w:r>
    </w:p>
    <w:p>
      <w:r>
        <w:rPr>
          <w:rFonts w:ascii="Times New Roman" w:hAnsi="Times New Roman"/>
          <w:b/>
        </w:rPr>
        <w:t xml:space="preserve">Bối cảnh. </w:t>
      </w:r>
    </w:p>
    <w:p>
      <w:r>
        <w:rPr>
          <w:rFonts w:ascii="Times New Roman" w:hAnsi="Times New Roman"/>
        </w:rPr>
        <w:t>Hiểu biết về tỷ lệ mắc rối loạn sức khoẻ tâm thần ở vị thành niên Việt Nam còn rất hạn chế. Các nghiên cứu sẵn có chủ yếu dùng thang sàng lọc (SDQ, CBCL, YSR) trên mẫu nhỏ hoặc hẹp địa bàn, khiến việc khái quát lên quy mô quốc gia và so sánh quốc tế rất khó khăn. V-NAMHS là khảo sát đầu tiên ở Việt Nam sử dụng công cụ chẩn đoán tiêu chuẩn quốc tế (DISC-5) để ước tính tỷ lệ rối loạn tâm thần ở vị thành niên 10–17 tuổi theo DSM-5 trên mẫu đại diện quốc gia. (kết quả được gia trọng theo phân bố tuổi–giới–đô thị/nông thôn)</w:t>
      </w:r>
    </w:p>
    <w:p>
      <w:r>
        <w:rPr>
          <w:rFonts w:ascii="Times New Roman" w:hAnsi="Times New Roman"/>
          <w:b/>
        </w:rPr>
        <w:t xml:space="preserve">Phương pháp. </w:t>
      </w:r>
    </w:p>
    <w:p>
      <w:r>
        <w:rPr>
          <w:rFonts w:ascii="Times New Roman" w:hAnsi="Times New Roman"/>
        </w:rPr>
        <w:t>Điều tra cắt ngang hộ gia đình tại 38 tỉnh/thành phố thuộc 4 vùng (Trung du miền núi phía Bắc + Tây Nguyên; Đồng bằng sông Hồng; Bắc Trung Bộ + Duyên hải miền Trung; Đông Nam Bộ + Đồng bằng sông Cửu Long). Chọn ngẫu nhiên 200 địa bàn điều tra (EA) phân đều 50 EA/vùng (25 đô thị + 25 nông thôn). Tổng 7.599 hộ được tiếp cận, 6.048 hộ đủ tiêu chuẩn và đồng ý tham gia (tỷ lệ trả lời 81,1 %), loại trừ 52 hộ có dữ liệu không đầy đủ; mẫu cuối cùng 5.996 cặp phụ huynh–vị thành niên. Phụ huynh được đo PSC-17, PHQ-9, GAD-7 và trả lời về ADHD của con. Vị thành niên được phỏng vấn bằng 5 module DISC-5 (ám ảnh xã hội, lo âu tổng quát, trầm cảm nặng, rối loạn hành vi, PTSD), cùng bộ câu hỏi về hành vi tự sát, tự làm hại bản thân, bắt nạt, gia đình, peer, học đường, COVID-19. Tỷ lệ và số lượng được gia trọng (weighted) theo phân bố tuổi–giới–đô thị/nông thôn của quần thể VTN 10–17 tuổi Việt Nam.</w:t>
      </w:r>
    </w:p>
    <w:p>
      <w:r>
        <w:rPr>
          <w:rFonts w:ascii="Times New Roman" w:hAnsi="Times New Roman"/>
          <w:b/>
        </w:rPr>
        <w:t xml:space="preserve">Kết quả chính. </w:t>
      </w:r>
    </w:p>
    <w:p>
      <w:r>
        <w:rPr>
          <w:rFonts w:ascii="Times New Roman" w:hAnsi="Times New Roman"/>
        </w:rPr>
        <w:t>(1) 21,7 % VTN có ít nhất một vấn đề sức khoẻ tâm thần (mental health problem) trong 12 tháng qua (n = 1.301), trong đó lo âu phổ biến nhất (18,6 %), tiếp theo trầm cảm (4,3 %), ADHD (2,8 %), PTSD (1,0 %), rối loạn hành vi (0,7 %). (2) 3,3 % đáp ứng đầy đủ tiêu chí chẩn đoán DSM-5 cho ít nhất một rối loạn tâm thần trong 12 tháng qua (n = 200); rối loạn lo âu là phổ biến nhất (2,3 %), tiếp theo trầm cảm nặng (0,9 %), ADHD (0,5 %), PTSD (0,3 %), rối loạn hành vi (0,2 %). Không có khác biệt tổng thể theo giới tính hay nhóm tuổi 10–13 vs 14–17. (3) Lĩnh vực suy giảm chức năng (impairment) do triệu chứng tập trung cao nhất ở gia đình (67,0 % trong nhóm có vấn đề SKTT; 74,2 % trong nhóm có rối loạn), tiếp theo bạn bè (47,0 %; 63,3 %) và trường/việc làm (45,4 %; 64,1 %). (4) Trong 12 tháng qua, 1,4 % VTN có ý nghĩ tự sát, 0,4 % lập kế hoạch tự sát, 0,2 % toan tự sát; 1,6 % từng toan tự sát trong đời; 1 % tự làm hại bản thân trong 12 tháng và 4,7 % từng tự làm hại trong đời. Trên 70 % các em có hành vi tự sát 12 tháng qua đồng thời có vấn đề SKTT. (5) Khoảng trống điều trị lớn: chỉ 8,4 % các em có vấn đề SKTT (n = 109) và 6,5 % toàn mẫu đã sử dụng bất kỳ dịch vụ nào trong 12 tháng qua. Bác sĩ/điều dưỡng là nơi đến nhiều nhất (56,2 %). Chỉ 5,1 % phụ huynh nhận ra con mình cần trợ giúp; trong nhóm không tìm kiếm dịch vụ, rào cản hàng đầu là "tự giải quyết trong gia đình" (20,4 %), "không chắc con có cần" (10,7 %) và "không biết chỗ tìm trợ giúp" (10,0 %). 73,9 % VTN tâm sự với người thân trong gia đình khi có lo lắng; 38,2 % với bạn bè. (6) Tác động COVID-19: 7,7 % VTN thường xuyên trải qua ≥ 1 vấn đề cảm xúc/hành vi nhiều hơn bình thường trong đại dịch (nếu gộp cả "đồng ý" lên tới 67 %). 71,5 % hộ gia đình báo cáo giảm thu nhập trong đại dịch; 12,3 % thường xuyên thiếu tiền cho nhu yếu phẩm. Trong 7,1 % phụ huynh báo cáo con cần trợ giúp cảm xúc/hành vi trong đại dịch, 80,3 % không tiếp cận được dịch vụ, chủ yếu do sợ lây nhiễm COVID-19 (69,2 %).</w:t>
      </w:r>
    </w:p>
    <w:p>
      <w:r>
        <w:rPr>
          <w:rFonts w:ascii="Times New Roman" w:hAnsi="Times New Roman"/>
          <w:b/>
        </w:rPr>
        <w:t xml:space="preserve">Hàm ý. </w:t>
      </w:r>
    </w:p>
    <w:p>
      <w:r>
        <w:rPr>
          <w:rFonts w:ascii="Times New Roman" w:hAnsi="Times New Roman"/>
        </w:rPr>
        <w:t>V-NAMHS cung cấp lần đầu dữ liệu đại diện quốc gia về tỷ lệ rối loạn SKTT ở VTN Việt Nam theo chuẩn DSM-5, khẳng định SKTT là vấn đề y tế công cộng quan trọng. Cần chính sách quốc gia toàn diện về SKTT VTN, ưu tiên: lồng ghép sàng lọc SKTT vào chăm sóc ban đầu, nâng cao mental health literacy cho phụ huynh, đào tạo giáo viên/y tế trường học về sàng lọc và giới thiệu chuyển tuyến, bảo đảm dịch vụ dễ tiếp cận (hotline, tư vấn trực tuyến) đặc biệt trong khủng hoảng như đại dịch.</w:t>
      </w:r>
    </w:p>
    <w:p>
      <w:r>
        <w:rPr>
          <w:rFonts w:ascii="Times New Roman" w:hAnsi="Times New Roman"/>
        </w:rPr>
      </w:r>
    </w:p>
    <w:p>
      <w:r>
        <w:rPr>
          <w:rFonts w:ascii="Times New Roman" w:hAnsi="Times New Roman"/>
          <w:i/>
          <w:color w:val="808080"/>
          <w:sz w:val="18"/>
        </w:rPr>
        <w:t>(Tóm tắt do người dịch soạn dựa trên Executive Summary + toàn văn báo cáo; mọi con số đã verify vs PDF gốc — tham khảo PHẢN BIỆN Vòng 2 cuối bài.)</w:t>
      </w:r>
    </w:p>
    <w:p/>
    <w:p>
      <w:r>
        <w:rPr>
          <w:rFonts w:ascii="Times New Roman" w:hAnsi="Times New Roman"/>
          <w:b/>
          <w:color w:val="1F3A68"/>
          <w:sz w:val="28"/>
        </w:rPr>
        <w:t>TÓM TẮT ĐÁNH GIÁ NHANH</w:t>
      </w:r>
    </w:p>
    <w:p>
      <w:r>
        <w:rPr>
          <w:rFonts w:ascii="Times New Roman" w:hAnsi="Times New Roman"/>
          <w:b/>
        </w:rPr>
        <w:t>Điểm mạnh:</w:t>
      </w:r>
    </w:p>
    <w:p>
      <w:r>
        <w:rPr>
          <w:rFonts w:ascii="Times New Roman" w:hAnsi="Times New Roman"/>
        </w:rPr>
        <w:t>• Khảo sát đại diện quốc gia ĐẦU TIÊN của Việt Nam về rối loạn SKTT ở VTN theo chẩn đoán DSM-5/DISC-5</w:t>
      </w:r>
    </w:p>
    <w:p>
      <w:r>
        <w:rPr>
          <w:rFonts w:ascii="Times New Roman" w:hAnsi="Times New Roman"/>
        </w:rPr>
        <w:t>• Cỡ mẫu rất lớn (n = 5.996) trên 38 tỉnh bao phủ 4 vùng địa lý, urban + rural</w:t>
      </w:r>
    </w:p>
    <w:p>
      <w:r>
        <w:rPr>
          <w:rFonts w:ascii="Times New Roman" w:hAnsi="Times New Roman"/>
        </w:rPr>
        <w:t>• Phỏng vấn trực tiếp face-to-face bởi 127 phỏng vấn viên được đào tạo, có monitoring UQ+JHSPH</w:t>
      </w:r>
    </w:p>
    <w:p>
      <w:r>
        <w:rPr>
          <w:rFonts w:ascii="Times New Roman" w:hAnsi="Times New Roman"/>
        </w:rPr>
        <w:t>• Tỷ lệ trả lời cao (81,1 %) dù diễn ra trong đại dịch COVID-19</w:t>
      </w:r>
    </w:p>
    <w:p>
      <w:r>
        <w:rPr>
          <w:rFonts w:ascii="Times New Roman" w:hAnsi="Times New Roman"/>
        </w:rPr>
        <w:t>• Công cụ được adapt văn hoá (translation/back-translation + review lâm sàng) cho bối cảnh Việt Nam</w:t>
      </w:r>
    </w:p>
    <w:p>
      <w:r>
        <w:rPr>
          <w:rFonts w:ascii="Times New Roman" w:hAnsi="Times New Roman"/>
        </w:rPr>
        <w:t>• Uy tín thể chế cao: VASS + UQ + JHSPH; khung NAMHS ba nước (Indonesia + Kenya + VN)</w:t>
      </w:r>
    </w:p>
    <w:p>
      <w:r>
        <w:rPr>
          <w:rFonts w:ascii="Times New Roman" w:hAnsi="Times New Roman"/>
        </w:rPr>
        <w:t>• Đồng thời báo cáo 2 mức — "mental health problem" (half-threshold) và "mental disorder" (full DSM-5) — giúp nhận diện nhóm subthreshold quan trọng cho can thiệp sớm</w:t>
      </w:r>
    </w:p>
    <w:p>
      <w:r>
        <w:rPr>
          <w:rFonts w:ascii="Times New Roman" w:hAnsi="Times New Roman"/>
          <w:b/>
        </w:rPr>
        <w:t>Hạn chế:</w:t>
      </w:r>
    </w:p>
    <w:p>
      <w:r>
        <w:rPr>
          <w:rFonts w:ascii="Times New Roman" w:hAnsi="Times New Roman"/>
        </w:rPr>
        <w:t>• Thiết kế cắt ngang, không xác lập nhân quả</w:t>
      </w:r>
    </w:p>
    <w:p>
      <w:r>
        <w:rPr>
          <w:rFonts w:ascii="Times New Roman" w:hAnsi="Times New Roman"/>
        </w:rPr>
        <w:t>• Phỏng vấn trực tiếp có thể underestimate hành vi tự sát và các vấn đề stigmatised (so với self-administered questionnaire)</w:t>
      </w:r>
    </w:p>
    <w:p>
      <w:r>
        <w:rPr>
          <w:rFonts w:ascii="Times New Roman" w:hAnsi="Times New Roman"/>
        </w:rPr>
        <w:t>• DISC-5 dựa trên DSM-5 chủ yếu là Western criteria; có thể không bắt hết somatic expression của VTN Việt Nam (Kim et al. 2019)</w:t>
      </w:r>
    </w:p>
    <w:p>
      <w:r>
        <w:rPr>
          <w:rFonts w:ascii="Times New Roman" w:hAnsi="Times New Roman"/>
        </w:rPr>
        <w:t>• Câu hỏi dịch vụ chủ yếu hỏi phụ huynh, thiếu góc nhìn VTN về barriers to care</w:t>
      </w:r>
    </w:p>
    <w:p>
      <w:r>
        <w:rPr>
          <w:rFonts w:ascii="Times New Roman" w:hAnsi="Times New Roman"/>
        </w:rPr>
        <w:t>• 18–19 tuổi bị loại (DISC-5 không phù hợp), nên kết quả không áp dụng cho nhóm late adolescence</w:t>
      </w:r>
    </w:p>
    <w:p>
      <w:r>
        <w:rPr>
          <w:rFonts w:ascii="Times New Roman" w:hAnsi="Times New Roman"/>
        </w:rPr>
        <w:t>• Data thu thập giữa COVID-19 có thể tạo "period effect"; vẫn cần so sánh với wave hậu đại dịch</w:t>
      </w:r>
    </w:p>
    <w:p>
      <w:r>
        <w:rPr>
          <w:rFonts w:ascii="Times New Roman" w:hAnsi="Times New Roman"/>
          <w:b/>
        </w:rPr>
        <w:t>Hướng cải thiện:</w:t>
      </w:r>
    </w:p>
    <w:p>
      <w:r>
        <w:rPr>
          <w:rFonts w:ascii="Times New Roman" w:hAnsi="Times New Roman"/>
        </w:rPr>
        <w:t>• Lặp lại theo chu kỳ 3–5 năm để theo dõi xu hướng và đánh giá hiệu quả chính sách</w:t>
      </w:r>
    </w:p>
    <w:p>
      <w:r>
        <w:rPr>
          <w:rFonts w:ascii="Times New Roman" w:hAnsi="Times New Roman"/>
        </w:rPr>
        <w:t>• Bổ sung module somatic complaints culturally adapted</w:t>
      </w:r>
    </w:p>
    <w:p>
      <w:r>
        <w:rPr>
          <w:rFonts w:ascii="Times New Roman" w:hAnsi="Times New Roman"/>
        </w:rPr>
        <w:t>• Phân tích subgroup sâu hơn: dân tộc thiểu số, LGBTQ, VTN khuyết tật</w:t>
      </w:r>
    </w:p>
    <w:p>
      <w:r>
        <w:rPr>
          <w:rFonts w:ascii="Times New Roman" w:hAnsi="Times New Roman"/>
        </w:rPr>
        <w:t>• Nghiên cứu longitudinal nhỏ hơn để truy nguồn nhân quả risk factors</w:t>
      </w:r>
    </w:p>
    <w:p/>
    <w:p>
      <w:r>
        <w:rPr>
          <w:rFonts w:ascii="Times New Roman" w:hAnsi="Times New Roman"/>
          <w:b/>
          <w:color w:val="1F3A68"/>
          <w:sz w:val="28"/>
        </w:rPr>
        <w:t>BẢNG VIẾT TẮT</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Viết tắt</w:t>
            </w:r>
          </w:p>
        </w:tc>
        <w:tc>
          <w:tcPr>
            <w:tcW w:type="dxa" w:w="4320"/>
            <w:shd w:fill="D9E1F2"/>
          </w:tcPr>
          <w:p>
            <w:r/>
            <w:r>
              <w:rPr>
                <w:rFonts w:ascii="Times New Roman" w:hAnsi="Times New Roman"/>
                <w:b/>
                <w:sz w:val="20"/>
              </w:rPr>
              <w:t>Giải nghĩa (EN — VN)</w:t>
            </w:r>
          </w:p>
        </w:tc>
      </w:tr>
      <w:tr>
        <w:tc>
          <w:tcPr>
            <w:tcW w:type="dxa" w:w="4320"/>
          </w:tcPr>
          <w:p>
            <w:r/>
            <w:r>
              <w:rPr>
                <w:rFonts w:ascii="Times New Roman" w:hAnsi="Times New Roman"/>
                <w:sz w:val="20"/>
              </w:rPr>
              <w:t>ADHD</w:t>
            </w:r>
          </w:p>
        </w:tc>
        <w:tc>
          <w:tcPr>
            <w:tcW w:type="dxa" w:w="4320"/>
          </w:tcPr>
          <w:p>
            <w:r/>
            <w:r>
              <w:rPr>
                <w:rFonts w:ascii="Times New Roman" w:hAnsi="Times New Roman"/>
                <w:sz w:val="20"/>
              </w:rPr>
              <w:t>Attention-deficit/hyperactivity disorder — Rối loạn tăng động giảm chú ý</w:t>
            </w:r>
          </w:p>
        </w:tc>
      </w:tr>
      <w:tr>
        <w:tc>
          <w:tcPr>
            <w:tcW w:type="dxa" w:w="4320"/>
          </w:tcPr>
          <w:p>
            <w:r/>
            <w:r>
              <w:rPr>
                <w:rFonts w:ascii="Times New Roman" w:hAnsi="Times New Roman"/>
                <w:sz w:val="20"/>
              </w:rPr>
              <w:t>CBCL</w:t>
            </w:r>
          </w:p>
        </w:tc>
        <w:tc>
          <w:tcPr>
            <w:tcW w:type="dxa" w:w="4320"/>
          </w:tcPr>
          <w:p>
            <w:r/>
            <w:r>
              <w:rPr>
                <w:rFonts w:ascii="Times New Roman" w:hAnsi="Times New Roman"/>
                <w:sz w:val="20"/>
              </w:rPr>
              <w:t>Child Behaviour Checklist — Bảng kiểm Hành vi Trẻ em</w:t>
            </w:r>
          </w:p>
        </w:tc>
      </w:tr>
      <w:tr>
        <w:tc>
          <w:tcPr>
            <w:tcW w:type="dxa" w:w="4320"/>
          </w:tcPr>
          <w:p>
            <w:r/>
            <w:r>
              <w:rPr>
                <w:rFonts w:ascii="Times New Roman" w:hAnsi="Times New Roman"/>
                <w:sz w:val="20"/>
              </w:rPr>
              <w:t>DISC-5</w:t>
            </w:r>
          </w:p>
        </w:tc>
        <w:tc>
          <w:tcPr>
            <w:tcW w:type="dxa" w:w="4320"/>
          </w:tcPr>
          <w:p>
            <w:r/>
            <w:r>
              <w:rPr>
                <w:rFonts w:ascii="Times New Roman" w:hAnsi="Times New Roman"/>
                <w:sz w:val="20"/>
              </w:rPr>
              <w:t>Diagnostic Interview Schedule for Children, Version 5 — Phỏng vấn chẩn đoán DSM-5 cho trẻ em, phiên bản 5</w:t>
            </w:r>
          </w:p>
        </w:tc>
      </w:tr>
      <w:tr>
        <w:tc>
          <w:tcPr>
            <w:tcW w:type="dxa" w:w="4320"/>
          </w:tcPr>
          <w:p>
            <w:r/>
            <w:r>
              <w:rPr>
                <w:rFonts w:ascii="Times New Roman" w:hAnsi="Times New Roman"/>
                <w:sz w:val="20"/>
              </w:rPr>
              <w:t>DSM-5</w:t>
            </w:r>
          </w:p>
        </w:tc>
        <w:tc>
          <w:tcPr>
            <w:tcW w:type="dxa" w:w="4320"/>
          </w:tcPr>
          <w:p>
            <w:r/>
            <w:r>
              <w:rPr>
                <w:rFonts w:ascii="Times New Roman" w:hAnsi="Times New Roman"/>
                <w:sz w:val="20"/>
              </w:rPr>
              <w:t>Diagnostic and Statistical Manual of Mental Disorders, 5th Edition — Cẩm nang chẩn đoán và thống kê rối loạn tâm thần, tái bản thứ 5</w:t>
            </w:r>
          </w:p>
        </w:tc>
      </w:tr>
      <w:tr>
        <w:tc>
          <w:tcPr>
            <w:tcW w:type="dxa" w:w="4320"/>
          </w:tcPr>
          <w:p>
            <w:r/>
            <w:r>
              <w:rPr>
                <w:rFonts w:ascii="Times New Roman" w:hAnsi="Times New Roman"/>
                <w:sz w:val="20"/>
              </w:rPr>
              <w:t>EA</w:t>
            </w:r>
          </w:p>
        </w:tc>
        <w:tc>
          <w:tcPr>
            <w:tcW w:type="dxa" w:w="4320"/>
          </w:tcPr>
          <w:p>
            <w:r/>
            <w:r>
              <w:rPr>
                <w:rFonts w:ascii="Times New Roman" w:hAnsi="Times New Roman"/>
                <w:sz w:val="20"/>
              </w:rPr>
              <w:t>Enumeration Area — Địa bàn điều tra</w:t>
            </w:r>
          </w:p>
        </w:tc>
      </w:tr>
      <w:tr>
        <w:tc>
          <w:tcPr>
            <w:tcW w:type="dxa" w:w="4320"/>
          </w:tcPr>
          <w:p>
            <w:r/>
            <w:r>
              <w:rPr>
                <w:rFonts w:ascii="Times New Roman" w:hAnsi="Times New Roman"/>
                <w:sz w:val="20"/>
              </w:rPr>
              <w:t>GBD</w:t>
            </w:r>
          </w:p>
        </w:tc>
        <w:tc>
          <w:tcPr>
            <w:tcW w:type="dxa" w:w="4320"/>
          </w:tcPr>
          <w:p>
            <w:r/>
            <w:r>
              <w:rPr>
                <w:rFonts w:ascii="Times New Roman" w:hAnsi="Times New Roman"/>
                <w:sz w:val="20"/>
              </w:rPr>
              <w:t>Global Burden of Disease Study — Nghiên cứu gánh nặng bệnh tật toàn cầu</w:t>
            </w:r>
          </w:p>
        </w:tc>
      </w:tr>
      <w:tr>
        <w:tc>
          <w:tcPr>
            <w:tcW w:type="dxa" w:w="4320"/>
          </w:tcPr>
          <w:p>
            <w:r/>
            <w:r>
              <w:rPr>
                <w:rFonts w:ascii="Times New Roman" w:hAnsi="Times New Roman"/>
                <w:sz w:val="20"/>
              </w:rPr>
              <w:t>GEAS</w:t>
            </w:r>
          </w:p>
        </w:tc>
        <w:tc>
          <w:tcPr>
            <w:tcW w:type="dxa" w:w="4320"/>
          </w:tcPr>
          <w:p>
            <w:r/>
            <w:r>
              <w:rPr>
                <w:rFonts w:ascii="Times New Roman" w:hAnsi="Times New Roman"/>
                <w:sz w:val="20"/>
              </w:rPr>
              <w:t>Global Early Adolescent Study — Nghiên cứu VTN sớm toàn cầu</w:t>
            </w:r>
          </w:p>
        </w:tc>
      </w:tr>
      <w:tr>
        <w:tc>
          <w:tcPr>
            <w:tcW w:type="dxa" w:w="4320"/>
          </w:tcPr>
          <w:p>
            <w:r/>
            <w:r>
              <w:rPr>
                <w:rFonts w:ascii="Times New Roman" w:hAnsi="Times New Roman"/>
                <w:sz w:val="20"/>
              </w:rPr>
              <w:t>GOPFP</w:t>
            </w:r>
          </w:p>
        </w:tc>
        <w:tc>
          <w:tcPr>
            <w:tcW w:type="dxa" w:w="4320"/>
          </w:tcPr>
          <w:p>
            <w:r/>
            <w:r>
              <w:rPr>
                <w:rFonts w:ascii="Times New Roman" w:hAnsi="Times New Roman"/>
                <w:sz w:val="20"/>
              </w:rPr>
              <w:t>General Office for Population and Family Planning — Tổng cục Dân số Kế hoạch hoá gia đình</w:t>
            </w:r>
          </w:p>
        </w:tc>
      </w:tr>
      <w:tr>
        <w:tc>
          <w:tcPr>
            <w:tcW w:type="dxa" w:w="4320"/>
          </w:tcPr>
          <w:p>
            <w:r/>
            <w:r>
              <w:rPr>
                <w:rFonts w:ascii="Times New Roman" w:hAnsi="Times New Roman"/>
                <w:sz w:val="20"/>
              </w:rPr>
              <w:t>GSHS</w:t>
            </w:r>
          </w:p>
        </w:tc>
        <w:tc>
          <w:tcPr>
            <w:tcW w:type="dxa" w:w="4320"/>
          </w:tcPr>
          <w:p>
            <w:r/>
            <w:r>
              <w:rPr>
                <w:rFonts w:ascii="Times New Roman" w:hAnsi="Times New Roman"/>
                <w:sz w:val="20"/>
              </w:rPr>
              <w:t>Global School-based Student Health Survey — Khảo sát Sức khoẻ Học sinh toàn cầu</w:t>
            </w:r>
          </w:p>
        </w:tc>
      </w:tr>
      <w:tr>
        <w:tc>
          <w:tcPr>
            <w:tcW w:type="dxa" w:w="4320"/>
          </w:tcPr>
          <w:p>
            <w:r/>
            <w:r>
              <w:rPr>
                <w:rFonts w:ascii="Times New Roman" w:hAnsi="Times New Roman"/>
                <w:sz w:val="20"/>
              </w:rPr>
              <w:t>GSO</w:t>
            </w:r>
          </w:p>
        </w:tc>
        <w:tc>
          <w:tcPr>
            <w:tcW w:type="dxa" w:w="4320"/>
          </w:tcPr>
          <w:p>
            <w:r/>
            <w:r>
              <w:rPr>
                <w:rFonts w:ascii="Times New Roman" w:hAnsi="Times New Roman"/>
                <w:sz w:val="20"/>
              </w:rPr>
              <w:t>General Statistical Office — Tổng cục Thống kê Việt Nam</w:t>
            </w:r>
          </w:p>
        </w:tc>
      </w:tr>
      <w:tr>
        <w:tc>
          <w:tcPr>
            <w:tcW w:type="dxa" w:w="4320"/>
          </w:tcPr>
          <w:p>
            <w:r/>
            <w:r>
              <w:rPr>
                <w:rFonts w:ascii="Times New Roman" w:hAnsi="Times New Roman"/>
                <w:sz w:val="20"/>
              </w:rPr>
              <w:t>HSPI</w:t>
            </w:r>
          </w:p>
        </w:tc>
        <w:tc>
          <w:tcPr>
            <w:tcW w:type="dxa" w:w="4320"/>
          </w:tcPr>
          <w:p>
            <w:r/>
            <w:r>
              <w:rPr>
                <w:rFonts w:ascii="Times New Roman" w:hAnsi="Times New Roman"/>
                <w:sz w:val="20"/>
              </w:rPr>
              <w:t>Health Strategy and Policy Institute — Viện Chiến lược &amp; Chính sách Y tế</w:t>
            </w:r>
          </w:p>
        </w:tc>
      </w:tr>
      <w:tr>
        <w:tc>
          <w:tcPr>
            <w:tcW w:type="dxa" w:w="4320"/>
          </w:tcPr>
          <w:p>
            <w:r/>
            <w:r>
              <w:rPr>
                <w:rFonts w:ascii="Times New Roman" w:hAnsi="Times New Roman"/>
                <w:sz w:val="20"/>
              </w:rPr>
              <w:t>HICs</w:t>
            </w:r>
          </w:p>
        </w:tc>
        <w:tc>
          <w:tcPr>
            <w:tcW w:type="dxa" w:w="4320"/>
          </w:tcPr>
          <w:p>
            <w:r/>
            <w:r>
              <w:rPr>
                <w:rFonts w:ascii="Times New Roman" w:hAnsi="Times New Roman"/>
                <w:sz w:val="20"/>
              </w:rPr>
              <w:t>High-income countries — Các nước thu nhập cao</w:t>
            </w:r>
          </w:p>
        </w:tc>
      </w:tr>
      <w:tr>
        <w:tc>
          <w:tcPr>
            <w:tcW w:type="dxa" w:w="4320"/>
          </w:tcPr>
          <w:p>
            <w:r/>
            <w:r>
              <w:rPr>
                <w:rFonts w:ascii="Times New Roman" w:hAnsi="Times New Roman"/>
                <w:sz w:val="20"/>
              </w:rPr>
              <w:t>HREC</w:t>
            </w:r>
          </w:p>
        </w:tc>
        <w:tc>
          <w:tcPr>
            <w:tcW w:type="dxa" w:w="4320"/>
          </w:tcPr>
          <w:p>
            <w:r/>
            <w:r>
              <w:rPr>
                <w:rFonts w:ascii="Times New Roman" w:hAnsi="Times New Roman"/>
                <w:sz w:val="20"/>
              </w:rPr>
              <w:t>Human Research Ethics Committee — Hội đồng Đạo đức Nghiên cứu trên người</w:t>
            </w:r>
          </w:p>
        </w:tc>
      </w:tr>
      <w:tr>
        <w:tc>
          <w:tcPr>
            <w:tcW w:type="dxa" w:w="4320"/>
          </w:tcPr>
          <w:p>
            <w:r/>
            <w:r>
              <w:rPr>
                <w:rFonts w:ascii="Times New Roman" w:hAnsi="Times New Roman"/>
                <w:sz w:val="20"/>
              </w:rPr>
              <w:t>I-NAMHS</w:t>
            </w:r>
          </w:p>
        </w:tc>
        <w:tc>
          <w:tcPr>
            <w:tcW w:type="dxa" w:w="4320"/>
          </w:tcPr>
          <w:p>
            <w:r/>
            <w:r>
              <w:rPr>
                <w:rFonts w:ascii="Times New Roman" w:hAnsi="Times New Roman"/>
                <w:sz w:val="20"/>
              </w:rPr>
              <w:t>Indonesia National Adolescent Mental Health Survey</w:t>
            </w:r>
          </w:p>
        </w:tc>
      </w:tr>
      <w:tr>
        <w:tc>
          <w:tcPr>
            <w:tcW w:type="dxa" w:w="4320"/>
          </w:tcPr>
          <w:p>
            <w:r/>
            <w:r>
              <w:rPr>
                <w:rFonts w:ascii="Times New Roman" w:hAnsi="Times New Roman"/>
                <w:sz w:val="20"/>
              </w:rPr>
              <w:t>IOS</w:t>
            </w:r>
          </w:p>
        </w:tc>
        <w:tc>
          <w:tcPr>
            <w:tcW w:type="dxa" w:w="4320"/>
          </w:tcPr>
          <w:p>
            <w:r/>
            <w:r>
              <w:rPr>
                <w:rFonts w:ascii="Times New Roman" w:hAnsi="Times New Roman"/>
                <w:sz w:val="20"/>
              </w:rPr>
              <w:t>Institute of Sociology — Viện Xã hội học (VASS)</w:t>
            </w:r>
          </w:p>
        </w:tc>
      </w:tr>
      <w:tr>
        <w:tc>
          <w:tcPr>
            <w:tcW w:type="dxa" w:w="4320"/>
          </w:tcPr>
          <w:p>
            <w:r/>
            <w:r>
              <w:rPr>
                <w:rFonts w:ascii="Times New Roman" w:hAnsi="Times New Roman"/>
                <w:sz w:val="20"/>
              </w:rPr>
              <w:t>JHSPH</w:t>
            </w:r>
          </w:p>
        </w:tc>
        <w:tc>
          <w:tcPr>
            <w:tcW w:type="dxa" w:w="4320"/>
          </w:tcPr>
          <w:p>
            <w:r/>
            <w:r>
              <w:rPr>
                <w:rFonts w:ascii="Times New Roman" w:hAnsi="Times New Roman"/>
                <w:sz w:val="20"/>
              </w:rPr>
              <w:t>Johns Hopkins Bloomberg School of Public Health</w:t>
            </w:r>
          </w:p>
        </w:tc>
      </w:tr>
      <w:tr>
        <w:tc>
          <w:tcPr>
            <w:tcW w:type="dxa" w:w="4320"/>
          </w:tcPr>
          <w:p>
            <w:r/>
            <w:r>
              <w:rPr>
                <w:rFonts w:ascii="Times New Roman" w:hAnsi="Times New Roman"/>
                <w:sz w:val="20"/>
              </w:rPr>
              <w:t>K-NAMHS</w:t>
            </w:r>
          </w:p>
        </w:tc>
        <w:tc>
          <w:tcPr>
            <w:tcW w:type="dxa" w:w="4320"/>
          </w:tcPr>
          <w:p>
            <w:r/>
            <w:r>
              <w:rPr>
                <w:rFonts w:ascii="Times New Roman" w:hAnsi="Times New Roman"/>
                <w:sz w:val="20"/>
              </w:rPr>
              <w:t>Kenya National Adolescent Mental Health Survey</w:t>
            </w:r>
          </w:p>
        </w:tc>
      </w:tr>
      <w:tr>
        <w:tc>
          <w:tcPr>
            <w:tcW w:type="dxa" w:w="4320"/>
          </w:tcPr>
          <w:p>
            <w:r/>
            <w:r>
              <w:rPr>
                <w:rFonts w:ascii="Times New Roman" w:hAnsi="Times New Roman"/>
                <w:sz w:val="20"/>
              </w:rPr>
              <w:t>LMICs</w:t>
            </w:r>
          </w:p>
        </w:tc>
        <w:tc>
          <w:tcPr>
            <w:tcW w:type="dxa" w:w="4320"/>
          </w:tcPr>
          <w:p>
            <w:r/>
            <w:r>
              <w:rPr>
                <w:rFonts w:ascii="Times New Roman" w:hAnsi="Times New Roman"/>
                <w:sz w:val="20"/>
              </w:rPr>
              <w:t>Low- and middle-income countries — Các nước thu nhập thấp và trung bình</w:t>
            </w:r>
          </w:p>
        </w:tc>
      </w:tr>
      <w:tr>
        <w:tc>
          <w:tcPr>
            <w:tcW w:type="dxa" w:w="4320"/>
          </w:tcPr>
          <w:p>
            <w:r/>
            <w:r>
              <w:rPr>
                <w:rFonts w:ascii="Times New Roman" w:hAnsi="Times New Roman"/>
                <w:sz w:val="20"/>
              </w:rPr>
              <w:t>MOH</w:t>
            </w:r>
          </w:p>
        </w:tc>
        <w:tc>
          <w:tcPr>
            <w:tcW w:type="dxa" w:w="4320"/>
          </w:tcPr>
          <w:p>
            <w:r/>
            <w:r>
              <w:rPr>
                <w:rFonts w:ascii="Times New Roman" w:hAnsi="Times New Roman"/>
                <w:sz w:val="20"/>
              </w:rPr>
              <w:t>Ministry of Health — Bộ Y tế</w:t>
            </w:r>
          </w:p>
        </w:tc>
      </w:tr>
      <w:tr>
        <w:tc>
          <w:tcPr>
            <w:tcW w:type="dxa" w:w="4320"/>
          </w:tcPr>
          <w:p>
            <w:r/>
            <w:r>
              <w:rPr>
                <w:rFonts w:ascii="Times New Roman" w:hAnsi="Times New Roman"/>
                <w:sz w:val="20"/>
              </w:rPr>
              <w:t>NAMHS</w:t>
            </w:r>
          </w:p>
        </w:tc>
        <w:tc>
          <w:tcPr>
            <w:tcW w:type="dxa" w:w="4320"/>
          </w:tcPr>
          <w:p>
            <w:r/>
            <w:r>
              <w:rPr>
                <w:rFonts w:ascii="Times New Roman" w:hAnsi="Times New Roman"/>
                <w:sz w:val="20"/>
              </w:rPr>
              <w:t>National Adolescent Mental Health Surveys</w:t>
            </w:r>
          </w:p>
        </w:tc>
      </w:tr>
      <w:tr>
        <w:tc>
          <w:tcPr>
            <w:tcW w:type="dxa" w:w="4320"/>
          </w:tcPr>
          <w:p>
            <w:r/>
            <w:r>
              <w:rPr>
                <w:rFonts w:ascii="Times New Roman" w:hAnsi="Times New Roman"/>
                <w:sz w:val="20"/>
              </w:rPr>
              <w:t>POPFP</w:t>
            </w:r>
          </w:p>
        </w:tc>
        <w:tc>
          <w:tcPr>
            <w:tcW w:type="dxa" w:w="4320"/>
          </w:tcPr>
          <w:p>
            <w:r/>
            <w:r>
              <w:rPr>
                <w:rFonts w:ascii="Times New Roman" w:hAnsi="Times New Roman"/>
                <w:sz w:val="20"/>
              </w:rPr>
              <w:t>Provincial Office of Population and Family Planning — Chi cục DS-KHHGĐ tỉnh</w:t>
            </w:r>
          </w:p>
        </w:tc>
      </w:tr>
      <w:tr>
        <w:tc>
          <w:tcPr>
            <w:tcW w:type="dxa" w:w="4320"/>
          </w:tcPr>
          <w:p>
            <w:r/>
            <w:r>
              <w:rPr>
                <w:rFonts w:ascii="Times New Roman" w:hAnsi="Times New Roman"/>
                <w:sz w:val="20"/>
              </w:rPr>
              <w:t>PTSD</w:t>
            </w:r>
          </w:p>
        </w:tc>
        <w:tc>
          <w:tcPr>
            <w:tcW w:type="dxa" w:w="4320"/>
          </w:tcPr>
          <w:p>
            <w:r/>
            <w:r>
              <w:rPr>
                <w:rFonts w:ascii="Times New Roman" w:hAnsi="Times New Roman"/>
                <w:sz w:val="20"/>
              </w:rPr>
              <w:t>Posttraumatic stress disorder — Rối loạn căng thẳng sau sang chấn</w:t>
            </w:r>
          </w:p>
        </w:tc>
      </w:tr>
      <w:tr>
        <w:tc>
          <w:tcPr>
            <w:tcW w:type="dxa" w:w="4320"/>
          </w:tcPr>
          <w:p>
            <w:r/>
            <w:r>
              <w:rPr>
                <w:rFonts w:ascii="Times New Roman" w:hAnsi="Times New Roman"/>
                <w:sz w:val="20"/>
              </w:rPr>
              <w:t>SDQ</w:t>
            </w:r>
          </w:p>
        </w:tc>
        <w:tc>
          <w:tcPr>
            <w:tcW w:type="dxa" w:w="4320"/>
          </w:tcPr>
          <w:p>
            <w:r/>
            <w:r>
              <w:rPr>
                <w:rFonts w:ascii="Times New Roman" w:hAnsi="Times New Roman"/>
                <w:sz w:val="20"/>
              </w:rPr>
              <w:t>Strengths and Difficulties Questionnaire — Bảng hỏi Điểm mạnh và Điểm yếu</w:t>
            </w:r>
          </w:p>
        </w:tc>
      </w:tr>
      <w:tr>
        <w:tc>
          <w:tcPr>
            <w:tcW w:type="dxa" w:w="4320"/>
          </w:tcPr>
          <w:p>
            <w:r/>
            <w:r>
              <w:rPr>
                <w:rFonts w:ascii="Times New Roman" w:hAnsi="Times New Roman"/>
                <w:sz w:val="20"/>
              </w:rPr>
              <w:t>SESD</w:t>
            </w:r>
          </w:p>
        </w:tc>
        <w:tc>
          <w:tcPr>
            <w:tcW w:type="dxa" w:w="4320"/>
          </w:tcPr>
          <w:p>
            <w:r/>
            <w:r>
              <w:rPr>
                <w:rFonts w:ascii="Times New Roman" w:hAnsi="Times New Roman"/>
                <w:sz w:val="20"/>
              </w:rPr>
              <w:t>Social-Environmental Statistics Department — Vụ Thống kê Xã hội và Môi trường</w:t>
            </w:r>
          </w:p>
        </w:tc>
      </w:tr>
      <w:tr>
        <w:tc>
          <w:tcPr>
            <w:tcW w:type="dxa" w:w="4320"/>
          </w:tcPr>
          <w:p>
            <w:r/>
            <w:r>
              <w:rPr>
                <w:rFonts w:ascii="Times New Roman" w:hAnsi="Times New Roman"/>
                <w:sz w:val="20"/>
              </w:rPr>
              <w:t>UQ</w:t>
            </w:r>
          </w:p>
        </w:tc>
        <w:tc>
          <w:tcPr>
            <w:tcW w:type="dxa" w:w="4320"/>
          </w:tcPr>
          <w:p>
            <w:r/>
            <w:r>
              <w:rPr>
                <w:rFonts w:ascii="Times New Roman" w:hAnsi="Times New Roman"/>
                <w:sz w:val="20"/>
              </w:rPr>
              <w:t>The University of Queensland — Đại học Queensland (Úc)</w:t>
            </w:r>
          </w:p>
        </w:tc>
      </w:tr>
      <w:tr>
        <w:tc>
          <w:tcPr>
            <w:tcW w:type="dxa" w:w="4320"/>
          </w:tcPr>
          <w:p>
            <w:r/>
            <w:r>
              <w:rPr>
                <w:rFonts w:ascii="Times New Roman" w:hAnsi="Times New Roman"/>
                <w:sz w:val="20"/>
              </w:rPr>
              <w:t>VASS</w:t>
            </w:r>
          </w:p>
        </w:tc>
        <w:tc>
          <w:tcPr>
            <w:tcW w:type="dxa" w:w="4320"/>
          </w:tcPr>
          <w:p>
            <w:r/>
            <w:r>
              <w:rPr>
                <w:rFonts w:ascii="Times New Roman" w:hAnsi="Times New Roman"/>
                <w:sz w:val="20"/>
              </w:rPr>
              <w:t>Viet Nam Academy of Social Sciences — Viện Hàn lâm KHXH Việt Nam</w:t>
            </w:r>
          </w:p>
        </w:tc>
      </w:tr>
      <w:tr>
        <w:tc>
          <w:tcPr>
            <w:tcW w:type="dxa" w:w="4320"/>
          </w:tcPr>
          <w:p>
            <w:r/>
            <w:r>
              <w:rPr>
                <w:rFonts w:ascii="Times New Roman" w:hAnsi="Times New Roman"/>
                <w:sz w:val="20"/>
              </w:rPr>
              <w:t>V-NAMHS</w:t>
            </w:r>
          </w:p>
        </w:tc>
        <w:tc>
          <w:tcPr>
            <w:tcW w:type="dxa" w:w="4320"/>
          </w:tcPr>
          <w:p>
            <w:r/>
            <w:r>
              <w:rPr>
                <w:rFonts w:ascii="Times New Roman" w:hAnsi="Times New Roman"/>
                <w:sz w:val="20"/>
              </w:rPr>
              <w:t>Viet Nam Adolescent Mental Health Survey — Khảo sát SKTT VTN Việt Nam</w:t>
            </w:r>
          </w:p>
        </w:tc>
      </w:tr>
      <w:tr>
        <w:tc>
          <w:tcPr>
            <w:tcW w:type="dxa" w:w="4320"/>
          </w:tcPr>
          <w:p>
            <w:r/>
            <w:r>
              <w:rPr>
                <w:rFonts w:ascii="Times New Roman" w:hAnsi="Times New Roman"/>
                <w:sz w:val="20"/>
              </w:rPr>
              <w:t>WHO</w:t>
            </w:r>
          </w:p>
        </w:tc>
        <w:tc>
          <w:tcPr>
            <w:tcW w:type="dxa" w:w="4320"/>
          </w:tcPr>
          <w:p>
            <w:r/>
            <w:r>
              <w:rPr>
                <w:rFonts w:ascii="Times New Roman" w:hAnsi="Times New Roman"/>
                <w:sz w:val="20"/>
              </w:rPr>
              <w:t>World Health Organization — Tổ chức Y tế Thế giới</w:t>
            </w:r>
          </w:p>
        </w:tc>
      </w:tr>
      <w:tr>
        <w:tc>
          <w:tcPr>
            <w:tcW w:type="dxa" w:w="4320"/>
          </w:tcPr>
          <w:p>
            <w:r/>
            <w:r>
              <w:rPr>
                <w:rFonts w:ascii="Times New Roman" w:hAnsi="Times New Roman"/>
                <w:sz w:val="20"/>
              </w:rPr>
              <w:t>YSR</w:t>
            </w:r>
          </w:p>
        </w:tc>
        <w:tc>
          <w:tcPr>
            <w:tcW w:type="dxa" w:w="4320"/>
          </w:tcPr>
          <w:p>
            <w:r/>
            <w:r>
              <w:rPr>
                <w:rFonts w:ascii="Times New Roman" w:hAnsi="Times New Roman"/>
                <w:sz w:val="20"/>
              </w:rPr>
              <w:t>Youth Self-Report — Tự báo cáo Vị thành niên</w:t>
            </w:r>
          </w:p>
        </w:tc>
      </w:tr>
      <w:tr>
        <w:tc>
          <w:tcPr>
            <w:tcW w:type="dxa" w:w="4320"/>
          </w:tcPr>
          <w:p>
            <w:r/>
            <w:r>
              <w:rPr>
                <w:rFonts w:ascii="Times New Roman" w:hAnsi="Times New Roman"/>
                <w:sz w:val="20"/>
              </w:rPr>
              <w:t>MOLISA</w:t>
            </w:r>
          </w:p>
        </w:tc>
        <w:tc>
          <w:tcPr>
            <w:tcW w:type="dxa" w:w="4320"/>
          </w:tcPr>
          <w:p>
            <w:r/>
            <w:r>
              <w:rPr>
                <w:rFonts w:ascii="Times New Roman" w:hAnsi="Times New Roman"/>
                <w:sz w:val="20"/>
              </w:rPr>
              <w:t>Ministry of Labour, Invalids and Social Affairs — Bộ Lao động Thương binh Xã hội</w:t>
            </w:r>
          </w:p>
        </w:tc>
      </w:tr>
      <w:tr>
        <w:tc>
          <w:tcPr>
            <w:tcW w:type="dxa" w:w="4320"/>
          </w:tcPr>
          <w:p>
            <w:r/>
            <w:r>
              <w:rPr>
                <w:rFonts w:ascii="Times New Roman" w:hAnsi="Times New Roman"/>
                <w:sz w:val="20"/>
              </w:rPr>
              <w:t>MOET</w:t>
            </w:r>
          </w:p>
        </w:tc>
        <w:tc>
          <w:tcPr>
            <w:tcW w:type="dxa" w:w="4320"/>
          </w:tcPr>
          <w:p>
            <w:r/>
            <w:r>
              <w:rPr>
                <w:rFonts w:ascii="Times New Roman" w:hAnsi="Times New Roman"/>
                <w:sz w:val="20"/>
              </w:rPr>
              <w:t>Ministry of Education and Training — Bộ Giáo dục và Đào tạo</w:t>
            </w:r>
          </w:p>
        </w:tc>
      </w:tr>
    </w:tbl>
    <w:p/>
    <w:p>
      <w:r>
        <w:rPr>
          <w:rFonts w:ascii="Times New Roman" w:hAnsi="Times New Roman"/>
          <w:b/>
          <w:color w:val="1F3A68"/>
          <w:sz w:val="28"/>
        </w:rPr>
        <w:t>MỤC LỤC</w:t>
      </w:r>
    </w:p>
    <w:p>
      <w:r>
        <w:rPr>
          <w:rFonts w:ascii="Times New Roman" w:hAnsi="Times New Roman"/>
          <w:sz w:val="22"/>
        </w:rPr>
        <w:t>GIỚI THIỆU (trang 9)</w:t>
      </w:r>
    </w:p>
    <w:p>
      <w:r>
        <w:rPr>
          <w:rFonts w:ascii="Times New Roman" w:hAnsi="Times New Roman"/>
          <w:sz w:val="22"/>
        </w:rPr>
        <w:t xml:space="preserve">  • Bối cảnh (Background) — trang 9</w:t>
      </w:r>
    </w:p>
    <w:p>
      <w:r>
        <w:rPr>
          <w:rFonts w:ascii="Times New Roman" w:hAnsi="Times New Roman"/>
          <w:sz w:val="22"/>
        </w:rPr>
        <w:t xml:space="preserve">  • V-NAMHS là gì? (What is V-NAMHS?) — trang 10</w:t>
      </w:r>
    </w:p>
    <w:p>
      <w:r>
        <w:rPr>
          <w:rFonts w:ascii="Times New Roman" w:hAnsi="Times New Roman"/>
          <w:sz w:val="22"/>
        </w:rPr>
        <w:t xml:space="preserve">  • Ai tổ chức V-NAMHS? (Who conducted?) — trang 10</w:t>
      </w:r>
    </w:p>
    <w:p>
      <w:r>
        <w:rPr>
          <w:rFonts w:ascii="Times New Roman" w:hAnsi="Times New Roman"/>
          <w:sz w:val="22"/>
        </w:rPr>
        <w:t xml:space="preserve">  • Ai tham gia V-NAMHS? (Who participated?) — trang 10</w:t>
      </w:r>
    </w:p>
    <w:p>
      <w:r>
        <w:rPr>
          <w:rFonts w:ascii="Times New Roman" w:hAnsi="Times New Roman"/>
          <w:sz w:val="22"/>
        </w:rPr>
        <w:t xml:space="preserve">  • Người tham gia được hỏi những gì? — trang 12</w:t>
      </w:r>
    </w:p>
    <w:p>
      <w:r>
        <w:rPr>
          <w:rFonts w:ascii="Times New Roman" w:hAnsi="Times New Roman"/>
          <w:sz w:val="22"/>
        </w:rPr>
        <w:t xml:space="preserve">  • Khi nào V-NAMHS được tiến hành? — trang 12</w:t>
      </w:r>
    </w:p>
    <w:p>
      <w:r>
        <w:rPr>
          <w:rFonts w:ascii="Times New Roman" w:hAnsi="Times New Roman"/>
          <w:sz w:val="22"/>
        </w:rPr>
        <w:t xml:space="preserve">  • COVID-19 đã tác động như thế nào? — trang 12</w:t>
      </w:r>
    </w:p>
    <w:p>
      <w:r>
        <w:rPr>
          <w:rFonts w:ascii="Times New Roman" w:hAnsi="Times New Roman"/>
          <w:sz w:val="22"/>
        </w:rPr>
        <w:t xml:space="preserve">  • Phạm vi của báo cáo — trang 12</w:t>
      </w:r>
    </w:p>
    <w:p>
      <w:r>
        <w:rPr>
          <w:rFonts w:ascii="Times New Roman" w:hAnsi="Times New Roman"/>
          <w:sz w:val="22"/>
        </w:rPr>
        <w:t>ĐẶC ĐIỂM MẪU (SAMPLE CHARACTERISTICS) — trang 14</w:t>
      </w:r>
    </w:p>
    <w:p>
      <w:r>
        <w:rPr>
          <w:rFonts w:ascii="Times New Roman" w:hAnsi="Times New Roman"/>
          <w:sz w:val="22"/>
        </w:rPr>
        <w:t xml:space="preserve">  • Vị thành niên — trang 14</w:t>
      </w:r>
    </w:p>
    <w:p>
      <w:r>
        <w:rPr>
          <w:rFonts w:ascii="Times New Roman" w:hAnsi="Times New Roman"/>
          <w:sz w:val="22"/>
        </w:rPr>
        <w:t xml:space="preserve">  • Phụ huynh — trang 15</w:t>
      </w:r>
    </w:p>
    <w:p>
      <w:r>
        <w:rPr>
          <w:rFonts w:ascii="Times New Roman" w:hAnsi="Times New Roman"/>
          <w:sz w:val="22"/>
        </w:rPr>
        <w:t>SỨC KHOẺ TÂM THẦN (MENTAL HEALTH) — trang 17</w:t>
      </w:r>
    </w:p>
    <w:p>
      <w:r>
        <w:rPr>
          <w:rFonts w:ascii="Times New Roman" w:hAnsi="Times New Roman"/>
          <w:sz w:val="22"/>
        </w:rPr>
        <w:t xml:space="preserve">  • Tổng quan — trang 17</w:t>
      </w:r>
    </w:p>
    <w:p>
      <w:r>
        <w:rPr>
          <w:rFonts w:ascii="Times New Roman" w:hAnsi="Times New Roman"/>
          <w:sz w:val="22"/>
        </w:rPr>
        <w:t xml:space="preserve">  • Đo lường — trang 18</w:t>
      </w:r>
    </w:p>
    <w:p>
      <w:r>
        <w:rPr>
          <w:rFonts w:ascii="Times New Roman" w:hAnsi="Times New Roman"/>
          <w:sz w:val="22"/>
        </w:rPr>
        <w:t xml:space="preserve">  • Phát hiện — trang 20</w:t>
      </w:r>
    </w:p>
    <w:p>
      <w:r>
        <w:rPr>
          <w:rFonts w:ascii="Times New Roman" w:hAnsi="Times New Roman"/>
          <w:sz w:val="22"/>
        </w:rPr>
        <w:t xml:space="preserve">  • Suy xét (Interpretation, Limitations, Implications) — trang 23</w:t>
      </w:r>
    </w:p>
    <w:p>
      <w:r>
        <w:rPr>
          <w:rFonts w:ascii="Times New Roman" w:hAnsi="Times New Roman"/>
          <w:sz w:val="22"/>
        </w:rPr>
        <w:t>SỬ DỤNG DỊCH VỤ (SERVICE USE) — trang 25</w:t>
      </w:r>
    </w:p>
    <w:p>
      <w:r>
        <w:rPr>
          <w:rFonts w:ascii="Times New Roman" w:hAnsi="Times New Roman"/>
          <w:sz w:val="22"/>
        </w:rPr>
        <w:t xml:space="preserve">  • Tổng quan — trang 25</w:t>
      </w:r>
    </w:p>
    <w:p>
      <w:r>
        <w:rPr>
          <w:rFonts w:ascii="Times New Roman" w:hAnsi="Times New Roman"/>
          <w:sz w:val="22"/>
        </w:rPr>
        <w:t xml:space="preserve">  • Đo lường — trang 26</w:t>
      </w:r>
    </w:p>
    <w:p>
      <w:r>
        <w:rPr>
          <w:rFonts w:ascii="Times New Roman" w:hAnsi="Times New Roman"/>
          <w:sz w:val="22"/>
        </w:rPr>
        <w:t xml:space="preserve">  • Phát hiện — trang 26</w:t>
      </w:r>
    </w:p>
    <w:p>
      <w:r>
        <w:rPr>
          <w:rFonts w:ascii="Times New Roman" w:hAnsi="Times New Roman"/>
          <w:sz w:val="22"/>
        </w:rPr>
        <w:t xml:space="preserve">  • Suy xét — trang 29</w:t>
      </w:r>
    </w:p>
    <w:p>
      <w:r>
        <w:rPr>
          <w:rFonts w:ascii="Times New Roman" w:hAnsi="Times New Roman"/>
          <w:sz w:val="22"/>
        </w:rPr>
        <w:t>COVID-19 — trang 32</w:t>
      </w:r>
    </w:p>
    <w:p>
      <w:r>
        <w:rPr>
          <w:rFonts w:ascii="Times New Roman" w:hAnsi="Times New Roman"/>
          <w:sz w:val="22"/>
        </w:rPr>
        <w:t xml:space="preserve">  • Tổng quan — trang 32</w:t>
      </w:r>
    </w:p>
    <w:p>
      <w:r>
        <w:rPr>
          <w:rFonts w:ascii="Times New Roman" w:hAnsi="Times New Roman"/>
          <w:sz w:val="22"/>
        </w:rPr>
        <w:t xml:space="preserve">  • Đo lường — trang 33</w:t>
      </w:r>
    </w:p>
    <w:p>
      <w:r>
        <w:rPr>
          <w:rFonts w:ascii="Times New Roman" w:hAnsi="Times New Roman"/>
          <w:sz w:val="22"/>
        </w:rPr>
        <w:t xml:space="preserve">  • Phát hiện — trang 33</w:t>
      </w:r>
    </w:p>
    <w:p>
      <w:r>
        <w:rPr>
          <w:rFonts w:ascii="Times New Roman" w:hAnsi="Times New Roman"/>
          <w:sz w:val="22"/>
        </w:rPr>
        <w:t xml:space="preserve">  • Suy xét — trang 34</w:t>
      </w:r>
    </w:p>
    <w:p>
      <w:r>
        <w:rPr>
          <w:rFonts w:ascii="Times New Roman" w:hAnsi="Times New Roman"/>
          <w:sz w:val="22"/>
        </w:rPr>
        <w:t>PHỤ LỤC 1: Các công cụ đo lường (Measures) — trang 36</w:t>
      </w:r>
    </w:p>
    <w:p>
      <w:r>
        <w:rPr>
          <w:rFonts w:ascii="Times New Roman" w:hAnsi="Times New Roman"/>
          <w:sz w:val="22"/>
        </w:rPr>
        <w:t>PHỤ LỤC 2: Phương pháp (Methodology) — trang 38</w:t>
      </w:r>
    </w:p>
    <w:p>
      <w:r>
        <w:rPr>
          <w:rFonts w:ascii="Times New Roman" w:hAnsi="Times New Roman"/>
          <w:sz w:val="22"/>
        </w:rPr>
        <w:t>PHỤ LỤC 3: Thuật ngữ (Glossary) — trang 41</w:t>
      </w:r>
    </w:p>
    <w:p>
      <w:r>
        <w:rPr>
          <w:rFonts w:ascii="Times New Roman" w:hAnsi="Times New Roman"/>
          <w:sz w:val="22"/>
        </w:rPr>
        <w:t>PHỤ LỤC 4: Nhóm nghiên cứu (Research teams) — trang 44</w:t>
      </w:r>
    </w:p>
    <w:p>
      <w:r>
        <w:rPr>
          <w:rFonts w:ascii="Times New Roman" w:hAnsi="Times New Roman"/>
          <w:sz w:val="22"/>
        </w:rPr>
        <w:t>TÀI LIỆU THAM KHẢO (References) — trang 45 (giữ tiếng Anh, APA)</w:t>
      </w:r>
    </w:p>
    <w:p>
      <w:r>
        <w:rPr>
          <w:rFonts w:ascii="Times New Roman" w:hAnsi="Times New Roman"/>
          <w:sz w:val="22"/>
        </w:rPr>
        <w:t>PHẢN BIỆN VÀ ĐÁNH GIÁ (Người dịch) — 7 phần chi tiết + meta-review 2 vòng</w:t>
      </w:r>
    </w:p>
    <w:p/>
    <w:p>
      <w:pPr>
        <w:jc w:val="center"/>
      </w:pPr>
      <w:r>
        <w:rPr>
          <w:rFonts w:ascii="Times New Roman" w:hAnsi="Times New Roman"/>
          <w:i/>
          <w:color w:val="FF6600"/>
          <w:sz w:val="18"/>
        </w:rPr>
        <w:t>--- Trang 7–8, V-NAMHS, UNICEF/IOS 2022 ---</w:t>
      </w:r>
    </w:p>
    <w:p>
      <w:r>
        <w:rPr>
          <w:rFonts w:ascii="Times New Roman" w:hAnsi="Times New Roman"/>
          <w:b/>
          <w:color w:val="1F3A68"/>
          <w:sz w:val="28"/>
        </w:rPr>
        <w:t>TÓM TẮT CHO LÃNH ĐẠO (Executive Summary)</w:t>
      </w:r>
    </w:p>
    <w:p>
      <w:r>
        <w:rPr>
          <w:rFonts w:ascii="Times New Roman" w:hAnsi="Times New Roman"/>
        </w:rPr>
        <w:t>Trên toàn cầu, rối loạn sức khoẻ tâm thần thường khởi phát trong giai đoạn vị thành niên, làm đây là giai đoạn then chốt cho can thiệp sớm. Tuy nhiên, tại Việt Nam, dữ liệu đại diện quốc gia về tỷ lệ rối loạn tâm thần ở VTN gần như không có — các nghiên cứu sẵn có chủ yếu dùng thang sàng lọc trên mẫu nhỏ, khiến hoạch định chính sách thiếu cơ sở bằng chứng vững chắc.</w:t>
      </w:r>
    </w:p>
    <w:p>
      <w:r>
        <w:rPr>
          <w:rFonts w:ascii="Times New Roman" w:hAnsi="Times New Roman"/>
        </w:rPr>
        <w:t>Khảo sát Sức khoẻ Tâm thần Vị thành niên Việt Nam (V-NAMHS) là khảo sát đầu tiên ở Việt Nam sử dụng công cụ chẩn đoán tiêu chuẩn quốc tế — Diagnostic Interview Schedule for Children Version 5 (DISC-5) — để ước tính tỷ lệ rối loạn tâm thần ở vị thành niên 10–17 tuổi theo tiêu chí DSM-5 trên mẫu đại diện quốc gia. V-NAMHS là một phần của khung NAMHS với ba quốc gia: Kenya (K-NAMHS), Indonesia (I-NAMHS) và Việt Nam (V-NAMHS).</w:t>
      </w:r>
    </w:p>
    <w:p>
      <w:r>
        <w:rPr>
          <w:rFonts w:ascii="Times New Roman" w:hAnsi="Times New Roman"/>
        </w:rPr>
        <w:t>Được Viện Xã hội học (IOS, thuộc Viện Hàn lâm KHXH VN) chủ trì phối hợp với The University of Queensland (UQ, Úc) và Johns Hopkins Bloomberg School of Public Health (JHSPH, Mỹ), V-NAMHS đã phỏng vấn 5.996 cặp phụ huynh–vị thành niên tại 38 tỉnh/thành phố trải dài 4 vùng địa lý, bao phủ cả đô thị và nông thôn. Dữ liệu được thu thập từ 21 tháng 9 đến 16 tháng 12 năm 2021, với 127 phỏng vấn viên được đào tạo bài bản. Tỷ lệ trả lời đạt 81,1 %.</w:t>
      </w:r>
    </w:p>
    <w:p>
      <w:r>
        <w:rPr>
          <w:rFonts w:ascii="Times New Roman" w:hAnsi="Times New Roman"/>
          <w:b/>
        </w:rPr>
        <w:t>Các phát hiện chính:</w:t>
      </w:r>
    </w:p>
    <w:p>
      <w:r>
        <w:rPr>
          <w:rFonts w:ascii="Times New Roman" w:hAnsi="Times New Roman"/>
        </w:rPr>
        <w:t>1. 21,7 % vị thành niên 10–17 tuổi có một vấn đề sức khoẻ tâm thần (mental health problem) trong 12 tháng qua (đáp ứng ít nhất một nửa số triệu chứng theo DSM-5).</w:t>
      </w:r>
    </w:p>
    <w:p>
      <w:r>
        <w:rPr>
          <w:rFonts w:ascii="Times New Roman" w:hAnsi="Times New Roman"/>
        </w:rPr>
        <w:t>2. 3,3 % đáp ứng đầy đủ tiêu chí chẩn đoán một rối loạn tâm thần theo DSM-5.</w:t>
      </w:r>
    </w:p>
    <w:p>
      <w:r>
        <w:rPr>
          <w:rFonts w:ascii="Times New Roman" w:hAnsi="Times New Roman"/>
        </w:rPr>
        <w:t>3. Lo âu là vấn đề SKTT phổ biến nhất (18,6 %); rối loạn lo âu là rối loạn phổ biến nhất (2,3 %).</w:t>
      </w:r>
    </w:p>
    <w:p>
      <w:r>
        <w:rPr>
          <w:rFonts w:ascii="Times New Roman" w:hAnsi="Times New Roman"/>
        </w:rPr>
        <w:t>4. Chỉ 8,4 % vị thành niên có vấn đề SKTT đã sử dụng bất kỳ dịch vụ hỗ trợ nào trong 12 tháng qua — khoảng trống điều trị rất lớn.</w:t>
      </w:r>
    </w:p>
    <w:p>
      <w:r>
        <w:rPr>
          <w:rFonts w:ascii="Times New Roman" w:hAnsi="Times New Roman"/>
        </w:rPr>
        <w:t>5. 7,7 % vị thành niên thường xuyên trải qua nhiều vấn đề cảm xúc/hành vi hơn bình thường trong đại dịch COVID-19; 71,5 % hộ gia đình báo cáo giảm thu nhập.</w:t>
      </w:r>
    </w:p>
    <w:p>
      <w:r>
        <w:rPr>
          <w:rFonts w:ascii="Times New Roman" w:hAnsi="Times New Roman"/>
          <w:b/>
        </w:rPr>
        <w:t>Hàm ý chính sách:</w:t>
      </w:r>
    </w:p>
    <w:p>
      <w:r>
        <w:rPr>
          <w:rFonts w:ascii="Times New Roman" w:hAnsi="Times New Roman"/>
        </w:rPr>
        <w:t>• Cần chính sách SKTT quốc gia toàn diện đưa VTN làm nhóm đích cụ thể, bao gồm cả VTN trong và ngoài trường học</w:t>
      </w:r>
    </w:p>
    <w:p>
      <w:r>
        <w:rPr>
          <w:rFonts w:ascii="Times New Roman" w:hAnsi="Times New Roman"/>
        </w:rPr>
        <w:t>• Lồng ghép sàng lọc và chăm sóc SKTT vào dịch vụ y tế ban đầu (mhGAP (Mental Health Gap Action Programme — WHO) WHO) và vào trường học</w:t>
      </w:r>
    </w:p>
    <w:p>
      <w:r>
        <w:rPr>
          <w:rFonts w:ascii="Times New Roman" w:hAnsi="Times New Roman"/>
        </w:rPr>
        <w:t>• Nâng cao mental health literacy cho phụ huynh, giáo viên, nhân viên y tế cộng đồng</w:t>
      </w:r>
    </w:p>
    <w:p>
      <w:r>
        <w:rPr>
          <w:rFonts w:ascii="Times New Roman" w:hAnsi="Times New Roman"/>
        </w:rPr>
        <w:t>• Giảm kỳ thị xã hội và chuẩn hoá đường dẫn tìm kiếm trợ giúp</w:t>
      </w:r>
    </w:p>
    <w:p>
      <w:r>
        <w:rPr>
          <w:rFonts w:ascii="Times New Roman" w:hAnsi="Times New Roman"/>
        </w:rPr>
        <w:t>• Chuẩn bị sẵn dịch vụ dễ tiếp cận (hotline, tư vấn trực tuyến) cho các tình huống khẩn cấp như đại dịch</w:t>
      </w:r>
    </w:p>
    <w:p/>
    <w:p>
      <w:r>
        <w:rPr>
          <w:rFonts w:ascii="Times New Roman" w:hAnsi="Times New Roman"/>
          <w:b/>
          <w:color w:val="1F3A68"/>
          <w:sz w:val="28"/>
        </w:rPr>
        <w:t>GIỚI THIỆU (INTRODUCTION)</w:t>
      </w:r>
    </w:p>
    <w:p>
      <w:pPr>
        <w:jc w:val="center"/>
      </w:pPr>
      <w:r>
        <w:rPr>
          <w:rFonts w:ascii="Times New Roman" w:hAnsi="Times New Roman"/>
          <w:i/>
          <w:color w:val="FF6600"/>
          <w:sz w:val="18"/>
        </w:rPr>
        <w:t>--- Trang 9, V-NAMHS, UNICEF/IOS 2022 ---</w:t>
      </w:r>
    </w:p>
    <w:p>
      <w:r>
        <w:rPr>
          <w:rFonts w:ascii="Times New Roman" w:hAnsi="Times New Roman"/>
          <w:b/>
          <w:color w:val="2E548B"/>
          <w:sz w:val="24"/>
        </w:rPr>
        <w:t>Bối cảnh (Background)</w:t>
      </w:r>
    </w:p>
    <w:p>
      <w:r>
        <w:rPr>
          <w:rFonts w:ascii="Times New Roman" w:hAnsi="Times New Roman"/>
        </w:rPr>
        <w:t>Sức khoẻ tâm thần bao gồm "trạng thái hạnh phúc ở đó một cá nhân nhận ra tiềm năng của chính mình, có thể ứng phó với những căng thẳng bình thường của cuộc sống, có thể làm việc hiệu quả và đóng góp cho cộng đồng của mình" (WHO 2014). Rối loạn SKTT là nguyên nhân hàng đầu gây ra khuyết tật và gánh nặng bệnh tật ở người trẻ trên toàn thế giới (Erskine et al. 2015), với khoảng 50 % các rối loạn SKTT bắt đầu trước 14 tuổi (Kessler et al. 2005). Nếu không được phát hiện và điều trị kịp thời, các rối loạn này có thể kéo dài tới giai đoạn trưởng thành với hậu quả tiêu cực về học tập, xã hội, kinh tế và sức khoẻ thể chất (Erskine et al. 2016, Ormel et al. 2017).</w:t>
      </w:r>
    </w:p>
    <w:p>
      <w:r>
        <w:rPr>
          <w:rFonts w:ascii="Times New Roman" w:hAnsi="Times New Roman"/>
        </w:rPr>
        <w:t>Tại Việt Nam, nghiên cứu về SKTT ở vị thành niên còn rất hạn chế. Một rà soát tài liệu của Samuels và cộng sự (2018) tìm thấy tỷ lệ vấn đề SKTT dao động rộng từ 8 % đến 29 %, phản ánh sự không đồng nhất về phương pháp, công cụ đo, và khung mẫu giữa các nghiên cứu. Nghiên cứu đại diện quốc gia duy nhất trước V-NAMHS là Weiss và cộng sự (2014) đo SKTT ở 1.314 phụ huynh và 591 vị thành niên 6–16 tuổi bằng SDQ, tìm thấy 10,7 % (vị thành niên tự báo cáo) đến 11,9 % (phụ huynh báo cáo) đạt ngưỡng "borderline" cho vấn đề SKTT; CBCL và YSR cho tỷ lệ tương tự. Tuy nhiên, SDQ, CBCL và YSR là thang sàng lọc triệu chứng, không phải công cụ chẩn đoán theo DSM-5, do đó không cho phép ước tính tỷ lệ rối loạn tâm thần cụ thể.</w:t>
      </w:r>
    </w:p>
    <w:p>
      <w:r>
        <w:rPr>
          <w:rFonts w:ascii="Times New Roman" w:hAnsi="Times New Roman"/>
        </w:rPr>
        <w:t>Các nghiên cứu khác chỉ bao phủ một số địa bàn. Ví dụ, Samuels và cộng sự (2018) dùng SDQ trên 402 VTN 12–17 tuổi tại các thành phố (Hà Nội, TP HCM, Điện Biên Phủ, Long Xuyên) và vùng nông thôn (Kéo Lôm, Phú Mỹ), tìm thấy 13,4 % trong nhóm "bất thường". Những nghiên cứu này đóng góp hiểu biết quan trọng nhưng không thể khái quát lên quy mô quốc gia.</w:t>
      </w:r>
    </w:p>
    <w:p>
      <w:r>
        <w:rPr>
          <w:rFonts w:ascii="Times New Roman" w:hAnsi="Times New Roman"/>
        </w:rPr>
        <w:t>Khoảng trống này chính là lý do V-NAMHS được thiết kế: tạo dữ liệu đại diện quốc gia về tỷ lệ các rối loạn tâm thần ở vị thành niên 10–17 tuổi, bằng công cụ chẩn đoán tiêu chuẩn quốc tế DISC-5.</w:t>
      </w:r>
    </w:p>
    <w:p>
      <w:pPr>
        <w:jc w:val="center"/>
      </w:pPr>
      <w:r>
        <w:rPr>
          <w:rFonts w:ascii="Times New Roman" w:hAnsi="Times New Roman"/>
          <w:i/>
          <w:color w:val="FF6600"/>
          <w:sz w:val="18"/>
        </w:rPr>
        <w:t>--- Trang 10, V-NAMHS, UNICEF/IOS 2022 ---</w:t>
      </w:r>
    </w:p>
    <w:p>
      <w:r>
        <w:rPr>
          <w:rFonts w:ascii="Times New Roman" w:hAnsi="Times New Roman"/>
          <w:b/>
          <w:color w:val="2E548B"/>
          <w:sz w:val="24"/>
        </w:rPr>
        <w:t>V-NAMHS là gì?</w:t>
      </w:r>
    </w:p>
    <w:p>
      <w:r>
        <w:rPr>
          <w:rFonts w:ascii="Times New Roman" w:hAnsi="Times New Roman"/>
        </w:rPr>
        <w:t>V-NAMHS là viết tắt của "Viet Nam Adolescent Mental Health Survey" — Khảo sát Sức khoẻ Tâm thần Vị thành niên Việt Nam. Đây là một khảo sát đại diện quốc gia đo lường tỷ lệ mắc rối loạn tâm thần (theo DSM-5) và các vấn đề SKTT ở vị thành niên 10–17 tuổi. V-NAMHS là một trong ba khảo sát quốc gia trong khung NAMHS cùng Kenya (K-NAMHS) và Indonesia (I-NAMHS), do University of Queensland chủ trì khung chung và Johns Hopkins Bloomberg School of Public Health làm phân tích dữ liệu (Erskine et al. 2021).</w:t>
      </w:r>
    </w:p>
    <w:p>
      <w:r>
        <w:rPr>
          <w:rFonts w:ascii="Times New Roman" w:hAnsi="Times New Roman"/>
          <w:b/>
        </w:rPr>
        <w:t>Mục tiêu cụ thể của V-NAMHS:</w:t>
      </w:r>
    </w:p>
    <w:p>
      <w:r>
        <w:rPr>
          <w:rFonts w:ascii="Times New Roman" w:hAnsi="Times New Roman"/>
        </w:rPr>
        <w:t>(1) Ước tính tỷ lệ 12 tháng qua của 6 rối loạn tâm thần (ám ảnh xã hội, rối loạn lo âu tổng quát, rối loạn trầm cảm nặng, PTSD, rối loạn hành vi, ADHD) ở vị thành niên 10–17 tuổi theo DSM-5.</w:t>
      </w:r>
    </w:p>
    <w:p>
      <w:r>
        <w:rPr>
          <w:rFonts w:ascii="Times New Roman" w:hAnsi="Times New Roman"/>
        </w:rPr>
        <w:t>(2) Ước tính tỷ lệ 12 tháng qua của các "vấn đề SKTT" (ở ngưỡng subthreshold — đáp ứng ít nhất nửa số triệu chứng DSM-5).</w:t>
      </w:r>
    </w:p>
    <w:p>
      <w:r>
        <w:rPr>
          <w:rFonts w:ascii="Times New Roman" w:hAnsi="Times New Roman"/>
        </w:rPr>
        <w:t>(3) Đo lường tỷ lệ hành vi tự sát và tự làm hại bản thân.</w:t>
      </w:r>
    </w:p>
    <w:p>
      <w:r>
        <w:rPr>
          <w:rFonts w:ascii="Times New Roman" w:hAnsi="Times New Roman"/>
        </w:rPr>
        <w:t>(4) Xác định tỷ lệ sử dụng dịch vụ, nhu cầu được cảm nhận, và rào cản tiếp cận dịch vụ SKTT.</w:t>
      </w:r>
    </w:p>
    <w:p>
      <w:r>
        <w:rPr>
          <w:rFonts w:ascii="Times New Roman" w:hAnsi="Times New Roman"/>
        </w:rPr>
        <w:t>(5) Đo lường các yếu tố nguy cơ và bảo vệ liên quan đến SKTT VTN (bắt nạt, trường học, gia đình, peer, tình dục, sử dụng chất, ACEs, tự trọng, SKTT cha mẹ).</w:t>
      </w:r>
    </w:p>
    <w:p>
      <w:r>
        <w:rPr>
          <w:rFonts w:ascii="Times New Roman" w:hAnsi="Times New Roman"/>
        </w:rPr>
        <w:t>(6) Đánh giá tác động của đại dịch COVID-19 đối với SKTT VTN và gia đình.</w:t>
      </w:r>
    </w:p>
    <w:p>
      <w:r>
        <w:rPr>
          <w:rFonts w:ascii="Times New Roman" w:hAnsi="Times New Roman"/>
          <w:b/>
          <w:color w:val="2E548B"/>
          <w:sz w:val="24"/>
        </w:rPr>
        <w:t>Ai tổ chức V-NAMHS?</w:t>
      </w:r>
    </w:p>
    <w:p>
      <w:r>
        <w:rPr>
          <w:rFonts w:ascii="Times New Roman" w:hAnsi="Times New Roman"/>
        </w:rPr>
        <w:t>V-NAMHS được thực hiện bởi:</w:t>
      </w:r>
    </w:p>
    <w:p>
      <w:r>
        <w:rPr>
          <w:rFonts w:ascii="Times New Roman" w:hAnsi="Times New Roman"/>
        </w:rPr>
        <w:t>• Viện Xã hội học (IOS) thuộc Viện Hàn lâm Khoa học Xã hội Việt Nam (VASS) — chủ trì tại Việt Nam</w:t>
      </w:r>
    </w:p>
    <w:p>
      <w:r>
        <w:rPr>
          <w:rFonts w:ascii="Times New Roman" w:hAnsi="Times New Roman"/>
        </w:rPr>
        <w:t>• Tổng cục Dân số Kế hoạch hoá gia đình (GOPFP) thuộc Bộ Y tế — phối hợp thực địa</w:t>
      </w:r>
    </w:p>
    <w:p>
      <w:r>
        <w:rPr>
          <w:rFonts w:ascii="Times New Roman" w:hAnsi="Times New Roman"/>
        </w:rPr>
        <w:t>• The University of Queensland (UQ), Úc — Principal Investigator: TS Holly Erskine; Prof Harvey Whiteford, Prof James Scott</w:t>
      </w:r>
    </w:p>
    <w:p>
      <w:r>
        <w:rPr>
          <w:rFonts w:ascii="Times New Roman" w:hAnsi="Times New Roman"/>
        </w:rPr>
        <w:t>• Johns Hopkins Bloomberg School of Public Health (JHSPH), Mỹ — Project Lead: Prof Robert Blum</w:t>
      </w:r>
    </w:p>
    <w:p>
      <w:r>
        <w:rPr>
          <w:rFonts w:ascii="Times New Roman" w:hAnsi="Times New Roman"/>
        </w:rPr>
        <w:t>• Với sự tài trợ của UBS Optimus Foundation và Boroughs Charitable Trust</w:t>
      </w:r>
    </w:p>
    <w:p>
      <w:r>
        <w:rPr>
          <w:rFonts w:ascii="Times New Roman" w:hAnsi="Times New Roman"/>
          <w:b/>
          <w:color w:val="2E548B"/>
          <w:sz w:val="24"/>
        </w:rPr>
        <w:t>Ai tham gia V-NAMHS?</w:t>
      </w:r>
    </w:p>
    <w:p>
      <w:r>
        <w:rPr>
          <w:rFonts w:ascii="Times New Roman" w:hAnsi="Times New Roman"/>
        </w:rPr>
        <w:t>Đối tượng tham gia là các cặp phụ huynh–vị thành niên 10–17 tuổi tại các hộ gia đình được chọn ngẫu nhiên. "Phụ huynh" ở đây được định nghĩa là người chăm sóc chính của vị thành niên (primary caregiver) — người có trách nhiệm chăm sóc và có thể cung cấp thông tin tốt nhất về em. "Vị thành niên" được giới hạn ở 10–17 tuổi (thay vì 10–19 theo WHO) vì các em 18–19 tuổi thường đã sống độc lập và DISC-5 không thiết kế cho người ≥ 18 tuổi.</w:t>
      </w:r>
    </w:p>
    <w:p>
      <w:r>
        <w:rPr>
          <w:rFonts w:ascii="Times New Roman" w:hAnsi="Times New Roman"/>
        </w:rPr>
        <w:t>Tiêu chí loại trừ:</w:t>
      </w:r>
    </w:p>
    <w:p>
      <w:r>
        <w:rPr>
          <w:rFonts w:ascii="Times New Roman" w:hAnsi="Times New Roman"/>
        </w:rPr>
        <w:t>• Hộ gia đình không có vị thành niên 10–17 tuổi</w:t>
      </w:r>
    </w:p>
    <w:p>
      <w:r>
        <w:rPr>
          <w:rFonts w:ascii="Times New Roman" w:hAnsi="Times New Roman"/>
        </w:rPr>
        <w:t>• Vị thành niên hoặc phụ huynh không nói tiếng Việt</w:t>
      </w:r>
    </w:p>
    <w:p>
      <w:r>
        <w:rPr>
          <w:rFonts w:ascii="Times New Roman" w:hAnsi="Times New Roman"/>
        </w:rPr>
        <w:t>• Không có phụ huynh sống tại địa chỉ</w:t>
      </w:r>
    </w:p>
    <w:p>
      <w:r>
        <w:rPr>
          <w:rFonts w:ascii="Times New Roman" w:hAnsi="Times New Roman"/>
        </w:rPr>
        <w:t>• Hộ gia đình hoặc phụ huynh không đồng ý tham gia</w:t>
      </w:r>
    </w:p>
    <w:p>
      <w:r>
        <w:rPr>
          <w:rFonts w:ascii="Times New Roman" w:hAnsi="Times New Roman"/>
        </w:rPr>
        <w:t>• Vị thành niên không thể tham gia do khuyết tật thể chất hoặc nhận thức nghiêm trọng (theo đánh giá chuẩn)</w:t>
      </w:r>
    </w:p>
    <w:p>
      <w:pPr>
        <w:jc w:val="center"/>
      </w:pPr>
      <w:r>
        <w:rPr>
          <w:rFonts w:ascii="Times New Roman" w:hAnsi="Times New Roman"/>
          <w:i/>
          <w:color w:val="FF6600"/>
          <w:sz w:val="18"/>
        </w:rPr>
        <w:t>--- Trang 11, V-NAMHS, UNICEF/IOS 2022 ---</w:t>
      </w:r>
    </w:p>
    <w:p>
      <w:r>
        <w:rPr>
          <w:rFonts w:ascii="Times New Roman" w:hAnsi="Times New Roman"/>
          <w:b/>
          <w:color w:val="2E548B"/>
          <w:sz w:val="24"/>
        </w:rPr>
        <w:t>Tuyển mẫu — Bảng 1</w:t>
      </w:r>
    </w:p>
    <w:p>
      <w:r>
        <w:rPr>
          <w:rFonts w:ascii="Times New Roman" w:hAnsi="Times New Roman"/>
        </w:rPr>
        <w:t>Như thể hiện trong Bảng 1, tổng 7.599 hộ gia đình từ 38 tỉnh trên cả nước được chọn ngẫu nhiên để tiếp cận (theo khung mẫu trình bày ở Phụ lục 2). Trong đó, 6.048 hộ đủ tiêu chuẩn và đồng ý tham gia — tỷ lệ trả lời tổng đạt 81,1 % (tính bằng tỷ lệ số hộ tham gia đủ tiêu chuẩn [n = 6.048] trên tổng số hộ sau khi loại trừ không đủ tiêu chuẩn [n = 7.461]). Đồng ý tham gia (informed consent và assent) được lấy riêng từ phụ huynh và vị thành niên. Phỏng vấn phụ huynh và vị thành niên được tiến hành tách biệt và tại nơi riêng tư để tránh ảnh hưởng. 52 hộ có dữ liệu không đầy đủ đã bị loại. Mẫu V-NAMHS cuối cùng gồm 5.996 cặp phụ huynh–vị thành niên.</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Chỉ tiêu</w:t>
            </w:r>
          </w:p>
        </w:tc>
        <w:tc>
          <w:tcPr>
            <w:tcW w:type="dxa" w:w="4320"/>
            <w:shd w:fill="D9E1F2"/>
          </w:tcPr>
          <w:p>
            <w:r/>
            <w:r>
              <w:rPr>
                <w:rFonts w:ascii="Times New Roman" w:hAnsi="Times New Roman"/>
                <w:b/>
                <w:sz w:val="20"/>
              </w:rPr>
              <w:t>Số lượng</w:t>
            </w:r>
          </w:p>
        </w:tc>
      </w:tr>
      <w:tr>
        <w:tc>
          <w:tcPr>
            <w:tcW w:type="dxa" w:w="4320"/>
          </w:tcPr>
          <w:p>
            <w:r/>
            <w:r>
              <w:rPr>
                <w:rFonts w:ascii="Times New Roman" w:hAnsi="Times New Roman"/>
                <w:sz w:val="20"/>
              </w:rPr>
              <w:t>Tổng số hộ gia đình trong phạm vi tiếp cận</w:t>
            </w:r>
          </w:p>
        </w:tc>
        <w:tc>
          <w:tcPr>
            <w:tcW w:type="dxa" w:w="4320"/>
          </w:tcPr>
          <w:p>
            <w:r/>
            <w:r>
              <w:rPr>
                <w:rFonts w:ascii="Times New Roman" w:hAnsi="Times New Roman"/>
                <w:sz w:val="20"/>
              </w:rPr>
              <w:t>7.599</w:t>
            </w:r>
          </w:p>
        </w:tc>
      </w:tr>
      <w:tr>
        <w:tc>
          <w:tcPr>
            <w:tcW w:type="dxa" w:w="4320"/>
          </w:tcPr>
          <w:p>
            <w:r/>
            <w:r>
              <w:rPr>
                <w:rFonts w:ascii="Times New Roman" w:hAnsi="Times New Roman"/>
                <w:sz w:val="20"/>
              </w:rPr>
              <w:t>Tổng số hộ không được tiếp cận hoặc không sẵn có</w:t>
            </w:r>
          </w:p>
        </w:tc>
        <w:tc>
          <w:tcPr>
            <w:tcW w:type="dxa" w:w="4320"/>
          </w:tcPr>
          <w:p>
            <w:r/>
            <w:r>
              <w:rPr>
                <w:rFonts w:ascii="Times New Roman" w:hAnsi="Times New Roman"/>
                <w:sz w:val="20"/>
              </w:rPr>
              <w:t>502</w:t>
            </w:r>
          </w:p>
        </w:tc>
      </w:tr>
      <w:tr>
        <w:tc>
          <w:tcPr>
            <w:tcW w:type="dxa" w:w="4320"/>
          </w:tcPr>
          <w:p>
            <w:r/>
            <w:r>
              <w:rPr>
                <w:rFonts w:ascii="Times New Roman" w:hAnsi="Times New Roman"/>
                <w:sz w:val="20"/>
              </w:rPr>
              <w:t>Tổng số hộ từ chối tham gia</w:t>
            </w:r>
          </w:p>
        </w:tc>
        <w:tc>
          <w:tcPr>
            <w:tcW w:type="dxa" w:w="4320"/>
          </w:tcPr>
          <w:p>
            <w:r/>
            <w:r>
              <w:rPr>
                <w:rFonts w:ascii="Times New Roman" w:hAnsi="Times New Roman"/>
                <w:sz w:val="20"/>
              </w:rPr>
              <w:t>911</w:t>
            </w:r>
          </w:p>
        </w:tc>
      </w:tr>
      <w:tr>
        <w:tc>
          <w:tcPr>
            <w:tcW w:type="dxa" w:w="4320"/>
          </w:tcPr>
          <w:p>
            <w:r/>
            <w:r>
              <w:rPr>
                <w:rFonts w:ascii="Times New Roman" w:hAnsi="Times New Roman"/>
                <w:sz w:val="20"/>
              </w:rPr>
              <w:t>Tổng số hộ không đủ tiêu chuẩn</w:t>
            </w:r>
          </w:p>
        </w:tc>
        <w:tc>
          <w:tcPr>
            <w:tcW w:type="dxa" w:w="4320"/>
          </w:tcPr>
          <w:p>
            <w:r/>
            <w:r>
              <w:rPr>
                <w:rFonts w:ascii="Times New Roman" w:hAnsi="Times New Roman"/>
                <w:sz w:val="20"/>
              </w:rPr>
              <w:t>138</w:t>
            </w:r>
          </w:p>
        </w:tc>
      </w:tr>
      <w:tr>
        <w:tc>
          <w:tcPr>
            <w:tcW w:type="dxa" w:w="4320"/>
          </w:tcPr>
          <w:p>
            <w:r/>
            <w:r>
              <w:rPr>
                <w:rFonts w:ascii="Times New Roman" w:hAnsi="Times New Roman"/>
                <w:sz w:val="20"/>
              </w:rPr>
              <w:t>Tổng số hộ tham gia đủ tiêu chuẩn</w:t>
            </w:r>
          </w:p>
        </w:tc>
        <w:tc>
          <w:tcPr>
            <w:tcW w:type="dxa" w:w="4320"/>
          </w:tcPr>
          <w:p>
            <w:r/>
            <w:r>
              <w:rPr>
                <w:rFonts w:ascii="Times New Roman" w:hAnsi="Times New Roman"/>
                <w:sz w:val="20"/>
              </w:rPr>
              <w:t>6.048</w:t>
            </w:r>
          </w:p>
        </w:tc>
      </w:tr>
      <w:tr>
        <w:tc>
          <w:tcPr>
            <w:tcW w:type="dxa" w:w="4320"/>
          </w:tcPr>
          <w:p>
            <w:r/>
            <w:r>
              <w:rPr>
                <w:rFonts w:ascii="Times New Roman" w:hAnsi="Times New Roman"/>
                <w:sz w:val="20"/>
              </w:rPr>
              <w:t>Tổng số hộ có dữ liệu không đầy đủ</w:t>
            </w:r>
          </w:p>
        </w:tc>
        <w:tc>
          <w:tcPr>
            <w:tcW w:type="dxa" w:w="4320"/>
          </w:tcPr>
          <w:p>
            <w:r/>
            <w:r>
              <w:rPr>
                <w:rFonts w:ascii="Times New Roman" w:hAnsi="Times New Roman"/>
                <w:sz w:val="20"/>
              </w:rPr>
              <w:t>52</w:t>
            </w:r>
          </w:p>
        </w:tc>
      </w:tr>
      <w:tr>
        <w:tc>
          <w:tcPr>
            <w:tcW w:type="dxa" w:w="4320"/>
          </w:tcPr>
          <w:p>
            <w:r/>
            <w:r>
              <w:rPr>
                <w:rFonts w:ascii="Times New Roman" w:hAnsi="Times New Roman"/>
                <w:sz w:val="20"/>
              </w:rPr>
              <w:t>Tổng số hộ có dữ liệu hoàn chỉnh (mẫu cuối cùng)</w:t>
            </w:r>
          </w:p>
        </w:tc>
        <w:tc>
          <w:tcPr>
            <w:tcW w:type="dxa" w:w="4320"/>
          </w:tcPr>
          <w:p>
            <w:r/>
            <w:r>
              <w:rPr>
                <w:rFonts w:ascii="Times New Roman" w:hAnsi="Times New Roman"/>
                <w:sz w:val="20"/>
              </w:rPr>
              <w:t>5.996</w:t>
            </w:r>
          </w:p>
        </w:tc>
      </w:tr>
    </w:tbl>
    <w:p>
      <w:r>
        <w:rPr>
          <w:rFonts w:ascii="Times New Roman" w:hAnsi="Times New Roman"/>
          <w:i/>
          <w:color w:val="666666"/>
          <w:sz w:val="18"/>
        </w:rPr>
        <w:t>Bảng 1. Tuyển mẫu cho V-NAMHS. Nguồn: Bảng 1 báo cáo gốc, trang 11.</w:t>
      </w:r>
    </w:p>
    <w:p>
      <w:pPr>
        <w:jc w:val="center"/>
      </w:pPr>
      <w:r>
        <w:drawing>
          <wp:inline xmlns:a="http://schemas.openxmlformats.org/drawingml/2006/main" xmlns:pic="http://schemas.openxmlformats.org/drawingml/2006/picture">
            <wp:extent cx="3960000" cy="2081412"/>
            <wp:docPr id="2" name="Picture 2"/>
            <wp:cNvGraphicFramePr>
              <a:graphicFrameLocks noChangeAspect="1"/>
            </wp:cNvGraphicFramePr>
            <a:graphic>
              <a:graphicData uri="http://schemas.openxmlformats.org/drawingml/2006/picture">
                <pic:pic>
                  <pic:nvPicPr>
                    <pic:cNvPr id="0" name="p011_img1_Image196.jpg"/>
                    <pic:cNvPicPr/>
                  </pic:nvPicPr>
                  <pic:blipFill>
                    <a:blip r:embed="rId10"/>
                    <a:stretch>
                      <a:fillRect/>
                    </a:stretch>
                  </pic:blipFill>
                  <pic:spPr>
                    <a:xfrm>
                      <a:off x="0" y="0"/>
                      <a:ext cx="3960000" cy="2081412"/>
                    </a:xfrm>
                    <a:prstGeom prst="rect"/>
                  </pic:spPr>
                </pic:pic>
              </a:graphicData>
            </a:graphic>
          </wp:inline>
        </w:drawing>
      </w:r>
    </w:p>
    <w:p>
      <w:pPr>
        <w:jc w:val="center"/>
      </w:pPr>
      <w:r>
        <w:rPr>
          <w:rFonts w:ascii="Times New Roman" w:hAnsi="Times New Roman"/>
          <w:i/>
          <w:color w:val="666666"/>
          <w:sz w:val="18"/>
        </w:rPr>
        <w:t>Hình minh hoạ Chương Giới thiệu</w:t>
        <w:br/>
        <w:t>(Chapter divider — Introduction section)</w:t>
      </w:r>
    </w:p>
    <w:p>
      <w:pPr>
        <w:jc w:val="center"/>
      </w:pPr>
      <w:r>
        <w:rPr>
          <w:rFonts w:ascii="Times New Roman" w:hAnsi="Times New Roman"/>
          <w:i/>
          <w:color w:val="FF6600"/>
          <w:sz w:val="18"/>
        </w:rPr>
        <w:t>--- Trang 12, V-NAMHS, UNICEF/IOS 2022 ---</w:t>
      </w:r>
    </w:p>
    <w:p>
      <w:r>
        <w:rPr>
          <w:rFonts w:ascii="Times New Roman" w:hAnsi="Times New Roman"/>
          <w:b/>
          <w:color w:val="2E548B"/>
          <w:sz w:val="24"/>
        </w:rPr>
        <w:t>Người tham gia được hỏi những gì?</w:t>
      </w:r>
    </w:p>
    <w:p>
      <w:r>
        <w:rPr>
          <w:rFonts w:ascii="Times New Roman" w:hAnsi="Times New Roman"/>
        </w:rPr>
        <w:t>Rối loạn tâm thần được đánh giá bằng công cụ chẩn đoán được thiết kế riêng cho trẻ em và vị thành niên: Diagnostic Interview Schedule for Children, Version 5 (DISC-5) (Bitsko et al. 2019, Shaffer et al. 2000). Các rối loạn được đo trong V-NAMHS gồm: ám ảnh xã hội (social phobia), rối loạn lo âu tổng quát (generalised anxiety disorder), rối loạn trầm cảm nặng (major depressive disorder), rối loạn căng thẳng sau sang chấn (PTSD), rối loạn hành vi (conduct disorder) và rối loạn tăng động giảm chú ý (ADHD). Trong báo cáo này, ám ảnh xã hội và rối loạn lo âu tổng quát được gộp chung dưới tên "các rối loạn lo âu" (anxiety disorders).</w:t>
      </w:r>
    </w:p>
    <w:p>
      <w:r>
        <w:rPr>
          <w:rFonts w:ascii="Times New Roman" w:hAnsi="Times New Roman"/>
        </w:rPr>
        <w:t>V-NAMHS cũng đo các yếu tố nguy cơ và bảo vệ liên quan đến SKTT VTN, bao gồm (nhưng không giới hạn): bắt nạt, trường học và giáo dục, quan hệ peer và gia đình, hành vi tình dục, sử dụng chất, trải nghiệm bất lợi thời thơ ấu (ACEs), bệnh tâm thần của cha mẹ, và tự trọng (self-esteem). Các câu hỏi về sử dụng dịch vụ tập trung vào mức độ sử dụng, nhu cầu được cảm nhận và rào cản tiếp cận dịch vụ. Một module riêng đánh giá trải nghiệm liên quan COVID-19 cũng được phát triển và bao gồm. Tất cả các công cụ được điều chỉnh thông qua quá trình hợp tác với các đối tác NAMHS quốc tế (Erskine et al. 2021). Danh sách đầy đủ các công cụ có ở Phụ lục 1.</w:t>
      </w:r>
    </w:p>
    <w:p>
      <w:r>
        <w:rPr>
          <w:rFonts w:ascii="Times New Roman" w:hAnsi="Times New Roman"/>
        </w:rPr>
        <w:t>Các công cụ ban đầu được phát triển bằng tiếng Anh, dịch sang tiếng Việt, rồi dịch ngược lại tiếng Anh để kiểm tra tính nhất quán và chính xác về khái niệm, tức bảo đảm nghĩa của câu hỏi vẫn nhất quán với phiên bản tiếng Anh gốc. Bản dịch cũng được các bác sĩ lâm sàng Việt Nam, những người tham gia tập huấn, và nhóm V-NAMHS rà soát liên tục trong suốt giai đoạn phát triển công cụ trước khi thu thập dữ liệu.</w:t>
      </w:r>
    </w:p>
    <w:p>
      <w:r>
        <w:rPr>
          <w:rFonts w:ascii="Times New Roman" w:hAnsi="Times New Roman"/>
          <w:b/>
          <w:color w:val="2E548B"/>
          <w:sz w:val="24"/>
        </w:rPr>
        <w:t>Khi nào V-NAMHS được tiến hành?</w:t>
      </w:r>
    </w:p>
    <w:p>
      <w:r>
        <w:rPr>
          <w:rFonts w:ascii="Times New Roman" w:hAnsi="Times New Roman"/>
        </w:rPr>
        <w:t>Thu thập dữ liệu cho V-NAMHS diễn ra từ ngày 21 tháng 9 năm 2021 đến 16 tháng 12 năm 2021, bắt đầu ở miền Bắc và di chuyển vào miền Nam. Tổng cộng 127 phỏng vấn viên được đào tạo đã thu thập dữ liệu tại 38 tỉnh được chọn.</w:t>
      </w:r>
    </w:p>
    <w:p>
      <w:r>
        <w:rPr>
          <w:rFonts w:ascii="Times New Roman" w:hAnsi="Times New Roman"/>
          <w:b/>
          <w:color w:val="2E548B"/>
          <w:sz w:val="24"/>
        </w:rPr>
        <w:t>COVID-19 đã tác động V-NAMHS như thế nào?</w:t>
      </w:r>
    </w:p>
    <w:p>
      <w:r>
        <w:rPr>
          <w:rFonts w:ascii="Times New Roman" w:hAnsi="Times New Roman"/>
        </w:rPr>
        <w:t>COVID-19 đã tác động tới lịch trình dự kiến của V-NAMHS. Thu thập dữ liệu ban đầu dự kiến bắt đầu tháng 6 năm 2020 nhưng đã bị hoãn một năm sang tháng 6 năm 2021 do COVID-19. Tuy nhiên, đợt bùng phát COVID-19 tại các tỉnh phía Nam vào giữa năm 2021 khiến cả công tác chuẩn bị (đào tạo) và thu thập dữ liệu bị trì hoãn thêm.</w:t>
      </w:r>
    </w:p>
    <w:p>
      <w:r>
        <w:rPr>
          <w:rFonts w:ascii="Times New Roman" w:hAnsi="Times New Roman"/>
        </w:rPr>
        <w:t>Ở đỉnh điểm đại dịch COVID-19, việc di chuyển giữa các tỉnh bị hạn chế. Đào tạo phỏng vấn viên, giám sát và hỗ trợ kỹ thuật được nhóm V-NAMHS tại IOS cung cấp trực tuyến. Điều này gia tăng phụ thuộc vào năng lực của mỗi phỏng vấn viên trong khi số lượng phỏng vấn viên cần thiết cao hơn dự kiến do hạn chế di chuyển và yêu cầu phỏng vấn viên phải là người địa phương. Để giải quyết, các buổi đào tạo bổ sung (refresher training) được tổ chức, bao gồm nội dung công cụ, phương pháp tiếp cận hộ gia đình được chọn, và các biện pháp bảo đảm an toàn cho cả phỏng vấn viên và người tham gia. Mọi nỗ lực được thực hiện để bảo đảm chất lượng dữ liệu, với quy trình giám sát và kiểm tra chất lượng toàn diện dưới sự hỗ trợ của JHSPH và UQ. Sự trì hoãn cũng tạo cơ hội phát triển và đưa vào module COVID-19 để đánh giá tác động của đại dịch lên vị thành niên và gia đình. Thu thập dữ liệu cuối cùng bắt đầu vào tháng 9 năm 2021 ở miền Bắc, tiếp theo là miền Nam vào cuối năm 2021 khi tình hình COVID-19 cho phép.</w:t>
      </w:r>
    </w:p>
    <w:p>
      <w:r>
        <w:rPr>
          <w:rFonts w:ascii="Times New Roman" w:hAnsi="Times New Roman"/>
          <w:b/>
          <w:color w:val="2E548B"/>
          <w:sz w:val="24"/>
        </w:rPr>
        <w:t>Phạm vi của báo cáo</w:t>
      </w:r>
    </w:p>
    <w:p>
      <w:r>
        <w:rPr>
          <w:rFonts w:ascii="Times New Roman" w:hAnsi="Times New Roman"/>
        </w:rPr>
        <w:t>Báo cáo này trình bày các phát hiện chính của V-NAMHS phản ánh mục tiêu cốt lõi của nghiên cứu và phù hợp với các bên liên quan tại Việt Nam. Báo cáo có ba chương chính: sức khoẻ tâm thần (gồm hành vi tự sát và tự làm hại bản thân), sử dụng dịch vụ, và COVID-19. Đặc điểm mẫu (thông tin nhân khẩu) được bao gồm trong khi các thông tin khác liên quan đến phương pháp và tiến hành khảo sát nằm ở Phụ lục 2. Trừ khi được nêu rõ, tất cả kết quả (tỷ lệ và số lượng) đều được gia trọng (weighted) để đại diện cho phân bố tuổi–giới và đô thị–nông thôn của quần thể VTN Việt Nam 10–17 tuổi. Dù các phép kiểm định ý nghĩa thống kê không được đưa vào báo cáo, những khác biệt có ý nghĩa thống kê đã được làm nổi bật trong bảng hoặc văn bản tương ứng. Chỉ những khác biệt có ý nghĩa thống kê mới được thảo luận trong văn bản.</w:t>
      </w:r>
    </w:p>
    <w:p>
      <w:pPr>
        <w:jc w:val="center"/>
      </w:pPr>
      <w:r>
        <w:rPr>
          <w:rFonts w:ascii="Times New Roman" w:hAnsi="Times New Roman"/>
          <w:i/>
          <w:color w:val="FF6600"/>
          <w:sz w:val="18"/>
        </w:rPr>
        <w:t>--- Trang 13, V-NAMHS, UNICEF/IOS 2022 ---</w:t>
      </w:r>
    </w:p>
    <w:p>
      <w:pPr>
        <w:jc w:val="center"/>
      </w:pPr>
      <w:r>
        <w:rPr>
          <w:rFonts w:ascii="Times New Roman" w:hAnsi="Times New Roman"/>
          <w:i/>
          <w:color w:val="FF6600"/>
          <w:sz w:val="18"/>
        </w:rPr>
        <w:t>--- Trang 14, V-NAMHS, UNICEF/IOS 2022 ---</w:t>
      </w:r>
    </w:p>
    <w:p>
      <w:r>
        <w:rPr>
          <w:rFonts w:ascii="Times New Roman" w:hAnsi="Times New Roman"/>
          <w:b/>
          <w:color w:val="1F3A68"/>
          <w:sz w:val="28"/>
        </w:rPr>
        <w:t>ĐẶC ĐIỂM MẪU (SAMPLE CHARACTERISTICS)</w:t>
      </w:r>
    </w:p>
    <w:p>
      <w:r>
        <w:rPr>
          <w:rFonts w:ascii="Times New Roman" w:hAnsi="Times New Roman"/>
        </w:rPr>
        <w:t>Bảng 2 và 3 trình bày đặc điểm nhân khẩu của mẫu vị thành niên; Bảng 4 trình bày đặc điểm nhân khẩu của mẫu phụ huynh. Tất cả kết quả trong các bảng này chưa được gia trọng (unweighted). Mọi thông tin nhân khẩu do phụ huynh báo cáo và được nhập vào mẫu thu thập dữ liệu vị thành niên trước khi phỏng vấn vị thành niên. Khi có sự không khớp giữa mẫu phụ huynh và vị thành niên, xử lý theo phương pháp đã định sẵn.</w:t>
      </w:r>
    </w:p>
    <w:p>
      <w:r>
        <w:rPr>
          <w:rFonts w:ascii="Times New Roman" w:hAnsi="Times New Roman"/>
          <w:b/>
          <w:color w:val="2E548B"/>
          <w:sz w:val="24"/>
        </w:rPr>
        <w:t>Vị thành niên</w:t>
      </w:r>
    </w:p>
    <w:p>
      <w:r>
        <w:rPr>
          <w:rFonts w:ascii="Times New Roman" w:hAnsi="Times New Roman"/>
        </w:rPr>
        <w:t>Bảng 2 trình bày tuổi và giới tính của vị thành niên tham gia khảo sát (n = 5.996). Tuổi trung bình của người tham gia là 13,3 năm, trong đó các em trẻ hơn (10–13 tuổi) chiếm hơn một nửa (54,2 %) mẫu vị thành niên. Về giới tính, mẫu có nhiều nữ (52,6 %) hơn nam (47,5 %). [LƯU Ý BIÊN TẬP: tỷ lệ nam/nữ tổng trong Bảng 2 gốc là 52,6 % nam và 47,5 % nữ — có khả năng nhầm lẫn cột trong bản gốc; tuy nhiên để trung thành nguồn, giữ nguyên số liệu gốc.]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
              <w:rPr>
                <w:rFonts w:ascii="Times New Roman" w:hAnsi="Times New Roman"/>
                <w:b/>
                <w:sz w:val="20"/>
              </w:rPr>
              <w:t>Tuổi (năm)</w:t>
            </w:r>
          </w:p>
        </w:tc>
        <w:tc>
          <w:tcPr>
            <w:tcW w:type="dxa" w:w="1234"/>
            <w:shd w:fill="D9E1F2"/>
          </w:tcPr>
          <w:p>
            <w:r/>
            <w:r>
              <w:rPr>
                <w:rFonts w:ascii="Times New Roman" w:hAnsi="Times New Roman"/>
                <w:b/>
                <w:sz w:val="20"/>
              </w:rPr>
              <w:t>% Nam</w:t>
            </w:r>
          </w:p>
        </w:tc>
        <w:tc>
          <w:tcPr>
            <w:tcW w:type="dxa" w:w="1234"/>
            <w:shd w:fill="D9E1F2"/>
          </w:tcPr>
          <w:p>
            <w:r/>
            <w:r>
              <w:rPr>
                <w:rFonts w:ascii="Times New Roman" w:hAnsi="Times New Roman"/>
                <w:b/>
                <w:sz w:val="20"/>
              </w:rPr>
              <w:t>n Nam</w:t>
            </w:r>
          </w:p>
        </w:tc>
        <w:tc>
          <w:tcPr>
            <w:tcW w:type="dxa" w:w="1234"/>
            <w:shd w:fill="D9E1F2"/>
          </w:tcPr>
          <w:p>
            <w:r/>
            <w:r>
              <w:rPr>
                <w:rFonts w:ascii="Times New Roman" w:hAnsi="Times New Roman"/>
                <w:b/>
                <w:sz w:val="20"/>
              </w:rPr>
              <w:t>% Nữ</w:t>
            </w:r>
          </w:p>
        </w:tc>
        <w:tc>
          <w:tcPr>
            <w:tcW w:type="dxa" w:w="1234"/>
            <w:shd w:fill="D9E1F2"/>
          </w:tcPr>
          <w:p>
            <w:r/>
            <w:r>
              <w:rPr>
                <w:rFonts w:ascii="Times New Roman" w:hAnsi="Times New Roman"/>
                <w:b/>
                <w:sz w:val="20"/>
              </w:rPr>
              <w:t>n Nữ</w:t>
            </w:r>
          </w:p>
        </w:tc>
        <w:tc>
          <w:tcPr>
            <w:tcW w:type="dxa" w:w="1234"/>
            <w:shd w:fill="D9E1F2"/>
          </w:tcPr>
          <w:p>
            <w:r/>
            <w:r>
              <w:rPr>
                <w:rFonts w:ascii="Times New Roman" w:hAnsi="Times New Roman"/>
                <w:b/>
                <w:sz w:val="20"/>
              </w:rPr>
              <w:t>% Tổng</w:t>
            </w:r>
          </w:p>
        </w:tc>
        <w:tc>
          <w:tcPr>
            <w:tcW w:type="dxa" w:w="1234"/>
            <w:shd w:fill="D9E1F2"/>
          </w:tcPr>
          <w:p>
            <w:r/>
            <w:r>
              <w:rPr>
                <w:rFonts w:ascii="Times New Roman" w:hAnsi="Times New Roman"/>
                <w:b/>
                <w:sz w:val="20"/>
              </w:rPr>
              <w:t>n Tổng</w:t>
            </w:r>
          </w:p>
        </w:tc>
      </w:tr>
      <w:tr>
        <w:tc>
          <w:tcPr>
            <w:tcW w:type="dxa" w:w="1234"/>
          </w:tcPr>
          <w:p>
            <w:r/>
            <w:r>
              <w:rPr>
                <w:rFonts w:ascii="Times New Roman" w:hAnsi="Times New Roman"/>
                <w:sz w:val="20"/>
              </w:rPr>
              <w:t>10–13</w:t>
            </w:r>
          </w:p>
        </w:tc>
        <w:tc>
          <w:tcPr>
            <w:tcW w:type="dxa" w:w="1234"/>
          </w:tcPr>
          <w:p>
            <w:r/>
            <w:r>
              <w:rPr>
                <w:rFonts w:ascii="Times New Roman" w:hAnsi="Times New Roman"/>
                <w:sz w:val="20"/>
              </w:rPr>
              <w:t>28,5</w:t>
            </w:r>
          </w:p>
        </w:tc>
        <w:tc>
          <w:tcPr>
            <w:tcW w:type="dxa" w:w="1234"/>
          </w:tcPr>
          <w:p>
            <w:r/>
            <w:r>
              <w:rPr>
                <w:rFonts w:ascii="Times New Roman" w:hAnsi="Times New Roman"/>
                <w:sz w:val="20"/>
              </w:rPr>
              <w:t>1.709</w:t>
            </w:r>
          </w:p>
        </w:tc>
        <w:tc>
          <w:tcPr>
            <w:tcW w:type="dxa" w:w="1234"/>
          </w:tcPr>
          <w:p>
            <w:r/>
            <w:r>
              <w:rPr>
                <w:rFonts w:ascii="Times New Roman" w:hAnsi="Times New Roman"/>
                <w:sz w:val="20"/>
              </w:rPr>
              <w:t>25,7</w:t>
            </w:r>
          </w:p>
        </w:tc>
        <w:tc>
          <w:tcPr>
            <w:tcW w:type="dxa" w:w="1234"/>
          </w:tcPr>
          <w:p>
            <w:r/>
            <w:r>
              <w:rPr>
                <w:rFonts w:ascii="Times New Roman" w:hAnsi="Times New Roman"/>
                <w:sz w:val="20"/>
              </w:rPr>
              <w:t>1.539</w:t>
            </w:r>
          </w:p>
        </w:tc>
        <w:tc>
          <w:tcPr>
            <w:tcW w:type="dxa" w:w="1234"/>
          </w:tcPr>
          <w:p>
            <w:r/>
            <w:r>
              <w:rPr>
                <w:rFonts w:ascii="Times New Roman" w:hAnsi="Times New Roman"/>
                <w:sz w:val="20"/>
              </w:rPr>
              <w:t>54,2</w:t>
            </w:r>
          </w:p>
        </w:tc>
        <w:tc>
          <w:tcPr>
            <w:tcW w:type="dxa" w:w="1234"/>
          </w:tcPr>
          <w:p>
            <w:r/>
            <w:r>
              <w:rPr>
                <w:rFonts w:ascii="Times New Roman" w:hAnsi="Times New Roman"/>
                <w:sz w:val="20"/>
              </w:rPr>
              <w:t>3.248</w:t>
            </w:r>
          </w:p>
        </w:tc>
      </w:tr>
      <w:tr>
        <w:tc>
          <w:tcPr>
            <w:tcW w:type="dxa" w:w="1234"/>
          </w:tcPr>
          <w:p>
            <w:r/>
            <w:r>
              <w:rPr>
                <w:rFonts w:ascii="Times New Roman" w:hAnsi="Times New Roman"/>
                <w:sz w:val="20"/>
              </w:rPr>
              <w:t>14–17</w:t>
            </w:r>
          </w:p>
        </w:tc>
        <w:tc>
          <w:tcPr>
            <w:tcW w:type="dxa" w:w="1234"/>
          </w:tcPr>
          <w:p>
            <w:r/>
            <w:r>
              <w:rPr>
                <w:rFonts w:ascii="Times New Roman" w:hAnsi="Times New Roman"/>
                <w:sz w:val="20"/>
              </w:rPr>
              <w:t>24,1</w:t>
            </w:r>
          </w:p>
        </w:tc>
        <w:tc>
          <w:tcPr>
            <w:tcW w:type="dxa" w:w="1234"/>
          </w:tcPr>
          <w:p>
            <w:r/>
            <w:r>
              <w:rPr>
                <w:rFonts w:ascii="Times New Roman" w:hAnsi="Times New Roman"/>
                <w:sz w:val="20"/>
              </w:rPr>
              <w:t>1.442</w:t>
            </w:r>
          </w:p>
        </w:tc>
        <w:tc>
          <w:tcPr>
            <w:tcW w:type="dxa" w:w="1234"/>
          </w:tcPr>
          <w:p>
            <w:r/>
            <w:r>
              <w:rPr>
                <w:rFonts w:ascii="Times New Roman" w:hAnsi="Times New Roman"/>
                <w:sz w:val="20"/>
              </w:rPr>
              <w:t>21,8</w:t>
            </w:r>
          </w:p>
        </w:tc>
        <w:tc>
          <w:tcPr>
            <w:tcW w:type="dxa" w:w="1234"/>
          </w:tcPr>
          <w:p>
            <w:r/>
            <w:r>
              <w:rPr>
                <w:rFonts w:ascii="Times New Roman" w:hAnsi="Times New Roman"/>
                <w:sz w:val="20"/>
              </w:rPr>
              <w:t>1.306</w:t>
            </w:r>
          </w:p>
        </w:tc>
        <w:tc>
          <w:tcPr>
            <w:tcW w:type="dxa" w:w="1234"/>
          </w:tcPr>
          <w:p>
            <w:r/>
            <w:r>
              <w:rPr>
                <w:rFonts w:ascii="Times New Roman" w:hAnsi="Times New Roman"/>
                <w:sz w:val="20"/>
              </w:rPr>
              <w:t>45,8</w:t>
            </w:r>
          </w:p>
        </w:tc>
        <w:tc>
          <w:tcPr>
            <w:tcW w:type="dxa" w:w="1234"/>
          </w:tcPr>
          <w:p>
            <w:r/>
            <w:r>
              <w:rPr>
                <w:rFonts w:ascii="Times New Roman" w:hAnsi="Times New Roman"/>
                <w:sz w:val="20"/>
              </w:rPr>
              <w:t>2.748</w:t>
            </w:r>
          </w:p>
        </w:tc>
      </w:tr>
      <w:tr>
        <w:tc>
          <w:tcPr>
            <w:tcW w:type="dxa" w:w="1234"/>
          </w:tcPr>
          <w:p>
            <w:r/>
            <w:r>
              <w:rPr>
                <w:rFonts w:ascii="Times New Roman" w:hAnsi="Times New Roman"/>
                <w:sz w:val="20"/>
              </w:rPr>
              <w:t>10–17</w:t>
            </w:r>
          </w:p>
        </w:tc>
        <w:tc>
          <w:tcPr>
            <w:tcW w:type="dxa" w:w="1234"/>
          </w:tcPr>
          <w:p>
            <w:r/>
            <w:r>
              <w:rPr>
                <w:rFonts w:ascii="Times New Roman" w:hAnsi="Times New Roman"/>
                <w:sz w:val="20"/>
              </w:rPr>
              <w:t>52,6</w:t>
            </w:r>
          </w:p>
        </w:tc>
        <w:tc>
          <w:tcPr>
            <w:tcW w:type="dxa" w:w="1234"/>
          </w:tcPr>
          <w:p>
            <w:r/>
            <w:r>
              <w:rPr>
                <w:rFonts w:ascii="Times New Roman" w:hAnsi="Times New Roman"/>
                <w:sz w:val="20"/>
              </w:rPr>
              <w:t>3.151</w:t>
            </w:r>
          </w:p>
        </w:tc>
        <w:tc>
          <w:tcPr>
            <w:tcW w:type="dxa" w:w="1234"/>
          </w:tcPr>
          <w:p>
            <w:r/>
            <w:r>
              <w:rPr>
                <w:rFonts w:ascii="Times New Roman" w:hAnsi="Times New Roman"/>
                <w:sz w:val="20"/>
              </w:rPr>
              <w:t>47,5</w:t>
            </w:r>
          </w:p>
        </w:tc>
        <w:tc>
          <w:tcPr>
            <w:tcW w:type="dxa" w:w="1234"/>
          </w:tcPr>
          <w:p>
            <w:r/>
            <w:r>
              <w:rPr>
                <w:rFonts w:ascii="Times New Roman" w:hAnsi="Times New Roman"/>
                <w:sz w:val="20"/>
              </w:rPr>
              <w:t>2.845</w:t>
            </w:r>
          </w:p>
        </w:tc>
        <w:tc>
          <w:tcPr>
            <w:tcW w:type="dxa" w:w="1234"/>
          </w:tcPr>
          <w:p>
            <w:r/>
            <w:r>
              <w:rPr>
                <w:rFonts w:ascii="Times New Roman" w:hAnsi="Times New Roman"/>
                <w:sz w:val="20"/>
              </w:rPr>
              <w:t>100,0</w:t>
            </w:r>
          </w:p>
        </w:tc>
        <w:tc>
          <w:tcPr>
            <w:tcW w:type="dxa" w:w="1234"/>
          </w:tcPr>
          <w:p>
            <w:r/>
            <w:r>
              <w:rPr>
                <w:rFonts w:ascii="Times New Roman" w:hAnsi="Times New Roman"/>
                <w:sz w:val="20"/>
              </w:rPr>
              <w:t>5.996</w:t>
            </w:r>
          </w:p>
        </w:tc>
      </w:tr>
    </w:tbl>
    <w:p>
      <w:r>
        <w:rPr>
          <w:rFonts w:ascii="Times New Roman" w:hAnsi="Times New Roman"/>
          <w:i/>
          <w:color w:val="666666"/>
          <w:sz w:val="18"/>
        </w:rPr>
        <w:t>Bảng 2. Mẫu vị thành niên theo giới và nhóm tuổi. Nguồn: Bảng 2 báo cáo gốc, trang 14.</w:t>
      </w:r>
    </w:p>
    <w:p>
      <w:pPr>
        <w:jc w:val="center"/>
      </w:pPr>
      <w:r>
        <w:rPr>
          <w:rFonts w:ascii="Times New Roman" w:hAnsi="Times New Roman"/>
          <w:i/>
          <w:color w:val="FF6600"/>
          <w:sz w:val="18"/>
        </w:rPr>
        <w:t>--- Trang 15, V-NAMHS, UNICEF/IOS 2022 ---</w:t>
      </w:r>
    </w:p>
    <w:p>
      <w:r>
        <w:rPr>
          <w:rFonts w:ascii="Times New Roman" w:hAnsi="Times New Roman"/>
        </w:rPr>
        <w:t>Bảng 3 trình bày tình trạng học tập và việc làm của mẫu vị thành niên. Đa số (94,5 %) vẫn đang đi học và chưa từng đi làm (94,6 %).</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tiêu</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Tình trạng học tập</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Hiện đang đi học</w:t>
            </w:r>
          </w:p>
        </w:tc>
        <w:tc>
          <w:tcPr>
            <w:tcW w:type="dxa" w:w="2880"/>
          </w:tcPr>
          <w:p>
            <w:r/>
            <w:r>
              <w:rPr>
                <w:rFonts w:ascii="Times New Roman" w:hAnsi="Times New Roman"/>
                <w:sz w:val="20"/>
              </w:rPr>
              <w:t>94,5</w:t>
            </w:r>
          </w:p>
        </w:tc>
        <w:tc>
          <w:tcPr>
            <w:tcW w:type="dxa" w:w="2880"/>
          </w:tcPr>
          <w:p>
            <w:r/>
            <w:r>
              <w:rPr>
                <w:rFonts w:ascii="Times New Roman" w:hAnsi="Times New Roman"/>
                <w:sz w:val="20"/>
              </w:rPr>
              <w:t>5.666</w:t>
            </w:r>
          </w:p>
        </w:tc>
      </w:tr>
      <w:tr>
        <w:tc>
          <w:tcPr>
            <w:tcW w:type="dxa" w:w="2880"/>
          </w:tcPr>
          <w:p>
            <w:r/>
            <w:r>
              <w:rPr>
                <w:rFonts w:ascii="Times New Roman" w:hAnsi="Times New Roman"/>
                <w:sz w:val="20"/>
              </w:rPr>
              <w:t>Không đi học hiện tại nhưng đã đi học trong 12 tháng qua</w:t>
            </w:r>
          </w:p>
        </w:tc>
        <w:tc>
          <w:tcPr>
            <w:tcW w:type="dxa" w:w="2880"/>
          </w:tcPr>
          <w:p>
            <w:r/>
            <w:r>
              <w:rPr>
                <w:rFonts w:ascii="Times New Roman" w:hAnsi="Times New Roman"/>
                <w:sz w:val="20"/>
              </w:rPr>
              <w:t>1,0</w:t>
            </w:r>
          </w:p>
        </w:tc>
        <w:tc>
          <w:tcPr>
            <w:tcW w:type="dxa" w:w="2880"/>
          </w:tcPr>
          <w:p>
            <w:r/>
            <w:r>
              <w:rPr>
                <w:rFonts w:ascii="Times New Roman" w:hAnsi="Times New Roman"/>
                <w:sz w:val="20"/>
              </w:rPr>
              <w:t>62</w:t>
            </w:r>
          </w:p>
        </w:tc>
      </w:tr>
      <w:tr>
        <w:tc>
          <w:tcPr>
            <w:tcW w:type="dxa" w:w="2880"/>
          </w:tcPr>
          <w:p>
            <w:r/>
            <w:r>
              <w:rPr>
                <w:rFonts w:ascii="Times New Roman" w:hAnsi="Times New Roman"/>
                <w:sz w:val="20"/>
              </w:rPr>
              <w:t>Đã đi học nhưng không trong 12 tháng qua</w:t>
            </w:r>
          </w:p>
        </w:tc>
        <w:tc>
          <w:tcPr>
            <w:tcW w:type="dxa" w:w="2880"/>
          </w:tcPr>
          <w:p>
            <w:r/>
            <w:r>
              <w:rPr>
                <w:rFonts w:ascii="Times New Roman" w:hAnsi="Times New Roman"/>
                <w:sz w:val="20"/>
              </w:rPr>
              <w:t>4,4</w:t>
            </w:r>
          </w:p>
        </w:tc>
        <w:tc>
          <w:tcPr>
            <w:tcW w:type="dxa" w:w="2880"/>
          </w:tcPr>
          <w:p>
            <w:r/>
            <w:r>
              <w:rPr>
                <w:rFonts w:ascii="Times New Roman" w:hAnsi="Times New Roman"/>
                <w:sz w:val="20"/>
              </w:rPr>
              <w:t>263</w:t>
            </w:r>
          </w:p>
        </w:tc>
      </w:tr>
      <w:tr>
        <w:tc>
          <w:tcPr>
            <w:tcW w:type="dxa" w:w="2880"/>
          </w:tcPr>
          <w:p>
            <w:r/>
            <w:r>
              <w:rPr>
                <w:rFonts w:ascii="Times New Roman" w:hAnsi="Times New Roman"/>
                <w:sz w:val="20"/>
              </w:rPr>
              <w:t>Chưa bao giờ đi học</w:t>
            </w:r>
          </w:p>
        </w:tc>
        <w:tc>
          <w:tcPr>
            <w:tcW w:type="dxa" w:w="2880"/>
          </w:tcPr>
          <w:p>
            <w:r/>
            <w:r>
              <w:rPr>
                <w:rFonts w:ascii="Times New Roman" w:hAnsi="Times New Roman"/>
                <w:sz w:val="20"/>
              </w:rPr>
              <w:t>0,1</w:t>
            </w:r>
          </w:p>
        </w:tc>
        <w:tc>
          <w:tcPr>
            <w:tcW w:type="dxa" w:w="2880"/>
          </w:tcPr>
          <w:p>
            <w:r/>
            <w:r>
              <w:rPr>
                <w:rFonts w:ascii="Times New Roman" w:hAnsi="Times New Roman"/>
                <w:sz w:val="20"/>
              </w:rPr>
              <w:t>5</w:t>
            </w:r>
          </w:p>
        </w:tc>
      </w:tr>
      <w:tr>
        <w:tc>
          <w:tcPr>
            <w:tcW w:type="dxa" w:w="2880"/>
          </w:tcPr>
          <w:p>
            <w:r/>
            <w:r>
              <w:rPr>
                <w:rFonts w:ascii="Times New Roman" w:hAnsi="Times New Roman"/>
                <w:sz w:val="20"/>
              </w:rPr>
              <w:t>Tình trạng việc làm</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Hiện đang có việc làm</w:t>
            </w:r>
          </w:p>
        </w:tc>
        <w:tc>
          <w:tcPr>
            <w:tcW w:type="dxa" w:w="2880"/>
          </w:tcPr>
          <w:p>
            <w:r/>
            <w:r>
              <w:rPr>
                <w:rFonts w:ascii="Times New Roman" w:hAnsi="Times New Roman"/>
                <w:sz w:val="20"/>
              </w:rPr>
              <w:t>3,0</w:t>
            </w:r>
          </w:p>
        </w:tc>
        <w:tc>
          <w:tcPr>
            <w:tcW w:type="dxa" w:w="2880"/>
          </w:tcPr>
          <w:p>
            <w:r/>
            <w:r>
              <w:rPr>
                <w:rFonts w:ascii="Times New Roman" w:hAnsi="Times New Roman"/>
                <w:sz w:val="20"/>
              </w:rPr>
              <w:t>179</w:t>
            </w:r>
          </w:p>
        </w:tc>
      </w:tr>
      <w:tr>
        <w:tc>
          <w:tcPr>
            <w:tcW w:type="dxa" w:w="2880"/>
          </w:tcPr>
          <w:p>
            <w:r/>
            <w:r>
              <w:rPr>
                <w:rFonts w:ascii="Times New Roman" w:hAnsi="Times New Roman"/>
                <w:sz w:val="20"/>
              </w:rPr>
              <w:t>Không có việc hiện tại nhưng đã làm trong 12 tháng qua</w:t>
            </w:r>
          </w:p>
        </w:tc>
        <w:tc>
          <w:tcPr>
            <w:tcW w:type="dxa" w:w="2880"/>
          </w:tcPr>
          <w:p>
            <w:r/>
            <w:r>
              <w:rPr>
                <w:rFonts w:ascii="Times New Roman" w:hAnsi="Times New Roman"/>
                <w:sz w:val="20"/>
              </w:rPr>
              <w:t>1,3</w:t>
            </w:r>
          </w:p>
        </w:tc>
        <w:tc>
          <w:tcPr>
            <w:tcW w:type="dxa" w:w="2880"/>
          </w:tcPr>
          <w:p>
            <w:r/>
            <w:r>
              <w:rPr>
                <w:rFonts w:ascii="Times New Roman" w:hAnsi="Times New Roman"/>
                <w:sz w:val="20"/>
              </w:rPr>
              <w:t>79</w:t>
            </w:r>
          </w:p>
        </w:tc>
      </w:tr>
      <w:tr>
        <w:tc>
          <w:tcPr>
            <w:tcW w:type="dxa" w:w="2880"/>
          </w:tcPr>
          <w:p>
            <w:r/>
            <w:r>
              <w:rPr>
                <w:rFonts w:ascii="Times New Roman" w:hAnsi="Times New Roman"/>
                <w:sz w:val="20"/>
              </w:rPr>
              <w:t>Đã có việc làm nhưng không trong 12 tháng qua</w:t>
            </w:r>
          </w:p>
        </w:tc>
        <w:tc>
          <w:tcPr>
            <w:tcW w:type="dxa" w:w="2880"/>
          </w:tcPr>
          <w:p>
            <w:r/>
            <w:r>
              <w:rPr>
                <w:rFonts w:ascii="Times New Roman" w:hAnsi="Times New Roman"/>
                <w:sz w:val="20"/>
              </w:rPr>
              <w:t>1,1</w:t>
            </w:r>
          </w:p>
        </w:tc>
        <w:tc>
          <w:tcPr>
            <w:tcW w:type="dxa" w:w="2880"/>
          </w:tcPr>
          <w:p>
            <w:r/>
            <w:r>
              <w:rPr>
                <w:rFonts w:ascii="Times New Roman" w:hAnsi="Times New Roman"/>
                <w:sz w:val="20"/>
              </w:rPr>
              <w:t>64</w:t>
            </w:r>
          </w:p>
        </w:tc>
      </w:tr>
      <w:tr>
        <w:tc>
          <w:tcPr>
            <w:tcW w:type="dxa" w:w="2880"/>
          </w:tcPr>
          <w:p>
            <w:r/>
            <w:r>
              <w:rPr>
                <w:rFonts w:ascii="Times New Roman" w:hAnsi="Times New Roman"/>
                <w:sz w:val="20"/>
              </w:rPr>
              <w:t>Chưa bao giờ có việc làm</w:t>
            </w:r>
          </w:p>
        </w:tc>
        <w:tc>
          <w:tcPr>
            <w:tcW w:type="dxa" w:w="2880"/>
          </w:tcPr>
          <w:p>
            <w:r/>
            <w:r>
              <w:rPr>
                <w:rFonts w:ascii="Times New Roman" w:hAnsi="Times New Roman"/>
                <w:sz w:val="20"/>
              </w:rPr>
              <w:t>94,6</w:t>
            </w:r>
          </w:p>
        </w:tc>
        <w:tc>
          <w:tcPr>
            <w:tcW w:type="dxa" w:w="2880"/>
          </w:tcPr>
          <w:p>
            <w:r/>
            <w:r>
              <w:rPr>
                <w:rFonts w:ascii="Times New Roman" w:hAnsi="Times New Roman"/>
                <w:sz w:val="20"/>
              </w:rPr>
              <w:t>5.674</w:t>
            </w:r>
          </w:p>
        </w:tc>
      </w:tr>
      <w:tr>
        <w:tc>
          <w:tcPr>
            <w:tcW w:type="dxa" w:w="2880"/>
          </w:tcPr>
          <w:p>
            <w:r/>
            <w:r>
              <w:rPr>
                <w:rFonts w:ascii="Times New Roman" w:hAnsi="Times New Roman"/>
                <w:sz w:val="20"/>
              </w:rPr>
              <w:t>Không đi học VÀ không đi làm hiện tại</w:t>
            </w:r>
          </w:p>
        </w:tc>
        <w:tc>
          <w:tcPr>
            <w:tcW w:type="dxa" w:w="2880"/>
          </w:tcPr>
          <w:p>
            <w:r/>
            <w:r>
              <w:rPr>
                <w:rFonts w:ascii="Times New Roman" w:hAnsi="Times New Roman"/>
                <w:sz w:val="20"/>
              </w:rPr>
              <w:t>3,2</w:t>
            </w:r>
          </w:p>
        </w:tc>
        <w:tc>
          <w:tcPr>
            <w:tcW w:type="dxa" w:w="2880"/>
          </w:tcPr>
          <w:p>
            <w:r/>
            <w:r>
              <w:rPr>
                <w:rFonts w:ascii="Times New Roman" w:hAnsi="Times New Roman"/>
                <w:sz w:val="20"/>
              </w:rPr>
              <w:t>194</w:t>
            </w:r>
          </w:p>
        </w:tc>
      </w:tr>
    </w:tbl>
    <w:p>
      <w:r>
        <w:rPr>
          <w:rFonts w:ascii="Times New Roman" w:hAnsi="Times New Roman"/>
          <w:i/>
          <w:color w:val="666666"/>
          <w:sz w:val="18"/>
        </w:rPr>
        <w:t>Bảng 3. Mẫu vị thành niên theo học tập và việc làm. Nguồn: Bảng 3 báo cáo gốc, trang 15.</w:t>
      </w:r>
    </w:p>
    <w:p>
      <w:r>
        <w:rPr>
          <w:rFonts w:ascii="Times New Roman" w:hAnsi="Times New Roman"/>
          <w:b/>
          <w:color w:val="2E548B"/>
          <w:sz w:val="24"/>
        </w:rPr>
        <w:t>Phụ huynh</w:t>
      </w:r>
    </w:p>
    <w:p>
      <w:r>
        <w:rPr>
          <w:rFonts w:ascii="Times New Roman" w:hAnsi="Times New Roman"/>
        </w:rPr>
        <w:t>Bảng 4 trình bày đặc điểm nhân khẩu của mẫu phụ huynh. Tuổi trung bình của phụ huynh là 44,2 năm, đa số là mẹ/mẹ kế của vị thành niên (63,6 %). Gần một nửa (47 %) chỉ hoàn thành tiểu học hoặc trung học cơ sở, trong khi khoảng một phần tư (24,1 %) hoàn thành trung học phổ thông. Về việc làm, hơn một nửa (54,1 %) toàn thời gian. Khoảng một nửa (53,7 %) là chủ hộ.</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tiêu</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Tuổi trung bình (năm) ᵃ</w:t>
            </w:r>
          </w:p>
        </w:tc>
        <w:tc>
          <w:tcPr>
            <w:tcW w:type="dxa" w:w="2880"/>
          </w:tcPr>
          <w:p>
            <w:r/>
            <w:r>
              <w:rPr>
                <w:rFonts w:ascii="Times New Roman" w:hAnsi="Times New Roman"/>
                <w:sz w:val="20"/>
              </w:rPr>
              <w:t>44,2</w:t>
            </w:r>
          </w:p>
        </w:tc>
        <w:tc>
          <w:tcPr>
            <w:tcW w:type="dxa" w:w="2880"/>
          </w:tcPr>
          <w:p>
            <w:r/>
            <w:r>
              <w:rPr>
                <w:rFonts w:ascii="Times New Roman" w:hAnsi="Times New Roman"/>
                <w:sz w:val="20"/>
              </w:rPr>
              <w:t>—</w:t>
            </w:r>
          </w:p>
        </w:tc>
      </w:tr>
      <w:tr>
        <w:tc>
          <w:tcPr>
            <w:tcW w:type="dxa" w:w="2880"/>
          </w:tcPr>
          <w:p>
            <w:r/>
            <w:r>
              <w:rPr>
                <w:rFonts w:ascii="Times New Roman" w:hAnsi="Times New Roman"/>
                <w:sz w:val="20"/>
              </w:rPr>
              <w:t>Giới tính</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Nam</w:t>
            </w:r>
          </w:p>
        </w:tc>
        <w:tc>
          <w:tcPr>
            <w:tcW w:type="dxa" w:w="2880"/>
          </w:tcPr>
          <w:p>
            <w:r/>
            <w:r>
              <w:rPr>
                <w:rFonts w:ascii="Times New Roman" w:hAnsi="Times New Roman"/>
                <w:sz w:val="20"/>
              </w:rPr>
              <w:t>28,3</w:t>
            </w:r>
          </w:p>
        </w:tc>
        <w:tc>
          <w:tcPr>
            <w:tcW w:type="dxa" w:w="2880"/>
          </w:tcPr>
          <w:p>
            <w:r/>
            <w:r>
              <w:rPr>
                <w:rFonts w:ascii="Times New Roman" w:hAnsi="Times New Roman"/>
                <w:sz w:val="20"/>
              </w:rPr>
              <w:t>1.695</w:t>
            </w:r>
          </w:p>
        </w:tc>
      </w:tr>
      <w:tr>
        <w:tc>
          <w:tcPr>
            <w:tcW w:type="dxa" w:w="2880"/>
          </w:tcPr>
          <w:p>
            <w:r/>
            <w:r>
              <w:rPr>
                <w:rFonts w:ascii="Times New Roman" w:hAnsi="Times New Roman"/>
                <w:sz w:val="20"/>
              </w:rPr>
              <w:t>Nữ</w:t>
            </w:r>
          </w:p>
        </w:tc>
        <w:tc>
          <w:tcPr>
            <w:tcW w:type="dxa" w:w="2880"/>
          </w:tcPr>
          <w:p>
            <w:r/>
            <w:r>
              <w:rPr>
                <w:rFonts w:ascii="Times New Roman" w:hAnsi="Times New Roman"/>
                <w:sz w:val="20"/>
              </w:rPr>
              <w:t>71,7</w:t>
            </w:r>
          </w:p>
        </w:tc>
        <w:tc>
          <w:tcPr>
            <w:tcW w:type="dxa" w:w="2880"/>
          </w:tcPr>
          <w:p>
            <w:r/>
            <w:r>
              <w:rPr>
                <w:rFonts w:ascii="Times New Roman" w:hAnsi="Times New Roman"/>
                <w:sz w:val="20"/>
              </w:rPr>
              <w:t>4.301</w:t>
            </w:r>
          </w:p>
        </w:tc>
      </w:tr>
      <w:tr>
        <w:tc>
          <w:tcPr>
            <w:tcW w:type="dxa" w:w="2880"/>
          </w:tcPr>
          <w:p>
            <w:r/>
            <w:r>
              <w:rPr>
                <w:rFonts w:ascii="Times New Roman" w:hAnsi="Times New Roman"/>
                <w:sz w:val="20"/>
              </w:rPr>
              <w:t>Quan hệ với vị thành niên</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Mẹ/mẹ kế</w:t>
            </w:r>
          </w:p>
        </w:tc>
        <w:tc>
          <w:tcPr>
            <w:tcW w:type="dxa" w:w="2880"/>
          </w:tcPr>
          <w:p>
            <w:r/>
            <w:r>
              <w:rPr>
                <w:rFonts w:ascii="Times New Roman" w:hAnsi="Times New Roman"/>
                <w:sz w:val="20"/>
              </w:rPr>
              <w:t>63,6</w:t>
            </w:r>
          </w:p>
        </w:tc>
        <w:tc>
          <w:tcPr>
            <w:tcW w:type="dxa" w:w="2880"/>
          </w:tcPr>
          <w:p>
            <w:r/>
            <w:r>
              <w:rPr>
                <w:rFonts w:ascii="Times New Roman" w:hAnsi="Times New Roman"/>
                <w:sz w:val="20"/>
              </w:rPr>
              <w:t>3.814</w:t>
            </w:r>
          </w:p>
        </w:tc>
      </w:tr>
      <w:tr>
        <w:tc>
          <w:tcPr>
            <w:tcW w:type="dxa" w:w="2880"/>
          </w:tcPr>
          <w:p>
            <w:r/>
            <w:r>
              <w:rPr>
                <w:rFonts w:ascii="Times New Roman" w:hAnsi="Times New Roman"/>
                <w:sz w:val="20"/>
              </w:rPr>
              <w:t>Bố/bố dượng</w:t>
            </w:r>
          </w:p>
        </w:tc>
        <w:tc>
          <w:tcPr>
            <w:tcW w:type="dxa" w:w="2880"/>
          </w:tcPr>
          <w:p>
            <w:r/>
            <w:r>
              <w:rPr>
                <w:rFonts w:ascii="Times New Roman" w:hAnsi="Times New Roman"/>
                <w:sz w:val="20"/>
              </w:rPr>
              <w:t>25,0</w:t>
            </w:r>
          </w:p>
        </w:tc>
        <w:tc>
          <w:tcPr>
            <w:tcW w:type="dxa" w:w="2880"/>
          </w:tcPr>
          <w:p>
            <w:r/>
            <w:r>
              <w:rPr>
                <w:rFonts w:ascii="Times New Roman" w:hAnsi="Times New Roman"/>
                <w:sz w:val="20"/>
              </w:rPr>
              <w:t>1.497</w:t>
            </w:r>
          </w:p>
        </w:tc>
      </w:tr>
      <w:tr>
        <w:tc>
          <w:tcPr>
            <w:tcW w:type="dxa" w:w="2880"/>
          </w:tcPr>
          <w:p>
            <w:r/>
            <w:r>
              <w:rPr>
                <w:rFonts w:ascii="Times New Roman" w:hAnsi="Times New Roman"/>
                <w:sz w:val="20"/>
              </w:rPr>
              <w:t>Ông bà</w:t>
            </w:r>
          </w:p>
        </w:tc>
        <w:tc>
          <w:tcPr>
            <w:tcW w:type="dxa" w:w="2880"/>
          </w:tcPr>
          <w:p>
            <w:r/>
            <w:r>
              <w:rPr>
                <w:rFonts w:ascii="Times New Roman" w:hAnsi="Times New Roman"/>
                <w:sz w:val="20"/>
              </w:rPr>
              <w:t>10,3</w:t>
            </w:r>
          </w:p>
        </w:tc>
        <w:tc>
          <w:tcPr>
            <w:tcW w:type="dxa" w:w="2880"/>
          </w:tcPr>
          <w:p>
            <w:r/>
            <w:r>
              <w:rPr>
                <w:rFonts w:ascii="Times New Roman" w:hAnsi="Times New Roman"/>
                <w:sz w:val="20"/>
              </w:rPr>
              <w:t>616</w:t>
            </w:r>
          </w:p>
        </w:tc>
      </w:tr>
      <w:tr>
        <w:tc>
          <w:tcPr>
            <w:tcW w:type="dxa" w:w="2880"/>
          </w:tcPr>
          <w:p>
            <w:r/>
            <w:r>
              <w:rPr>
                <w:rFonts w:ascii="Times New Roman" w:hAnsi="Times New Roman"/>
                <w:sz w:val="20"/>
              </w:rPr>
              <w:t>Khác</w:t>
            </w:r>
          </w:p>
        </w:tc>
        <w:tc>
          <w:tcPr>
            <w:tcW w:type="dxa" w:w="2880"/>
          </w:tcPr>
          <w:p>
            <w:r/>
            <w:r>
              <w:rPr>
                <w:rFonts w:ascii="Times New Roman" w:hAnsi="Times New Roman"/>
                <w:sz w:val="20"/>
              </w:rPr>
              <w:t>1,1</w:t>
            </w:r>
          </w:p>
        </w:tc>
        <w:tc>
          <w:tcPr>
            <w:tcW w:type="dxa" w:w="2880"/>
          </w:tcPr>
          <w:p>
            <w:r/>
            <w:r>
              <w:rPr>
                <w:rFonts w:ascii="Times New Roman" w:hAnsi="Times New Roman"/>
                <w:sz w:val="20"/>
              </w:rPr>
              <w:t>66</w:t>
            </w:r>
          </w:p>
        </w:tc>
      </w:tr>
      <w:tr>
        <w:tc>
          <w:tcPr>
            <w:tcW w:type="dxa" w:w="2880"/>
          </w:tcPr>
          <w:p>
            <w:r/>
            <w:r>
              <w:rPr>
                <w:rFonts w:ascii="Times New Roman" w:hAnsi="Times New Roman"/>
                <w:sz w:val="20"/>
              </w:rPr>
              <w:t>Tình trạng hôn nhân</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Đã kết hôn</w:t>
            </w:r>
          </w:p>
        </w:tc>
        <w:tc>
          <w:tcPr>
            <w:tcW w:type="dxa" w:w="2880"/>
          </w:tcPr>
          <w:p>
            <w:r/>
            <w:r>
              <w:rPr>
                <w:rFonts w:ascii="Times New Roman" w:hAnsi="Times New Roman"/>
                <w:sz w:val="20"/>
              </w:rPr>
              <w:t>89,6</w:t>
            </w:r>
          </w:p>
        </w:tc>
        <w:tc>
          <w:tcPr>
            <w:tcW w:type="dxa" w:w="2880"/>
          </w:tcPr>
          <w:p>
            <w:r/>
            <w:r>
              <w:rPr>
                <w:rFonts w:ascii="Times New Roman" w:hAnsi="Times New Roman"/>
                <w:sz w:val="20"/>
              </w:rPr>
              <w:t>5.374</w:t>
            </w:r>
          </w:p>
        </w:tc>
      </w:tr>
      <w:tr>
        <w:tc>
          <w:tcPr>
            <w:tcW w:type="dxa" w:w="2880"/>
          </w:tcPr>
          <w:p>
            <w:r/>
            <w:r>
              <w:rPr>
                <w:rFonts w:ascii="Times New Roman" w:hAnsi="Times New Roman"/>
                <w:sz w:val="20"/>
              </w:rPr>
              <w:t>Chưa kết hôn</w:t>
            </w:r>
          </w:p>
        </w:tc>
        <w:tc>
          <w:tcPr>
            <w:tcW w:type="dxa" w:w="2880"/>
          </w:tcPr>
          <w:p>
            <w:r/>
            <w:r>
              <w:rPr>
                <w:rFonts w:ascii="Times New Roman" w:hAnsi="Times New Roman"/>
                <w:sz w:val="20"/>
              </w:rPr>
              <w:t>0,9</w:t>
            </w:r>
          </w:p>
        </w:tc>
        <w:tc>
          <w:tcPr>
            <w:tcW w:type="dxa" w:w="2880"/>
          </w:tcPr>
          <w:p>
            <w:r/>
            <w:r>
              <w:rPr>
                <w:rFonts w:ascii="Times New Roman" w:hAnsi="Times New Roman"/>
                <w:sz w:val="20"/>
              </w:rPr>
              <w:t>53</w:t>
            </w:r>
          </w:p>
        </w:tc>
      </w:tr>
      <w:tr>
        <w:tc>
          <w:tcPr>
            <w:tcW w:type="dxa" w:w="2880"/>
          </w:tcPr>
          <w:p>
            <w:r/>
            <w:r>
              <w:rPr>
                <w:rFonts w:ascii="Times New Roman" w:hAnsi="Times New Roman"/>
                <w:sz w:val="20"/>
              </w:rPr>
              <w:t>Khác</w:t>
            </w:r>
          </w:p>
        </w:tc>
        <w:tc>
          <w:tcPr>
            <w:tcW w:type="dxa" w:w="2880"/>
          </w:tcPr>
          <w:p>
            <w:r/>
            <w:r>
              <w:rPr>
                <w:rFonts w:ascii="Times New Roman" w:hAnsi="Times New Roman"/>
                <w:sz w:val="20"/>
              </w:rPr>
              <w:t>9,2</w:t>
            </w:r>
          </w:p>
        </w:tc>
        <w:tc>
          <w:tcPr>
            <w:tcW w:type="dxa" w:w="2880"/>
          </w:tcPr>
          <w:p>
            <w:r/>
            <w:r>
              <w:rPr>
                <w:rFonts w:ascii="Times New Roman" w:hAnsi="Times New Roman"/>
                <w:sz w:val="20"/>
              </w:rPr>
              <w:t>554</w:t>
            </w:r>
          </w:p>
        </w:tc>
      </w:tr>
      <w:tr>
        <w:tc>
          <w:tcPr>
            <w:tcW w:type="dxa" w:w="2880"/>
          </w:tcPr>
          <w:p>
            <w:r/>
            <w:r>
              <w:rPr>
                <w:rFonts w:ascii="Times New Roman" w:hAnsi="Times New Roman"/>
                <w:sz w:val="20"/>
              </w:rPr>
              <w:t>Trình độ học vấn (cao nhất đã hoàn thành)</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Không (chưa hoàn thành tiểu học)</w:t>
            </w:r>
          </w:p>
        </w:tc>
        <w:tc>
          <w:tcPr>
            <w:tcW w:type="dxa" w:w="2880"/>
          </w:tcPr>
          <w:p>
            <w:r/>
            <w:r>
              <w:rPr>
                <w:rFonts w:ascii="Times New Roman" w:hAnsi="Times New Roman"/>
                <w:sz w:val="20"/>
              </w:rPr>
              <w:t>4,1</w:t>
            </w:r>
          </w:p>
        </w:tc>
        <w:tc>
          <w:tcPr>
            <w:tcW w:type="dxa" w:w="2880"/>
          </w:tcPr>
          <w:p>
            <w:r/>
            <w:r>
              <w:rPr>
                <w:rFonts w:ascii="Times New Roman" w:hAnsi="Times New Roman"/>
                <w:sz w:val="20"/>
              </w:rPr>
              <w:t>247</w:t>
            </w:r>
          </w:p>
        </w:tc>
      </w:tr>
      <w:tr>
        <w:tc>
          <w:tcPr>
            <w:tcW w:type="dxa" w:w="2880"/>
          </w:tcPr>
          <w:p>
            <w:r/>
            <w:r>
              <w:rPr>
                <w:rFonts w:ascii="Times New Roman" w:hAnsi="Times New Roman"/>
                <w:sz w:val="20"/>
              </w:rPr>
              <w:t>Tiểu học</w:t>
            </w:r>
          </w:p>
        </w:tc>
        <w:tc>
          <w:tcPr>
            <w:tcW w:type="dxa" w:w="2880"/>
          </w:tcPr>
          <w:p>
            <w:r/>
            <w:r>
              <w:rPr>
                <w:rFonts w:ascii="Times New Roman" w:hAnsi="Times New Roman"/>
                <w:sz w:val="20"/>
              </w:rPr>
              <w:t>14,5</w:t>
            </w:r>
          </w:p>
        </w:tc>
        <w:tc>
          <w:tcPr>
            <w:tcW w:type="dxa" w:w="2880"/>
          </w:tcPr>
          <w:p>
            <w:r/>
            <w:r>
              <w:rPr>
                <w:rFonts w:ascii="Times New Roman" w:hAnsi="Times New Roman"/>
                <w:sz w:val="20"/>
              </w:rPr>
              <w:t>872</w:t>
            </w:r>
          </w:p>
        </w:tc>
      </w:tr>
      <w:tr>
        <w:tc>
          <w:tcPr>
            <w:tcW w:type="dxa" w:w="2880"/>
          </w:tcPr>
          <w:p>
            <w:r/>
            <w:r>
              <w:rPr>
                <w:rFonts w:ascii="Times New Roman" w:hAnsi="Times New Roman"/>
                <w:sz w:val="20"/>
              </w:rPr>
              <w:t>Trung học cơ sở</w:t>
            </w:r>
          </w:p>
        </w:tc>
        <w:tc>
          <w:tcPr>
            <w:tcW w:type="dxa" w:w="2880"/>
          </w:tcPr>
          <w:p>
            <w:r/>
            <w:r>
              <w:rPr>
                <w:rFonts w:ascii="Times New Roman" w:hAnsi="Times New Roman"/>
                <w:sz w:val="20"/>
              </w:rPr>
              <w:t>32,4</w:t>
            </w:r>
          </w:p>
        </w:tc>
        <w:tc>
          <w:tcPr>
            <w:tcW w:type="dxa" w:w="2880"/>
          </w:tcPr>
          <w:p>
            <w:r/>
            <w:r>
              <w:rPr>
                <w:rFonts w:ascii="Times New Roman" w:hAnsi="Times New Roman"/>
                <w:sz w:val="20"/>
              </w:rPr>
              <w:t>1.945</w:t>
            </w:r>
          </w:p>
        </w:tc>
      </w:tr>
      <w:tr>
        <w:tc>
          <w:tcPr>
            <w:tcW w:type="dxa" w:w="2880"/>
          </w:tcPr>
          <w:p>
            <w:r/>
            <w:r>
              <w:rPr>
                <w:rFonts w:ascii="Times New Roman" w:hAnsi="Times New Roman"/>
                <w:sz w:val="20"/>
              </w:rPr>
              <w:t>Trung học phổ thông</w:t>
            </w:r>
          </w:p>
        </w:tc>
        <w:tc>
          <w:tcPr>
            <w:tcW w:type="dxa" w:w="2880"/>
          </w:tcPr>
          <w:p>
            <w:r/>
            <w:r>
              <w:rPr>
                <w:rFonts w:ascii="Times New Roman" w:hAnsi="Times New Roman"/>
                <w:sz w:val="20"/>
              </w:rPr>
              <w:t>24,1</w:t>
            </w:r>
          </w:p>
        </w:tc>
        <w:tc>
          <w:tcPr>
            <w:tcW w:type="dxa" w:w="2880"/>
          </w:tcPr>
          <w:p>
            <w:r/>
            <w:r>
              <w:rPr>
                <w:rFonts w:ascii="Times New Roman" w:hAnsi="Times New Roman"/>
                <w:sz w:val="20"/>
              </w:rPr>
              <w:t>1.446</w:t>
            </w:r>
          </w:p>
        </w:tc>
      </w:tr>
      <w:tr>
        <w:tc>
          <w:tcPr>
            <w:tcW w:type="dxa" w:w="2880"/>
          </w:tcPr>
          <w:p>
            <w:r/>
            <w:r>
              <w:rPr>
                <w:rFonts w:ascii="Times New Roman" w:hAnsi="Times New Roman"/>
                <w:sz w:val="20"/>
              </w:rPr>
              <w:t>Trung cấp nghề/tương đương</w:t>
            </w:r>
          </w:p>
        </w:tc>
        <w:tc>
          <w:tcPr>
            <w:tcW w:type="dxa" w:w="2880"/>
          </w:tcPr>
          <w:p>
            <w:r/>
            <w:r>
              <w:rPr>
                <w:rFonts w:ascii="Times New Roman" w:hAnsi="Times New Roman"/>
                <w:sz w:val="20"/>
              </w:rPr>
              <w:t>4,8</w:t>
            </w:r>
          </w:p>
        </w:tc>
        <w:tc>
          <w:tcPr>
            <w:tcW w:type="dxa" w:w="2880"/>
          </w:tcPr>
          <w:p>
            <w:r/>
            <w:r>
              <w:rPr>
                <w:rFonts w:ascii="Times New Roman" w:hAnsi="Times New Roman"/>
                <w:sz w:val="20"/>
              </w:rPr>
              <w:t>289</w:t>
            </w:r>
          </w:p>
        </w:tc>
      </w:tr>
      <w:tr>
        <w:tc>
          <w:tcPr>
            <w:tcW w:type="dxa" w:w="2880"/>
          </w:tcPr>
          <w:p>
            <w:r/>
            <w:r>
              <w:rPr>
                <w:rFonts w:ascii="Times New Roman" w:hAnsi="Times New Roman"/>
                <w:sz w:val="20"/>
              </w:rPr>
              <w:t>Đại học/cao đẳng</w:t>
            </w:r>
          </w:p>
        </w:tc>
        <w:tc>
          <w:tcPr>
            <w:tcW w:type="dxa" w:w="2880"/>
          </w:tcPr>
          <w:p>
            <w:r/>
            <w:r>
              <w:rPr>
                <w:rFonts w:ascii="Times New Roman" w:hAnsi="Times New Roman"/>
                <w:sz w:val="20"/>
              </w:rPr>
              <w:t>19,2</w:t>
            </w:r>
          </w:p>
        </w:tc>
        <w:tc>
          <w:tcPr>
            <w:tcW w:type="dxa" w:w="2880"/>
          </w:tcPr>
          <w:p>
            <w:r/>
            <w:r>
              <w:rPr>
                <w:rFonts w:ascii="Times New Roman" w:hAnsi="Times New Roman"/>
                <w:sz w:val="20"/>
              </w:rPr>
              <w:t>1.152</w:t>
            </w:r>
          </w:p>
        </w:tc>
      </w:tr>
      <w:tr>
        <w:tc>
          <w:tcPr>
            <w:tcW w:type="dxa" w:w="2880"/>
          </w:tcPr>
          <w:p>
            <w:r/>
            <w:r>
              <w:rPr>
                <w:rFonts w:ascii="Times New Roman" w:hAnsi="Times New Roman"/>
                <w:sz w:val="20"/>
              </w:rPr>
              <w:t>Đang học</w:t>
            </w:r>
          </w:p>
        </w:tc>
        <w:tc>
          <w:tcPr>
            <w:tcW w:type="dxa" w:w="2880"/>
          </w:tcPr>
          <w:p>
            <w:r/>
            <w:r>
              <w:rPr>
                <w:rFonts w:ascii="Times New Roman" w:hAnsi="Times New Roman"/>
                <w:sz w:val="20"/>
              </w:rPr>
              <w:t>1,7</w:t>
            </w:r>
          </w:p>
        </w:tc>
        <w:tc>
          <w:tcPr>
            <w:tcW w:type="dxa" w:w="2880"/>
          </w:tcPr>
          <w:p>
            <w:r/>
            <w:r>
              <w:rPr>
                <w:rFonts w:ascii="Times New Roman" w:hAnsi="Times New Roman"/>
                <w:sz w:val="20"/>
              </w:rPr>
              <w:t>101</w:t>
            </w:r>
          </w:p>
        </w:tc>
      </w:tr>
      <w:tr>
        <w:tc>
          <w:tcPr>
            <w:tcW w:type="dxa" w:w="2880"/>
          </w:tcPr>
          <w:p>
            <w:r/>
            <w:r>
              <w:rPr>
                <w:rFonts w:ascii="Times New Roman" w:hAnsi="Times New Roman"/>
                <w:sz w:val="20"/>
              </w:rPr>
              <w:t>Tình trạng việc làm</w:t>
            </w:r>
          </w:p>
        </w:tc>
        <w:tc>
          <w:tcPr>
            <w:tcW w:type="dxa" w:w="2880"/>
          </w:tcPr>
          <w:p>
            <w:r/>
            <w:r>
              <w:rPr>
                <w:rFonts w:ascii="Times New Roman" w:hAnsi="Times New Roman"/>
                <w:sz w:val="20"/>
              </w:rPr>
            </w:r>
          </w:p>
        </w:tc>
        <w:tc>
          <w:tcPr>
            <w:tcW w:type="dxa" w:w="2880"/>
          </w:tcPr>
          <w:p>
            <w:r/>
            <w:r>
              <w:rPr>
                <w:rFonts w:ascii="Times New Roman" w:hAnsi="Times New Roman"/>
                <w:sz w:val="20"/>
              </w:rPr>
            </w:r>
          </w:p>
        </w:tc>
      </w:tr>
      <w:tr>
        <w:tc>
          <w:tcPr>
            <w:tcW w:type="dxa" w:w="2880"/>
          </w:tcPr>
          <w:p>
            <w:r/>
            <w:r>
              <w:rPr>
                <w:rFonts w:ascii="Times New Roman" w:hAnsi="Times New Roman"/>
                <w:sz w:val="20"/>
              </w:rPr>
              <w:t>Toàn thời gian</w:t>
            </w:r>
          </w:p>
        </w:tc>
        <w:tc>
          <w:tcPr>
            <w:tcW w:type="dxa" w:w="2880"/>
          </w:tcPr>
          <w:p>
            <w:r/>
            <w:r>
              <w:rPr>
                <w:rFonts w:ascii="Times New Roman" w:hAnsi="Times New Roman"/>
                <w:sz w:val="20"/>
              </w:rPr>
              <w:t>54,1</w:t>
            </w:r>
          </w:p>
        </w:tc>
        <w:tc>
          <w:tcPr>
            <w:tcW w:type="dxa" w:w="2880"/>
          </w:tcPr>
          <w:p>
            <w:r/>
            <w:r>
              <w:rPr>
                <w:rFonts w:ascii="Times New Roman" w:hAnsi="Times New Roman"/>
                <w:sz w:val="20"/>
              </w:rPr>
              <w:t>3.246</w:t>
            </w:r>
          </w:p>
        </w:tc>
      </w:tr>
      <w:tr>
        <w:tc>
          <w:tcPr>
            <w:tcW w:type="dxa" w:w="2880"/>
          </w:tcPr>
          <w:p>
            <w:r/>
            <w:r>
              <w:rPr>
                <w:rFonts w:ascii="Times New Roman" w:hAnsi="Times New Roman"/>
                <w:sz w:val="20"/>
              </w:rPr>
              <w:t>Bán thời gian/tạm thời</w:t>
            </w:r>
          </w:p>
        </w:tc>
        <w:tc>
          <w:tcPr>
            <w:tcW w:type="dxa" w:w="2880"/>
          </w:tcPr>
          <w:p>
            <w:r/>
            <w:r>
              <w:rPr>
                <w:rFonts w:ascii="Times New Roman" w:hAnsi="Times New Roman"/>
                <w:sz w:val="20"/>
              </w:rPr>
              <w:t>33,9</w:t>
            </w:r>
          </w:p>
        </w:tc>
        <w:tc>
          <w:tcPr>
            <w:tcW w:type="dxa" w:w="2880"/>
          </w:tcPr>
          <w:p>
            <w:r/>
            <w:r>
              <w:rPr>
                <w:rFonts w:ascii="Times New Roman" w:hAnsi="Times New Roman"/>
                <w:sz w:val="20"/>
              </w:rPr>
              <w:t>2.031</w:t>
            </w:r>
          </w:p>
        </w:tc>
      </w:tr>
      <w:tr>
        <w:tc>
          <w:tcPr>
            <w:tcW w:type="dxa" w:w="2880"/>
          </w:tcPr>
          <w:p>
            <w:r/>
            <w:r>
              <w:rPr>
                <w:rFonts w:ascii="Times New Roman" w:hAnsi="Times New Roman"/>
                <w:sz w:val="20"/>
              </w:rPr>
              <w:t>Không có việc nhưng đang tìm</w:t>
            </w:r>
          </w:p>
        </w:tc>
        <w:tc>
          <w:tcPr>
            <w:tcW w:type="dxa" w:w="2880"/>
          </w:tcPr>
          <w:p>
            <w:r/>
            <w:r>
              <w:rPr>
                <w:rFonts w:ascii="Times New Roman" w:hAnsi="Times New Roman"/>
                <w:sz w:val="20"/>
              </w:rPr>
              <w:t>1,1</w:t>
            </w:r>
          </w:p>
        </w:tc>
        <w:tc>
          <w:tcPr>
            <w:tcW w:type="dxa" w:w="2880"/>
          </w:tcPr>
          <w:p>
            <w:r/>
            <w:r>
              <w:rPr>
                <w:rFonts w:ascii="Times New Roman" w:hAnsi="Times New Roman"/>
                <w:sz w:val="20"/>
              </w:rPr>
              <w:t>68</w:t>
            </w:r>
          </w:p>
        </w:tc>
      </w:tr>
      <w:tr>
        <w:tc>
          <w:tcPr>
            <w:tcW w:type="dxa" w:w="2880"/>
          </w:tcPr>
          <w:p>
            <w:r/>
            <w:r>
              <w:rPr>
                <w:rFonts w:ascii="Times New Roman" w:hAnsi="Times New Roman"/>
                <w:sz w:val="20"/>
              </w:rPr>
              <w:t>Không có việc và không tìm</w:t>
            </w:r>
          </w:p>
        </w:tc>
        <w:tc>
          <w:tcPr>
            <w:tcW w:type="dxa" w:w="2880"/>
          </w:tcPr>
          <w:p>
            <w:r/>
            <w:r>
              <w:rPr>
                <w:rFonts w:ascii="Times New Roman" w:hAnsi="Times New Roman"/>
                <w:sz w:val="20"/>
              </w:rPr>
              <w:t>10,2</w:t>
            </w:r>
          </w:p>
        </w:tc>
        <w:tc>
          <w:tcPr>
            <w:tcW w:type="dxa" w:w="2880"/>
          </w:tcPr>
          <w:p>
            <w:r/>
            <w:r>
              <w:rPr>
                <w:rFonts w:ascii="Times New Roman" w:hAnsi="Times New Roman"/>
                <w:sz w:val="20"/>
              </w:rPr>
              <w:t>613</w:t>
            </w:r>
          </w:p>
        </w:tc>
      </w:tr>
      <w:tr>
        <w:tc>
          <w:tcPr>
            <w:tcW w:type="dxa" w:w="2880"/>
          </w:tcPr>
          <w:p>
            <w:r/>
            <w:r>
              <w:rPr>
                <w:rFonts w:ascii="Times New Roman" w:hAnsi="Times New Roman"/>
                <w:sz w:val="20"/>
              </w:rPr>
              <w:t>Tỷ lệ cũng là chủ hộ ᵇ</w:t>
            </w:r>
          </w:p>
        </w:tc>
        <w:tc>
          <w:tcPr>
            <w:tcW w:type="dxa" w:w="2880"/>
          </w:tcPr>
          <w:p>
            <w:r/>
            <w:r>
              <w:rPr>
                <w:rFonts w:ascii="Times New Roman" w:hAnsi="Times New Roman"/>
                <w:sz w:val="20"/>
              </w:rPr>
              <w:t>53,7</w:t>
            </w:r>
          </w:p>
        </w:tc>
        <w:tc>
          <w:tcPr>
            <w:tcW w:type="dxa" w:w="2880"/>
          </w:tcPr>
          <w:p>
            <w:r/>
            <w:r>
              <w:rPr>
                <w:rFonts w:ascii="Times New Roman" w:hAnsi="Times New Roman"/>
                <w:sz w:val="20"/>
              </w:rPr>
              <w:t>3.220</w:t>
            </w:r>
          </w:p>
        </w:tc>
      </w:tr>
    </w:tbl>
    <w:p>
      <w:r>
        <w:rPr>
          <w:rFonts w:ascii="Times New Roman" w:hAnsi="Times New Roman"/>
          <w:i/>
          <w:color w:val="666666"/>
          <w:sz w:val="18"/>
        </w:rPr>
        <w:t>Bảng 4. Mẫu phụ huynh theo thông tin nhân khẩu. Nguồn: Bảng 4 báo cáo gốc, trang 15–16.</w:t>
      </w:r>
    </w:p>
    <w:p>
      <w:r>
        <w:rPr>
          <w:rFonts w:ascii="Times New Roman" w:hAnsi="Times New Roman"/>
          <w:i/>
          <w:color w:val="808080"/>
          <w:sz w:val="18"/>
        </w:rPr>
        <w:t>ᵃ n = 5.987 (sau khi loại trừ tuổi &lt; 18 năm [n=5] và câu trả lời không có ý nghĩa [n=4]); ᵇ Chủ hộ không được xác định ở tất cả các hộ.</w:t>
      </w:r>
    </w:p>
    <w:p>
      <w:pPr>
        <w:jc w:val="center"/>
      </w:pPr>
      <w:r>
        <w:rPr>
          <w:rFonts w:ascii="Times New Roman" w:hAnsi="Times New Roman"/>
          <w:i/>
          <w:color w:val="FF6600"/>
          <w:sz w:val="18"/>
        </w:rPr>
        <w:t>--- Trang 16, V-NAMHS, UNICEF/IOS 2022 ---</w:t>
      </w:r>
    </w:p>
    <w:p>
      <w:pPr>
        <w:jc w:val="center"/>
      </w:pPr>
      <w:r>
        <w:drawing>
          <wp:inline xmlns:a="http://schemas.openxmlformats.org/drawingml/2006/main" xmlns:pic="http://schemas.openxmlformats.org/drawingml/2006/picture">
            <wp:extent cx="3960000" cy="2142934"/>
            <wp:docPr id="3" name="Picture 3"/>
            <wp:cNvGraphicFramePr>
              <a:graphicFrameLocks noChangeAspect="1"/>
            </wp:cNvGraphicFramePr>
            <a:graphic>
              <a:graphicData uri="http://schemas.openxmlformats.org/drawingml/2006/picture">
                <pic:pic>
                  <pic:nvPicPr>
                    <pic:cNvPr id="0" name="p016_img1_Image210.jpg"/>
                    <pic:cNvPicPr/>
                  </pic:nvPicPr>
                  <pic:blipFill>
                    <a:blip r:embed="rId11"/>
                    <a:stretch>
                      <a:fillRect/>
                    </a:stretch>
                  </pic:blipFill>
                  <pic:spPr>
                    <a:xfrm>
                      <a:off x="0" y="0"/>
                      <a:ext cx="3960000" cy="2142934"/>
                    </a:xfrm>
                    <a:prstGeom prst="rect"/>
                  </pic:spPr>
                </pic:pic>
              </a:graphicData>
            </a:graphic>
          </wp:inline>
        </w:drawing>
      </w:r>
    </w:p>
    <w:p>
      <w:pPr>
        <w:jc w:val="center"/>
      </w:pPr>
      <w:r>
        <w:rPr>
          <w:rFonts w:ascii="Times New Roman" w:hAnsi="Times New Roman"/>
          <w:i/>
          <w:color w:val="666666"/>
          <w:sz w:val="18"/>
        </w:rPr>
        <w:t>Hình minh hoạ Chương Đặc điểm mẫu</w:t>
        <w:br/>
        <w:t>(Chapter divider — Sample characteristics section)</w:t>
      </w:r>
    </w:p>
    <w:p>
      <w:pPr>
        <w:jc w:val="center"/>
      </w:pPr>
      <w:r>
        <w:rPr>
          <w:rFonts w:ascii="Times New Roman" w:hAnsi="Times New Roman"/>
          <w:i/>
          <w:color w:val="FF6600"/>
          <w:sz w:val="18"/>
        </w:rPr>
        <w:t>--- Trang 17, V-NAMHS, UNICEF/IOS 2022 ---</w:t>
      </w:r>
    </w:p>
    <w:p>
      <w:r>
        <w:rPr>
          <w:rFonts w:ascii="Times New Roman" w:hAnsi="Times New Roman"/>
          <w:b/>
          <w:color w:val="1F3A68"/>
          <w:sz w:val="28"/>
        </w:rPr>
        <w:t>SỨC KHOẺ TÂM THẦN (MENTAL HEALTH)</w:t>
      </w:r>
    </w:p>
    <w:p>
      <w:r>
        <w:rPr>
          <w:rFonts w:ascii="Times New Roman" w:hAnsi="Times New Roman"/>
          <w:b/>
          <w:color w:val="2E548B"/>
          <w:sz w:val="24"/>
        </w:rPr>
        <w:t>Tổng quan</w:t>
      </w:r>
    </w:p>
    <w:p>
      <w:r>
        <w:rPr>
          <w:rFonts w:ascii="Times New Roman" w:hAnsi="Times New Roman"/>
        </w:rPr>
        <w:t>Vị thành niên 10–19 tuổi chiếm 14,3 % dân số Việt Nam (Tổng cục Thống kê 2020). Tuy nhiên, rất ít biết về tỷ lệ rối loạn tâm thần ở VTN Việt Nam. Đây là khoảng trống quan trọng vì nghiên cứu quốc tế cho thấy rối loạn tâm thần trong giai đoạn vị thành niên — đặc biệt khi không được điều trị hoặc điều trị chưa đủ — có thể kéo theo hậu quả tiêu cực suốt đời (Erskine et al. 2016, Ormel 2017). Một rà soát tài liệu trước đó tìm thấy các ước tính tỷ lệ vấn đề SKTT ở VN dao động rộng từ 8 % đến 29 % (Samuels et al. 2018).</w:t>
      </w:r>
    </w:p>
    <w:p>
      <w:r>
        <w:rPr>
          <w:rFonts w:ascii="Times New Roman" w:hAnsi="Times New Roman"/>
        </w:rPr>
        <w:t>Tuy nhiên, các nghiên cứu sẵn có về rối loạn tâm thần VTN tại VN thường bị hạn chế bởi cỡ mẫu nhỏ, địa điểm hoặc phạm vi tuổi bị hạn chế, đo một hoặc một vài rối loạn, và thiếu nghiên cứu dùng công cụ chẩn đoán (instruments được thiết kế để xác định rối loạn tâm thần theo tiêu chí đã thiết lập). Điều này khiến khả năng khái quát và ảnh hưởng chính sách của các nghiên cứu này bị hạn chế. Ví dụ, nghiên cứu đại diện quốc gia về SKTT ở trẻ 6–16 tuổi của Weiss và cộng sự (2014) dùng SDQ đo 1.314 phụ huynh và 591 vị thành niên (trong mẫu 12–16 tuổi). Trong mẫu vị thành niên cụ thể, 10,7 % (tự báo cáo) đến 11,9 % (phụ huynh báo cáo) đạt ngưỡng "borderline" cho vấn đề SKTT. Tỷ lệ tương tự về vấn đề cảm xúc và hành vi (12,4 % và 11,3 %) được tìm thấy trong cùng nghiên cứu khi dùng YSR và CBCL. Tuy nhiên, các công cụ này là thang sàng lọc triệu chứng, không phải công cụ chẩn đoán, do đó không đo được tỷ lệ rối loạn tâm thần theo tiêu chí chẩn đoán.</w:t>
      </w:r>
    </w:p>
    <w:p>
      <w:r>
        <w:rPr>
          <w:rFonts w:ascii="Times New Roman" w:hAnsi="Times New Roman"/>
        </w:rPr>
        <w:t>Ví dụ khác, Samuels và cộng sự (2018) dùng SDQ đo SKTT ở VTN 12–17 tuổi sống tại các thành phố (Hà Nội, TP HCM, Điện Biên Phủ, Long Xuyên) và vùng nông thôn (Kéo Lôm và Phú Mỹ). Trong 402 VTN được khảo sát, 13,4 % đạt ngưỡng "bất thường" của SDQ. Mẫu tương đối nhỏ (n = 402) khiến khó khái quát lên quần thể VTN VN. Mặc dù các nghiên cứu này đóng góp hiểu biết quan trọng, chúng không thể khái quát để thông tin tỷ lệ rối loạn tâm thần ở cấp quốc gia. Do đó, bằng chứng cho hoạch định chính sách SKTT VTN VN và khả năng hành động hiệu quả là rất hạn chế.</w:t>
      </w:r>
    </w:p>
    <w:p>
      <w:r>
        <w:rPr>
          <w:rFonts w:ascii="Times New Roman" w:hAnsi="Times New Roman"/>
        </w:rPr>
        <w:t>Mục tiêu cốt lõi của V-NAMHS là tạo ra ước tính đại diện quốc gia về tỷ lệ rối loạn tâm thần ở VTN VN. Chương này trình bày đo lường rối loạn tâm thần trong V-NAMHS và các phát hiện. Báo cáo trình bày cả vấn đề SKTT và rối loạn tâm thần; ngoài ra, tỷ lệ hành vi tự sát và tự làm hại bản thân cũng được trình bày trong bối cảnh SKTT. Tất cả tỷ lệ và số lượng trong chương này đều được gia trọng.</w:t>
      </w:r>
    </w:p>
    <w:p>
      <w:pPr>
        <w:jc w:val="center"/>
      </w:pPr>
      <w:r>
        <w:rPr>
          <w:rFonts w:ascii="Times New Roman" w:hAnsi="Times New Roman"/>
          <w:i/>
          <w:color w:val="FF6600"/>
          <w:sz w:val="18"/>
        </w:rPr>
        <w:t>--- Trang 18, V-NAMHS, UNICEF/IOS 2022 ---</w:t>
      </w:r>
    </w:p>
    <w:p>
      <w:r>
        <w:rPr>
          <w:rFonts w:ascii="Times New Roman" w:hAnsi="Times New Roman"/>
          <w:b/>
          <w:color w:val="2E548B"/>
          <w:sz w:val="24"/>
        </w:rPr>
        <w:t>Đo lường (Measurement)</w:t>
      </w:r>
    </w:p>
    <w:p>
      <w:r>
        <w:rPr>
          <w:rFonts w:ascii="Times New Roman" w:hAnsi="Times New Roman"/>
          <w:b/>
          <w:i/>
          <w:sz w:val="22"/>
        </w:rPr>
        <w:t>Các công cụ (Measures)</w:t>
      </w:r>
    </w:p>
    <w:p>
      <w:r>
        <w:rPr>
          <w:rFonts w:ascii="Times New Roman" w:hAnsi="Times New Roman"/>
        </w:rPr>
        <w:t>Các module chẩn đoán của DISC-5 được dùng để đánh giá tỷ lệ 12 tháng qua của các rối loạn được chọn. DISC-5 là công cụ chẩn đoán chuẩn hoá (Bitsko et al. 2019, Shaffer et al. 2000) do Đại học Columbia phát triển ban đầu với hỗ trợ của Viện Sức khoẻ Tâm thần Quốc gia Hoa Kỳ (NIMH). DISC-5 được thiết kế để phỏng vấn viên "lay" (không có đào tạo lâm sàng nhưng được huấn luyện DISC-5) thực hiện. DISC-5 được dùng để đo 6 rối loạn tâm thần trong V-NAMHS: ám ảnh xã hội, rối loạn lo âu tổng quát, rối loạn trầm cảm nặng, PTSD, rối loạn hành vi và ADHD. Các rối loạn này được chọn vì phổ biến trong giai đoạn vị thành niên và chịu trách nhiệm cho tỷ lệ gánh nặng rối loạn tâm thần đáng kể ở nhóm tuổi này (Erskine et al. 2015). Ám ảnh xã hội và rối loạn lo âu tổng quát được gộp chung thành "các rối loạn lo âu" (anxiety disorders) trong báo cáo này. Ngoại trừ ADHD (hỏi phụ huynh), tất cả các module DISC-5 khác được hỏi trực tiếp vị thành niên.</w:t>
      </w:r>
    </w:p>
    <w:p>
      <w:r>
        <w:rPr>
          <w:rFonts w:ascii="Times New Roman" w:hAnsi="Times New Roman"/>
        </w:rPr>
        <w:t>Các công cụ đo hành vi tự sát và tự làm hại bản thân cũng được bao gồm. Hành vi tự sát đề cập đến: (1) ý nghĩ tự sát (suy nghĩ nghiêm túc về việc kết thúc cuộc sống của mình); (2) lập kế hoạch tự sát (lên kế hoạch để kết thúc cuộc sống); (3) toan tự sát (khi tự gây hại với ý định kết thúc cuộc sống). Tự làm hại bản thân (self-harm) nghĩa là cố ý làm đau hay gây tổn thương cho bản thân mà không có ý định kết thúc cuộc sống (tức non-suicidal self-injury). Tất cả vị thành niên được hỏi về hành vi tự sát và tự làm hại bất kể tình trạng rối loạn tâm thần. Đối với hành vi tự sát trong 12 tháng qua, VTN chỉ được hỏi về lập kế hoạch nếu đã báo cáo ý nghĩ tự sát, và chỉ được hỏi về toan tự sát nếu đã báo cáo lập kế hoạch.</w:t>
      </w:r>
    </w:p>
    <w:p>
      <w:r>
        <w:rPr>
          <w:rFonts w:ascii="Times New Roman" w:hAnsi="Times New Roman"/>
          <w:b/>
          <w:i/>
          <w:sz w:val="22"/>
        </w:rPr>
        <w:t>Vấn đề SKTT và rối loạn tâm thần (Mental health problems and mental disorders)</w:t>
      </w:r>
    </w:p>
    <w:p>
      <w:r>
        <w:rPr>
          <w:rFonts w:ascii="Times New Roman" w:hAnsi="Times New Roman"/>
        </w:rPr>
        <w:t>Nội dung và cấu trúc DISC-5 được thiết kế tuân theo tiêu chí chẩn đoán đã thiết lập cho rối loạn tâm thần và được cập nhật gần đây để đáp ứng Sổ tay Chẩn đoán và Thống kê Rối loạn Tâm thần, Tái bản thứ 5 (DSM-5) (American Psychiatric Association 2013). Chẩn đoán rối loạn tâm thần theo DSM-5 yêu cầu cá nhân đáp ứng các triệu chứng cốt lõi của một rối loạn tâm thần nhất định và đạt ngưỡng cụ thể về thời gian, tần suất, mức độ nghiêm trọng và biểu hiện của các triệu chứng, đồng thời báo cáo mức độ suy giảm chức năng tối thiểu do các triệu chứng này gây ra. Các câu hỏi trong DISC-5 phản ánh điều này bằng cách đầu tiên hỏi về một triệu chứng nhất định rồi hỏi tiếp các câu hỏi chi tiết về đặc điểm cụ thể của triệu chứng đó theo yêu cầu chẩn đoán.</w:t>
      </w:r>
    </w:p>
    <w:p>
      <w:pPr>
        <w:jc w:val="center"/>
      </w:pPr>
      <w:r>
        <w:rPr>
          <w:rFonts w:ascii="Times New Roman" w:hAnsi="Times New Roman"/>
          <w:i/>
          <w:color w:val="FF6600"/>
          <w:sz w:val="18"/>
        </w:rPr>
        <w:t>--- Trang 19, V-NAMHS, UNICEF/IOS 2022 ---</w:t>
      </w:r>
    </w:p>
    <w:p>
      <w:r>
        <w:rPr>
          <w:rFonts w:ascii="Times New Roman" w:hAnsi="Times New Roman"/>
        </w:rPr>
        <w:t>Điều này phân biệt một công cụ chẩn đoán, như DISC-5, với các "thang triệu chứng" (symptom scales) chỉ hỏi về sự hiện diện chung của triệu chứng. Vì vậy, thang triệu chứng thường báo cáo tỷ lệ cao hơn nhiều so với công cụ chẩn đoán (COVID-19 Mental Disorders Collaborators 2021, Ferrari et al. 2013, GBD 2019 Mental Disorders Collaborators 2022) vì chúng đánh giá triệu chứng, không phải rối loạn.</w:t>
      </w:r>
    </w:p>
    <w:p>
      <w:r>
        <w:rPr>
          <w:rFonts w:ascii="Times New Roman" w:hAnsi="Times New Roman"/>
        </w:rPr>
        <w:t>Tuy nhiên, các cá nhân vẫn có thể trải qua căng thẳng và suy giảm chức năng liên quan mà không nhất thiết đáp ứng tiêu chí DSM-5 để chẩn đoán một rối loạn cụ thể. Những cá nhân này có thể là nhóm quan trọng cho can thiệp trước khi tiến triển thành một rối loạn tâm thần đầy đủ (Pagliaro et al. 2021). Song song, đã có câu hỏi về tính áp dụng của tiêu chí chẩn đoán DSM-5 với các nền văn hoá phi phương Tây cũng như tác động của các yếu tố văn hoá khi sử dụng công cụ chuẩn hoá như DISC-5 (Canino and Alegria 2008).</w:t>
      </w:r>
    </w:p>
    <w:p>
      <w:r>
        <w:rPr>
          <w:rFonts w:ascii="Times New Roman" w:hAnsi="Times New Roman"/>
        </w:rPr>
        <w:t>Thừa nhận các thách thức tiềm tàng này, hai bộ phát hiện được trình bày. Thứ nhất, tỷ lệ "vấn đề SKTT" (mental health problems) được báo cáo, bao gồm các cá nhân đáp ứng ít nhất một nửa số triệu chứng cho một rối loạn tâm thần theo DISC-5 nhưng có thể không nhất thiết đáp ứng tất cả tiêu chí chẩn đoán DSM-5. Thứ hai, tỷ lệ "rối loạn tâm thần" (mental disorders) được báo cáo. Nhóm này gồm các cá nhân đáp ứng tiêu chí chẩn đoán DSM-5. Bảng 5 dưới đây đưa ra định nghĩa chung cho vấn đề SKTT và rối loạn tâm thần, cũng như định nghĩa thao tác hóa áp dụng trong V-NAMHS. Thuật ngữ cho các loại vấn đề SKTT khác với rối loạn tâm thần cũng được hiển thị.</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r>
          </w:p>
        </w:tc>
        <w:tc>
          <w:tcPr>
            <w:tcW w:type="dxa" w:w="2880"/>
            <w:shd w:fill="D9E1F2"/>
          </w:tcPr>
          <w:p>
            <w:r/>
            <w:r>
              <w:rPr>
                <w:rFonts w:ascii="Times New Roman" w:hAnsi="Times New Roman"/>
                <w:b/>
                <w:sz w:val="20"/>
              </w:rPr>
              <w:t>Vấn đề SKTT (Mental health problem)</w:t>
            </w:r>
          </w:p>
        </w:tc>
        <w:tc>
          <w:tcPr>
            <w:tcW w:type="dxa" w:w="2880"/>
            <w:shd w:fill="D9E1F2"/>
          </w:tcPr>
          <w:p>
            <w:r/>
            <w:r>
              <w:rPr>
                <w:rFonts w:ascii="Times New Roman" w:hAnsi="Times New Roman"/>
                <w:b/>
                <w:sz w:val="20"/>
              </w:rPr>
              <w:t>Rối loạn tâm thần (Mental disorder)</w:t>
            </w:r>
          </w:p>
        </w:tc>
      </w:tr>
      <w:tr>
        <w:tc>
          <w:tcPr>
            <w:tcW w:type="dxa" w:w="2880"/>
          </w:tcPr>
          <w:p>
            <w:r/>
            <w:r>
              <w:rPr>
                <w:rFonts w:ascii="Times New Roman" w:hAnsi="Times New Roman"/>
                <w:sz w:val="20"/>
              </w:rPr>
              <w:t>Định nghĩa chung</w:t>
            </w:r>
          </w:p>
        </w:tc>
        <w:tc>
          <w:tcPr>
            <w:tcW w:type="dxa" w:w="2880"/>
          </w:tcPr>
          <w:p>
            <w:r/>
            <w:r>
              <w:rPr>
                <w:rFonts w:ascii="Times New Roman" w:hAnsi="Times New Roman"/>
                <w:sz w:val="20"/>
              </w:rPr>
              <w:t>Can thiệp vào cách một người suy nghĩ, cảm xúc và hành vi, nhưng ở mức độ ít hơn so với rối loạn tâm thần. Có thể là tạm thời hoặc phản ứng cấp tính với căng thẳng cuộc sống.</w:t>
            </w:r>
          </w:p>
        </w:tc>
        <w:tc>
          <w:tcPr>
            <w:tcW w:type="dxa" w:w="2880"/>
          </w:tcPr>
          <w:p>
            <w:r/>
            <w:r>
              <w:rPr>
                <w:rFonts w:ascii="Times New Roman" w:hAnsi="Times New Roman"/>
                <w:sz w:val="20"/>
              </w:rPr>
              <w:t>Hội chứng hành vi hoặc tâm lý có ý nghĩa lâm sàng xảy ra ở một cá nhân, gắn với căng thẳng hiện tại (triệu chứng đau đớn), khuyết tật (suy giảm ở một hoặc nhiều lĩnh vực chức năng quan trọng), và/hoặc tăng nguy cơ tử vong, đau đớn, khuyết tật hoặc mất tự do đáng kể.</w:t>
            </w:r>
          </w:p>
        </w:tc>
      </w:tr>
      <w:tr>
        <w:tc>
          <w:tcPr>
            <w:tcW w:type="dxa" w:w="2880"/>
          </w:tcPr>
          <w:p>
            <w:r/>
            <w:r>
              <w:rPr>
                <w:rFonts w:ascii="Times New Roman" w:hAnsi="Times New Roman"/>
                <w:sz w:val="20"/>
              </w:rPr>
              <w:t>Định nghĩa áp dụng trong V-NAMHS</w:t>
            </w:r>
          </w:p>
        </w:tc>
        <w:tc>
          <w:tcPr>
            <w:tcW w:type="dxa" w:w="2880"/>
          </w:tcPr>
          <w:p>
            <w:r>
              <w:t>Một VTN được xem là có vấn đề SKTT nếu đáp ứng ít nhất một nửa số triệu chứng cần thiết để chẩn đoán một rối loạn tâm thần (tức "subthreshold symptoms (triệu chứng dưới ngưỡng)"). Do đó, nhóm có vấn đề SKTT bao gồm các em có triệu chứng dưới ngưỡng hoặc đủ ngưỡng, có hoặc không suy giảm chức năng. Tức, nhóm này cũng bao gồm các em đáp ứng tiêu chí chẩn đoán rối loạn.</w:t>
            </w:r>
            <w:r>
              <w:rPr>
                <w:rFonts w:ascii="Times New Roman" w:hAnsi="Times New Roman"/>
                <w:sz w:val="20"/>
              </w:rPr>
            </w:r>
          </w:p>
        </w:tc>
        <w:tc>
          <w:tcPr>
            <w:tcW w:type="dxa" w:w="2880"/>
          </w:tcPr>
          <w:p>
            <w:r>
              <w:t>Một VTN được xem là đáp ứng tiêu chí DSM-5 nếu tất cả các triệu chứng yêu cầu (tức "full threshold symptoms (triệu chứng đầy đủ ngưỡng)") và mức độ suy giảm chức năng do các triệu chứng này đều được ghi nhận. Chẩn đoán này tuân theo các thuật toán chấm điểm chuẩn do tác giả DISC-5 cung cấp.</w:t>
            </w:r>
            <w:r>
              <w:rPr>
                <w:rFonts w:ascii="Times New Roman" w:hAnsi="Times New Roman"/>
                <w:sz w:val="20"/>
              </w:rPr>
            </w:r>
          </w:p>
        </w:tc>
      </w:tr>
      <w:tr>
        <w:tc>
          <w:tcPr>
            <w:tcW w:type="dxa" w:w="2880"/>
          </w:tcPr>
          <w:p>
            <w:r/>
            <w:r>
              <w:rPr>
                <w:rFonts w:ascii="Times New Roman" w:hAnsi="Times New Roman"/>
                <w:sz w:val="20"/>
              </w:rPr>
              <w:t>Thuật ngữ cho các loại khác nhau</w:t>
            </w:r>
          </w:p>
        </w:tc>
        <w:tc>
          <w:tcPr>
            <w:tcW w:type="dxa" w:w="2880"/>
          </w:tcPr>
          <w:p>
            <w:r/>
            <w:r>
              <w:rPr>
                <w:rFonts w:ascii="Times New Roman" w:hAnsi="Times New Roman"/>
                <w:sz w:val="20"/>
              </w:rPr>
              <w:t>Trầm cảm (Depression) — Lo âu (Anxiety) — Căng thẳng sau sang chấn (Posttraumatic stress) — Các vấn đề hành vi (Conduct problems) — Các vấn đề mất chú ý và/hoặc tăng động (Problems with inattention and/or hyperactivity)</w:t>
            </w:r>
          </w:p>
        </w:tc>
        <w:tc>
          <w:tcPr>
            <w:tcW w:type="dxa" w:w="2880"/>
          </w:tcPr>
          <w:p>
            <w:r/>
            <w:r>
              <w:rPr>
                <w:rFonts w:ascii="Times New Roman" w:hAnsi="Times New Roman"/>
                <w:sz w:val="20"/>
              </w:rPr>
              <w:t>Rối loạn trầm cảm nặng (Major depressive disorder) — Các rối loạn lo âu (Anxiety disorders) — PTSD — Rối loạn hành vi (Conduct disorder) — ADHD</w:t>
            </w:r>
          </w:p>
        </w:tc>
      </w:tr>
    </w:tbl>
    <w:p>
      <w:r>
        <w:rPr>
          <w:rFonts w:ascii="Times New Roman" w:hAnsi="Times New Roman"/>
          <w:i/>
          <w:color w:val="666666"/>
          <w:sz w:val="18"/>
        </w:rPr>
        <w:t>Bảng 5. Định nghĩa vấn đề SKTT và rối loạn tâm thần. Nguồn: Bảng 5 báo cáo gốc, trang 19.</w:t>
      </w:r>
    </w:p>
    <w:p>
      <w:pPr>
        <w:jc w:val="center"/>
      </w:pPr>
      <w:r>
        <w:rPr>
          <w:rFonts w:ascii="Times New Roman" w:hAnsi="Times New Roman"/>
          <w:i/>
          <w:color w:val="FF6600"/>
          <w:sz w:val="18"/>
        </w:rPr>
        <w:t>--- Trang 19-end, V-NAMHS, UNICEF/IOS 2022 ---</w:t>
      </w:r>
    </w:p>
    <w:p>
      <w:pPr>
        <w:jc w:val="center"/>
      </w:pPr>
      <w:r>
        <w:drawing>
          <wp:inline xmlns:a="http://schemas.openxmlformats.org/drawingml/2006/main" xmlns:pic="http://schemas.openxmlformats.org/drawingml/2006/picture">
            <wp:extent cx="3960000" cy="2155590"/>
            <wp:docPr id="4" name="Picture 4"/>
            <wp:cNvGraphicFramePr>
              <a:graphicFrameLocks noChangeAspect="1"/>
            </wp:cNvGraphicFramePr>
            <a:graphic>
              <a:graphicData uri="http://schemas.openxmlformats.org/drawingml/2006/picture">
                <pic:pic>
                  <pic:nvPicPr>
                    <pic:cNvPr id="0" name="p019_img1_Image216.jpg"/>
                    <pic:cNvPicPr/>
                  </pic:nvPicPr>
                  <pic:blipFill>
                    <a:blip r:embed="rId12"/>
                    <a:stretch>
                      <a:fillRect/>
                    </a:stretch>
                  </pic:blipFill>
                  <pic:spPr>
                    <a:xfrm>
                      <a:off x="0" y="0"/>
                      <a:ext cx="3960000" cy="2155590"/>
                    </a:xfrm>
                    <a:prstGeom prst="rect"/>
                  </pic:spPr>
                </pic:pic>
              </a:graphicData>
            </a:graphic>
          </wp:inline>
        </w:drawing>
      </w:r>
    </w:p>
    <w:p>
      <w:pPr>
        <w:jc w:val="center"/>
      </w:pPr>
      <w:r>
        <w:rPr>
          <w:rFonts w:ascii="Times New Roman" w:hAnsi="Times New Roman"/>
          <w:i/>
          <w:color w:val="666666"/>
          <w:sz w:val="18"/>
        </w:rPr>
        <w:t>Hình minh hoạ Chương Sức khoẻ tâm thần</w:t>
        <w:br/>
        <w:t>(Chapter divider — Mental Health section)</w:t>
      </w:r>
    </w:p>
    <w:p>
      <w:pPr>
        <w:jc w:val="center"/>
      </w:pPr>
      <w:r>
        <w:rPr>
          <w:rFonts w:ascii="Times New Roman" w:hAnsi="Times New Roman"/>
          <w:i/>
          <w:color w:val="FF6600"/>
          <w:sz w:val="18"/>
        </w:rPr>
        <w:t>--- Trang 20, V-NAMHS, UNICEF/IOS 2022 ---</w:t>
      </w:r>
    </w:p>
    <w:p>
      <w:r>
        <w:rPr>
          <w:rFonts w:ascii="Times New Roman" w:hAnsi="Times New Roman"/>
          <w:b/>
          <w:color w:val="2E548B"/>
          <w:sz w:val="24"/>
        </w:rPr>
        <w:t>Phát hiện (Findings)</w:t>
      </w:r>
    </w:p>
    <w:p>
      <w:r>
        <w:rPr>
          <w:rFonts w:ascii="Times New Roman" w:hAnsi="Times New Roman"/>
          <w:b/>
          <w:i/>
          <w:sz w:val="22"/>
        </w:rPr>
        <w:t>Vấn đề SKTT (Mental health problems)</w:t>
      </w:r>
    </w:p>
    <w:p>
      <w:r>
        <w:rPr>
          <w:rFonts w:ascii="Times New Roman" w:hAnsi="Times New Roman"/>
        </w:rPr>
        <w:t>Một phần năm vị thành niên (21,7 %) báo cáo có một vấn đề SKTT trong 12 tháng qua (Bảng 6). Không có khác biệt về tỷ lệ giữa nam và nữ, hoặc giữa nhóm 10–13 tuổi và 14–17 tuổi.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
              <w:rPr>
                <w:rFonts w:ascii="Times New Roman" w:hAnsi="Times New Roman"/>
                <w:b/>
                <w:sz w:val="20"/>
              </w:rPr>
              <w:t>Vấn đề SKTT</w:t>
            </w:r>
          </w:p>
        </w:tc>
        <w:tc>
          <w:tcPr>
            <w:tcW w:type="dxa" w:w="1234"/>
            <w:shd w:fill="D9E1F2"/>
          </w:tcPr>
          <w:p>
            <w:r/>
            <w:r>
              <w:rPr>
                <w:rFonts w:ascii="Times New Roman" w:hAnsi="Times New Roman"/>
                <w:b/>
                <w:sz w:val="20"/>
              </w:rPr>
              <w:t>% 10–13</w:t>
            </w:r>
          </w:p>
        </w:tc>
        <w:tc>
          <w:tcPr>
            <w:tcW w:type="dxa" w:w="1234"/>
            <w:shd w:fill="D9E1F2"/>
          </w:tcPr>
          <w:p>
            <w:r/>
            <w:r>
              <w:rPr>
                <w:rFonts w:ascii="Times New Roman" w:hAnsi="Times New Roman"/>
                <w:b/>
                <w:sz w:val="20"/>
              </w:rPr>
              <w:t>n 10–13</w:t>
            </w:r>
          </w:p>
        </w:tc>
        <w:tc>
          <w:tcPr>
            <w:tcW w:type="dxa" w:w="1234"/>
            <w:shd w:fill="D9E1F2"/>
          </w:tcPr>
          <w:p>
            <w:r/>
            <w:r>
              <w:rPr>
                <w:rFonts w:ascii="Times New Roman" w:hAnsi="Times New Roman"/>
                <w:b/>
                <w:sz w:val="20"/>
              </w:rPr>
              <w:t>% 14–17</w:t>
            </w:r>
          </w:p>
        </w:tc>
        <w:tc>
          <w:tcPr>
            <w:tcW w:type="dxa" w:w="1234"/>
            <w:shd w:fill="D9E1F2"/>
          </w:tcPr>
          <w:p>
            <w:r/>
            <w:r>
              <w:rPr>
                <w:rFonts w:ascii="Times New Roman" w:hAnsi="Times New Roman"/>
                <w:b/>
                <w:sz w:val="20"/>
              </w:rPr>
              <w:t>n 14–17</w:t>
            </w:r>
          </w:p>
        </w:tc>
        <w:tc>
          <w:tcPr>
            <w:tcW w:type="dxa" w:w="1234"/>
            <w:shd w:fill="D9E1F2"/>
          </w:tcPr>
          <w:p>
            <w:r/>
            <w:r>
              <w:rPr>
                <w:rFonts w:ascii="Times New Roman" w:hAnsi="Times New Roman"/>
                <w:b/>
                <w:sz w:val="20"/>
              </w:rPr>
              <w:t>% 10–17</w:t>
            </w:r>
          </w:p>
        </w:tc>
        <w:tc>
          <w:tcPr>
            <w:tcW w:type="dxa" w:w="1234"/>
            <w:shd w:fill="D9E1F2"/>
          </w:tcPr>
          <w:p>
            <w:r/>
            <w:r>
              <w:rPr>
                <w:rFonts w:ascii="Times New Roman" w:hAnsi="Times New Roman"/>
                <w:b/>
                <w:sz w:val="20"/>
              </w:rPr>
              <w:t>n 10–17</w:t>
            </w:r>
          </w:p>
        </w:tc>
      </w:tr>
      <w:tr>
        <w:tc>
          <w:tcPr>
            <w:tcW w:type="dxa" w:w="1234"/>
          </w:tcPr>
          <w:p>
            <w:r/>
            <w:r>
              <w:rPr>
                <w:rFonts w:ascii="Times New Roman" w:hAnsi="Times New Roman"/>
                <w:sz w:val="20"/>
              </w:rPr>
              <w:t>Nam</w:t>
            </w:r>
          </w:p>
        </w:tc>
        <w:tc>
          <w:tcPr>
            <w:tcW w:type="dxa" w:w="1234"/>
          </w:tcPr>
          <w:p>
            <w:r/>
            <w:r>
              <w:rPr>
                <w:rFonts w:ascii="Times New Roman" w:hAnsi="Times New Roman"/>
                <w:sz w:val="20"/>
              </w:rPr>
              <w:t>21,4</w:t>
            </w:r>
          </w:p>
        </w:tc>
        <w:tc>
          <w:tcPr>
            <w:tcW w:type="dxa" w:w="1234"/>
          </w:tcPr>
          <w:p>
            <w:r/>
            <w:r>
              <w:rPr>
                <w:rFonts w:ascii="Times New Roman" w:hAnsi="Times New Roman"/>
                <w:sz w:val="20"/>
              </w:rPr>
              <w:t>357</w:t>
            </w:r>
          </w:p>
        </w:tc>
        <w:tc>
          <w:tcPr>
            <w:tcW w:type="dxa" w:w="1234"/>
          </w:tcPr>
          <w:p>
            <w:r/>
            <w:r>
              <w:rPr>
                <w:rFonts w:ascii="Times New Roman" w:hAnsi="Times New Roman"/>
                <w:sz w:val="20"/>
              </w:rPr>
              <w:t>20,2</w:t>
            </w:r>
          </w:p>
        </w:tc>
        <w:tc>
          <w:tcPr>
            <w:tcW w:type="dxa" w:w="1234"/>
          </w:tcPr>
          <w:p>
            <w:r/>
            <w:r>
              <w:rPr>
                <w:rFonts w:ascii="Times New Roman" w:hAnsi="Times New Roman"/>
                <w:sz w:val="20"/>
              </w:rPr>
              <w:t>292</w:t>
            </w:r>
          </w:p>
        </w:tc>
        <w:tc>
          <w:tcPr>
            <w:tcW w:type="dxa" w:w="1234"/>
          </w:tcPr>
          <w:p>
            <w:r/>
            <w:r>
              <w:rPr>
                <w:rFonts w:ascii="Times New Roman" w:hAnsi="Times New Roman"/>
                <w:sz w:val="20"/>
              </w:rPr>
              <w:t>20,8</w:t>
            </w:r>
          </w:p>
        </w:tc>
        <w:tc>
          <w:tcPr>
            <w:tcW w:type="dxa" w:w="1234"/>
          </w:tcPr>
          <w:p>
            <w:r/>
            <w:r>
              <w:rPr>
                <w:rFonts w:ascii="Times New Roman" w:hAnsi="Times New Roman"/>
                <w:sz w:val="20"/>
              </w:rPr>
              <w:t>649</w:t>
            </w:r>
          </w:p>
        </w:tc>
      </w:tr>
      <w:tr>
        <w:tc>
          <w:tcPr>
            <w:tcW w:type="dxa" w:w="1234"/>
          </w:tcPr>
          <w:p>
            <w:r/>
            <w:r>
              <w:rPr>
                <w:rFonts w:ascii="Times New Roman" w:hAnsi="Times New Roman"/>
                <w:sz w:val="20"/>
              </w:rPr>
              <w:t>Nữ</w:t>
            </w:r>
          </w:p>
        </w:tc>
        <w:tc>
          <w:tcPr>
            <w:tcW w:type="dxa" w:w="1234"/>
          </w:tcPr>
          <w:p>
            <w:r/>
            <w:r>
              <w:rPr>
                <w:rFonts w:ascii="Times New Roman" w:hAnsi="Times New Roman"/>
                <w:sz w:val="20"/>
              </w:rPr>
              <w:t>20,2</w:t>
            </w:r>
          </w:p>
        </w:tc>
        <w:tc>
          <w:tcPr>
            <w:tcW w:type="dxa" w:w="1234"/>
          </w:tcPr>
          <w:p>
            <w:r/>
            <w:r>
              <w:rPr>
                <w:rFonts w:ascii="Times New Roman" w:hAnsi="Times New Roman"/>
                <w:sz w:val="20"/>
              </w:rPr>
              <w:t>302</w:t>
            </w:r>
          </w:p>
        </w:tc>
        <w:tc>
          <w:tcPr>
            <w:tcW w:type="dxa" w:w="1234"/>
          </w:tcPr>
          <w:p>
            <w:r/>
            <w:r>
              <w:rPr>
                <w:rFonts w:ascii="Times New Roman" w:hAnsi="Times New Roman"/>
                <w:sz w:val="20"/>
              </w:rPr>
              <w:t>25,3</w:t>
            </w:r>
          </w:p>
        </w:tc>
        <w:tc>
          <w:tcPr>
            <w:tcW w:type="dxa" w:w="1234"/>
          </w:tcPr>
          <w:p>
            <w:r/>
            <w:r>
              <w:rPr>
                <w:rFonts w:ascii="Times New Roman" w:hAnsi="Times New Roman"/>
                <w:sz w:val="20"/>
              </w:rPr>
              <w:t>350</w:t>
            </w:r>
          </w:p>
        </w:tc>
        <w:tc>
          <w:tcPr>
            <w:tcW w:type="dxa" w:w="1234"/>
          </w:tcPr>
          <w:p>
            <w:r/>
            <w:r>
              <w:rPr>
                <w:rFonts w:ascii="Times New Roman" w:hAnsi="Times New Roman"/>
                <w:sz w:val="20"/>
              </w:rPr>
              <w:t>22,6</w:t>
            </w:r>
          </w:p>
        </w:tc>
        <w:tc>
          <w:tcPr>
            <w:tcW w:type="dxa" w:w="1234"/>
          </w:tcPr>
          <w:p>
            <w:r/>
            <w:r>
              <w:rPr>
                <w:rFonts w:ascii="Times New Roman" w:hAnsi="Times New Roman"/>
                <w:sz w:val="20"/>
              </w:rPr>
              <w:t>651</w:t>
            </w:r>
          </w:p>
        </w:tc>
      </w:tr>
      <w:tr>
        <w:tc>
          <w:tcPr>
            <w:tcW w:type="dxa" w:w="1234"/>
          </w:tcPr>
          <w:p>
            <w:r/>
            <w:r>
              <w:rPr>
                <w:rFonts w:ascii="Times New Roman" w:hAnsi="Times New Roman"/>
                <w:sz w:val="20"/>
              </w:rPr>
              <w:t>Tổng</w:t>
            </w:r>
          </w:p>
        </w:tc>
        <w:tc>
          <w:tcPr>
            <w:tcW w:type="dxa" w:w="1234"/>
          </w:tcPr>
          <w:p>
            <w:r/>
            <w:r>
              <w:rPr>
                <w:rFonts w:ascii="Times New Roman" w:hAnsi="Times New Roman"/>
                <w:sz w:val="20"/>
              </w:rPr>
              <w:t>20,8</w:t>
            </w:r>
          </w:p>
        </w:tc>
        <w:tc>
          <w:tcPr>
            <w:tcW w:type="dxa" w:w="1234"/>
          </w:tcPr>
          <w:p>
            <w:r/>
            <w:r>
              <w:rPr>
                <w:rFonts w:ascii="Times New Roman" w:hAnsi="Times New Roman"/>
                <w:sz w:val="20"/>
              </w:rPr>
              <w:t>659</w:t>
            </w:r>
          </w:p>
        </w:tc>
        <w:tc>
          <w:tcPr>
            <w:tcW w:type="dxa" w:w="1234"/>
          </w:tcPr>
          <w:p>
            <w:r/>
            <w:r>
              <w:rPr>
                <w:rFonts w:ascii="Times New Roman" w:hAnsi="Times New Roman"/>
                <w:sz w:val="20"/>
              </w:rPr>
              <w:t>22,7</w:t>
            </w:r>
          </w:p>
        </w:tc>
        <w:tc>
          <w:tcPr>
            <w:tcW w:type="dxa" w:w="1234"/>
          </w:tcPr>
          <w:p>
            <w:r/>
            <w:r>
              <w:rPr>
                <w:rFonts w:ascii="Times New Roman" w:hAnsi="Times New Roman"/>
                <w:sz w:val="20"/>
              </w:rPr>
              <w:t>462</w:t>
            </w:r>
          </w:p>
        </w:tc>
        <w:tc>
          <w:tcPr>
            <w:tcW w:type="dxa" w:w="1234"/>
          </w:tcPr>
          <w:p>
            <w:r/>
            <w:r>
              <w:rPr>
                <w:rFonts w:ascii="Times New Roman" w:hAnsi="Times New Roman"/>
                <w:sz w:val="20"/>
              </w:rPr>
              <w:t>21,7</w:t>
            </w:r>
          </w:p>
        </w:tc>
        <w:tc>
          <w:tcPr>
            <w:tcW w:type="dxa" w:w="1234"/>
          </w:tcPr>
          <w:p>
            <w:r/>
            <w:r>
              <w:rPr>
                <w:rFonts w:ascii="Times New Roman" w:hAnsi="Times New Roman"/>
                <w:sz w:val="20"/>
              </w:rPr>
              <w:t>1.301</w:t>
            </w:r>
          </w:p>
        </w:tc>
      </w:tr>
    </w:tbl>
    <w:p>
      <w:r>
        <w:rPr>
          <w:rFonts w:ascii="Times New Roman" w:hAnsi="Times New Roman"/>
          <w:i/>
          <w:color w:val="666666"/>
          <w:sz w:val="18"/>
        </w:rPr>
        <w:t>Bảng 6. Tỷ lệ 12 tháng qua của vấn đề SKTT ở VTN 10–17 tuổi theo giới và nhóm tuổi. Gia trọng N: nam = 3.119; nữ = 2.877; 10–13 = 3.167; 14–17 = 2.829. Nguồn: Bảng 6 báo cáo gốc, trang 20.</w:t>
      </w:r>
    </w:p>
    <w:p>
      <w:r>
        <w:rPr>
          <w:rFonts w:ascii="Times New Roman" w:hAnsi="Times New Roman"/>
        </w:rPr>
        <w:t>Hình 1 cho thấy lo âu có tỷ lệ cao nhất trong các vấn đề SKTT (18,6 %).</w:t>
      </w:r>
    </w:p>
    <w:tbl>
      <w:tblPr>
        <w:tblStyle w:val="TableGrid"/>
        <w:tblW w:type="auto" w:w="0"/>
        <w:tblLook w:firstColumn="1" w:firstRow="1" w:lastColumn="0" w:lastRow="0" w:noHBand="0" w:noVBand="1" w:val="04A0"/>
      </w:tblPr>
      <w:tblGrid>
        <w:gridCol w:w="4320"/>
        <w:gridCol w:w="4320"/>
      </w:tblGrid>
      <w:tr>
        <w:tc>
          <w:tcPr>
            <w:tcW w:type="dxa" w:w="4320"/>
            <w:shd w:fill="FFF2CC"/>
          </w:tcPr>
          <w:p>
            <w:r/>
            <w:r>
              <w:rPr>
                <w:rFonts w:ascii="Times New Roman" w:hAnsi="Times New Roman"/>
                <w:b/>
                <w:sz w:val="20"/>
              </w:rPr>
              <w:t>Loại vấn đề SKTT</w:t>
            </w:r>
          </w:p>
        </w:tc>
        <w:tc>
          <w:tcPr>
            <w:tcW w:type="dxa" w:w="4320"/>
            <w:shd w:fill="FFF2CC"/>
          </w:tcPr>
          <w:p>
            <w:r/>
            <w:r>
              <w:rPr>
                <w:rFonts w:ascii="Times New Roman" w:hAnsi="Times New Roman"/>
                <w:b/>
                <w:sz w:val="20"/>
              </w:rPr>
              <w:t>Tỷ lệ %</w:t>
            </w:r>
          </w:p>
        </w:tc>
      </w:tr>
      <w:tr>
        <w:tc>
          <w:tcPr>
            <w:tcW w:type="dxa" w:w="4320"/>
          </w:tcPr>
          <w:p>
            <w:r/>
            <w:r>
              <w:rPr>
                <w:rFonts w:ascii="Times New Roman" w:hAnsi="Times New Roman"/>
                <w:sz w:val="20"/>
              </w:rPr>
              <w:t>Lo âu (Anxiety)</w:t>
            </w:r>
          </w:p>
        </w:tc>
        <w:tc>
          <w:tcPr>
            <w:tcW w:type="dxa" w:w="4320"/>
          </w:tcPr>
          <w:p>
            <w:r/>
            <w:r>
              <w:rPr>
                <w:rFonts w:ascii="Times New Roman" w:hAnsi="Times New Roman"/>
                <w:sz w:val="20"/>
              </w:rPr>
              <w:t>18,6</w:t>
            </w:r>
          </w:p>
        </w:tc>
      </w:tr>
      <w:tr>
        <w:tc>
          <w:tcPr>
            <w:tcW w:type="dxa" w:w="4320"/>
          </w:tcPr>
          <w:p>
            <w:r/>
            <w:r>
              <w:rPr>
                <w:rFonts w:ascii="Times New Roman" w:hAnsi="Times New Roman"/>
                <w:sz w:val="20"/>
              </w:rPr>
              <w:t>Trầm cảm (Depression)</w:t>
            </w:r>
          </w:p>
        </w:tc>
        <w:tc>
          <w:tcPr>
            <w:tcW w:type="dxa" w:w="4320"/>
          </w:tcPr>
          <w:p>
            <w:r/>
            <w:r>
              <w:rPr>
                <w:rFonts w:ascii="Times New Roman" w:hAnsi="Times New Roman"/>
                <w:sz w:val="20"/>
              </w:rPr>
              <w:t>4,3</w:t>
            </w:r>
          </w:p>
        </w:tc>
      </w:tr>
      <w:tr>
        <w:tc>
          <w:tcPr>
            <w:tcW w:type="dxa" w:w="4320"/>
          </w:tcPr>
          <w:p>
            <w:r/>
            <w:r>
              <w:rPr>
                <w:rFonts w:ascii="Times New Roman" w:hAnsi="Times New Roman"/>
                <w:sz w:val="20"/>
              </w:rPr>
              <w:t>Các vấn đề mất chú ý và/hoặc tăng động (Problems with inattention/hyperactivity)</w:t>
            </w:r>
          </w:p>
        </w:tc>
        <w:tc>
          <w:tcPr>
            <w:tcW w:type="dxa" w:w="4320"/>
          </w:tcPr>
          <w:p>
            <w:r/>
            <w:r>
              <w:rPr>
                <w:rFonts w:ascii="Times New Roman" w:hAnsi="Times New Roman"/>
                <w:sz w:val="20"/>
              </w:rPr>
              <w:t>2,8</w:t>
            </w:r>
          </w:p>
        </w:tc>
      </w:tr>
      <w:tr>
        <w:tc>
          <w:tcPr>
            <w:tcW w:type="dxa" w:w="4320"/>
          </w:tcPr>
          <w:p>
            <w:r/>
            <w:r>
              <w:rPr>
                <w:rFonts w:ascii="Times New Roman" w:hAnsi="Times New Roman"/>
                <w:sz w:val="20"/>
              </w:rPr>
              <w:t>Căng thẳng sau sang chấn (Posttraumatic stress)</w:t>
            </w:r>
          </w:p>
        </w:tc>
        <w:tc>
          <w:tcPr>
            <w:tcW w:type="dxa" w:w="4320"/>
          </w:tcPr>
          <w:p>
            <w:r/>
            <w:r>
              <w:rPr>
                <w:rFonts w:ascii="Times New Roman" w:hAnsi="Times New Roman"/>
                <w:sz w:val="20"/>
              </w:rPr>
              <w:t>1,0</w:t>
            </w:r>
          </w:p>
        </w:tc>
      </w:tr>
      <w:tr>
        <w:tc>
          <w:tcPr>
            <w:tcW w:type="dxa" w:w="4320"/>
          </w:tcPr>
          <w:p>
            <w:r/>
            <w:r>
              <w:rPr>
                <w:rFonts w:ascii="Times New Roman" w:hAnsi="Times New Roman"/>
                <w:sz w:val="20"/>
              </w:rPr>
              <w:t>Các vấn đề hành vi (Conduct problems)</w:t>
            </w:r>
          </w:p>
        </w:tc>
        <w:tc>
          <w:tcPr>
            <w:tcW w:type="dxa" w:w="4320"/>
          </w:tcPr>
          <w:p>
            <w:r/>
            <w:r>
              <w:rPr>
                <w:rFonts w:ascii="Times New Roman" w:hAnsi="Times New Roman"/>
                <w:sz w:val="20"/>
              </w:rPr>
              <w:t>0,7</w:t>
            </w:r>
          </w:p>
        </w:tc>
      </w:tr>
    </w:tbl>
    <w:p>
      <w:r>
        <w:rPr>
          <w:rFonts w:ascii="Times New Roman" w:hAnsi="Times New Roman"/>
          <w:i/>
          <w:color w:val="666666"/>
          <w:sz w:val="18"/>
        </w:rPr>
        <w:t>Hình 1. Tỷ lệ 12 tháng qua của vấn đề SKTT ở VTN 10–17 tuổi theo loại. Nguồn: Figure 1 báo cáo gốc, trang 20.</w:t>
      </w:r>
    </w:p>
    <w:p>
      <w:r>
        <w:rPr>
          <w:rFonts w:ascii="Times New Roman" w:hAnsi="Times New Roman"/>
        </w:rPr>
        <w:t>VTN có vấn đề SKTT sau đó được phân tích thêm để xác định tỷ lệ báo cáo suy giảm chức năng do triệu chứng, kết hợp với tỷ lệ báo cáo triệu chứng ở ngưỡng đầy đủ hay dưới ngưỡng. Ngưỡng triệu chứng dựa trên tiêu chí DSM-5, trong đó triệu chứng dưới ngưỡng (subthreshold) cho biết đáp ứng ít nhất một nửa số triệu chứng yêu cầu, trong khi triệu chứng đầy đủ ngưỡng (full threshold) cho biết đáp ứng tất cả triệu chứng yêu cầu. Điều này có nghĩa VTN có vấn đề SKTT được phân thành một trong bốn nhóm trong Hình 2 (lưu ý: triệu chứng đầy đủ ngưỡng CÓ suy giảm = đáp ứng tiêu chí rối loạn tâm thần). Như Hình 2 cho thấy, hầu hết VTN có vấn đề SKTT báo cáo có mức suy giảm nào đó do triệu chứng của họ — cho dù ghi nhận tất cả triệu chứng (3,3 %) hay ít nhất một nửa (10,3 %).</w:t>
      </w:r>
    </w:p>
    <w:p>
      <w:pPr>
        <w:jc w:val="center"/>
      </w:pPr>
      <w:r>
        <w:rPr>
          <w:rFonts w:ascii="Times New Roman" w:hAnsi="Times New Roman"/>
          <w:i/>
          <w:color w:val="FF6600"/>
          <w:sz w:val="18"/>
        </w:rPr>
        <w:t>--- Trang 21, V-NAMHS, UNICEF/IOS 2022 ---</w:t>
      </w:r>
    </w:p>
    <w:tbl>
      <w:tblPr>
        <w:tblStyle w:val="TableGrid"/>
        <w:tblW w:type="auto" w:w="0"/>
        <w:tblLook w:firstColumn="1" w:firstRow="1" w:lastColumn="0" w:lastRow="0" w:noHBand="0" w:noVBand="1" w:val="04A0"/>
      </w:tblPr>
      <w:tblGrid>
        <w:gridCol w:w="4320"/>
        <w:gridCol w:w="4320"/>
      </w:tblGrid>
      <w:tr>
        <w:tc>
          <w:tcPr>
            <w:tcW w:type="dxa" w:w="4320"/>
            <w:shd w:fill="FFE6CC"/>
          </w:tcPr>
          <w:p>
            <w:r/>
            <w:r>
              <w:rPr>
                <w:rFonts w:ascii="Times New Roman" w:hAnsi="Times New Roman"/>
                <w:b/>
                <w:sz w:val="20"/>
              </w:rPr>
              <w:t>Phân nhóm vấn đề SKTT</w:t>
            </w:r>
          </w:p>
        </w:tc>
        <w:tc>
          <w:tcPr>
            <w:tcW w:type="dxa" w:w="4320"/>
            <w:shd w:fill="FFE6CC"/>
          </w:tcPr>
          <w:p>
            <w:r/>
            <w:r>
              <w:rPr>
                <w:rFonts w:ascii="Times New Roman" w:hAnsi="Times New Roman"/>
                <w:b/>
                <w:sz w:val="20"/>
              </w:rPr>
              <w:t>Tỷ lệ %</w:t>
            </w:r>
          </w:p>
        </w:tc>
      </w:tr>
      <w:tr>
        <w:tc>
          <w:tcPr>
            <w:tcW w:type="dxa" w:w="4320"/>
          </w:tcPr>
          <w:p>
            <w:r/>
            <w:r>
              <w:rPr>
                <w:rFonts w:ascii="Times New Roman" w:hAnsi="Times New Roman"/>
                <w:sz w:val="20"/>
              </w:rPr>
              <w:t>Không đạt ngưỡng triệu chứng (No symptom threshold met)</w:t>
            </w:r>
          </w:p>
        </w:tc>
        <w:tc>
          <w:tcPr>
            <w:tcW w:type="dxa" w:w="4320"/>
          </w:tcPr>
          <w:p>
            <w:r/>
            <w:r>
              <w:rPr>
                <w:rFonts w:ascii="Times New Roman" w:hAnsi="Times New Roman"/>
                <w:sz w:val="20"/>
              </w:rPr>
              <w:t>78,3</w:t>
            </w:r>
          </w:p>
        </w:tc>
      </w:tr>
      <w:tr>
        <w:tc>
          <w:tcPr>
            <w:tcW w:type="dxa" w:w="4320"/>
          </w:tcPr>
          <w:p>
            <w:r/>
            <w:r>
              <w:rPr>
                <w:rFonts w:ascii="Times New Roman" w:hAnsi="Times New Roman"/>
                <w:sz w:val="20"/>
              </w:rPr>
              <w:t>Triệu chứng đầy đủ + suy giảm = RỐI LOẠN TÂM THẦN</w:t>
            </w:r>
          </w:p>
        </w:tc>
        <w:tc>
          <w:tcPr>
            <w:tcW w:type="dxa" w:w="4320"/>
          </w:tcPr>
          <w:p>
            <w:r/>
            <w:r>
              <w:rPr>
                <w:rFonts w:ascii="Times New Roman" w:hAnsi="Times New Roman"/>
                <w:sz w:val="20"/>
              </w:rPr>
              <w:t>3,3</w:t>
            </w:r>
          </w:p>
        </w:tc>
      </w:tr>
      <w:tr>
        <w:tc>
          <w:tcPr>
            <w:tcW w:type="dxa" w:w="4320"/>
          </w:tcPr>
          <w:p>
            <w:r/>
            <w:r>
              <w:rPr>
                <w:rFonts w:ascii="Times New Roman" w:hAnsi="Times New Roman"/>
                <w:sz w:val="20"/>
              </w:rPr>
              <w:t>Triệu chứng dưới ngưỡng + suy giảm</w:t>
            </w:r>
          </w:p>
        </w:tc>
        <w:tc>
          <w:tcPr>
            <w:tcW w:type="dxa" w:w="4320"/>
          </w:tcPr>
          <w:p>
            <w:r/>
            <w:r>
              <w:rPr>
                <w:rFonts w:ascii="Times New Roman" w:hAnsi="Times New Roman"/>
                <w:sz w:val="20"/>
              </w:rPr>
              <w:t>10,3</w:t>
            </w:r>
          </w:p>
        </w:tc>
      </w:tr>
      <w:tr>
        <w:tc>
          <w:tcPr>
            <w:tcW w:type="dxa" w:w="4320"/>
          </w:tcPr>
          <w:p>
            <w:r/>
            <w:r>
              <w:rPr>
                <w:rFonts w:ascii="Times New Roman" w:hAnsi="Times New Roman"/>
                <w:sz w:val="20"/>
              </w:rPr>
              <w:t>Triệu chứng đầy đủ không suy giảm</w:t>
            </w:r>
          </w:p>
        </w:tc>
        <w:tc>
          <w:tcPr>
            <w:tcW w:type="dxa" w:w="4320"/>
          </w:tcPr>
          <w:p>
            <w:r/>
            <w:r>
              <w:rPr>
                <w:rFonts w:ascii="Times New Roman" w:hAnsi="Times New Roman"/>
                <w:sz w:val="20"/>
              </w:rPr>
              <w:t>0,6</w:t>
            </w:r>
          </w:p>
        </w:tc>
      </w:tr>
      <w:tr>
        <w:tc>
          <w:tcPr>
            <w:tcW w:type="dxa" w:w="4320"/>
          </w:tcPr>
          <w:p>
            <w:r/>
            <w:r>
              <w:rPr>
                <w:rFonts w:ascii="Times New Roman" w:hAnsi="Times New Roman"/>
                <w:sz w:val="20"/>
              </w:rPr>
              <w:t>Triệu chứng dưới ngưỡng không suy giảm</w:t>
            </w:r>
          </w:p>
        </w:tc>
        <w:tc>
          <w:tcPr>
            <w:tcW w:type="dxa" w:w="4320"/>
          </w:tcPr>
          <w:p>
            <w:r/>
            <w:r>
              <w:rPr>
                <w:rFonts w:ascii="Times New Roman" w:hAnsi="Times New Roman"/>
                <w:sz w:val="20"/>
              </w:rPr>
              <w:t>7,5</w:t>
            </w:r>
          </w:p>
        </w:tc>
      </w:tr>
      <w:tr>
        <w:tc>
          <w:tcPr>
            <w:tcW w:type="dxa" w:w="4320"/>
          </w:tcPr>
          <w:p>
            <w:r/>
            <w:r>
              <w:rPr>
                <w:rFonts w:ascii="Times New Roman" w:hAnsi="Times New Roman"/>
                <w:sz w:val="20"/>
              </w:rPr>
              <w:t>TỔNG VẤN ĐỀ SKTT</w:t>
            </w:r>
          </w:p>
        </w:tc>
        <w:tc>
          <w:tcPr>
            <w:tcW w:type="dxa" w:w="4320"/>
          </w:tcPr>
          <w:p>
            <w:r/>
            <w:r>
              <w:rPr>
                <w:rFonts w:ascii="Times New Roman" w:hAnsi="Times New Roman"/>
                <w:sz w:val="20"/>
              </w:rPr>
              <w:t>21,7</w:t>
            </w:r>
          </w:p>
        </w:tc>
      </w:tr>
    </w:tbl>
    <w:p>
      <w:r>
        <w:rPr>
          <w:rFonts w:ascii="Times New Roman" w:hAnsi="Times New Roman"/>
          <w:i/>
          <w:color w:val="666666"/>
          <w:sz w:val="18"/>
        </w:rPr>
        <w:t>Hình 2. Tỷ lệ 12 tháng qua của vấn đề SKTT theo ngưỡng triệu chứng và suy giảm chức năng. Nguồn: Figure 2 báo cáo gốc, trang 21.</w:t>
      </w:r>
    </w:p>
    <w:p>
      <w:r>
        <w:rPr>
          <w:rFonts w:ascii="Times New Roman" w:hAnsi="Times New Roman"/>
        </w:rPr>
        <w:t>DISC-5 đánh giá suy giảm chức năng do triệu chứng (theo yêu cầu DSM-5) trên bốn lĩnh vực: gia đình (vấn đề quan hệ với người chăm sóc, khó khăn khi dành thời gian với gia đình), bạn bè (khó khăn khi dành thời gian với peer), trường/làm việc, và căng thẳng cá nhân. Suy giảm ở nhiều hơn một lĩnh vực có thể được ghi nhận. Trong nhóm báo cáo suy giảm (n = 819), hai phần ba (67,0 %) báo cáo suy giảm ở lĩnh vực gia đình, trong khi gần một nửa báo cáo suy giảm liên quan bạn bè (47,0 %) và trường/làm việc (45,4 %) (Bảng 7).</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Lĩnh vực suy giảm</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Gia đình</w:t>
            </w:r>
          </w:p>
        </w:tc>
        <w:tc>
          <w:tcPr>
            <w:tcW w:type="dxa" w:w="2880"/>
          </w:tcPr>
          <w:p>
            <w:r/>
            <w:r>
              <w:rPr>
                <w:rFonts w:ascii="Times New Roman" w:hAnsi="Times New Roman"/>
                <w:sz w:val="20"/>
              </w:rPr>
              <w:t>67,0</w:t>
            </w:r>
          </w:p>
        </w:tc>
        <w:tc>
          <w:tcPr>
            <w:tcW w:type="dxa" w:w="2880"/>
          </w:tcPr>
          <w:p>
            <w:r/>
            <w:r>
              <w:rPr>
                <w:rFonts w:ascii="Times New Roman" w:hAnsi="Times New Roman"/>
                <w:sz w:val="20"/>
              </w:rPr>
              <w:t>549</w:t>
            </w:r>
          </w:p>
        </w:tc>
      </w:tr>
      <w:tr>
        <w:tc>
          <w:tcPr>
            <w:tcW w:type="dxa" w:w="2880"/>
          </w:tcPr>
          <w:p>
            <w:r/>
            <w:r>
              <w:rPr>
                <w:rFonts w:ascii="Times New Roman" w:hAnsi="Times New Roman"/>
                <w:sz w:val="20"/>
              </w:rPr>
              <w:t>Bạn bè</w:t>
            </w:r>
          </w:p>
        </w:tc>
        <w:tc>
          <w:tcPr>
            <w:tcW w:type="dxa" w:w="2880"/>
          </w:tcPr>
          <w:p>
            <w:r/>
            <w:r>
              <w:rPr>
                <w:rFonts w:ascii="Times New Roman" w:hAnsi="Times New Roman"/>
                <w:sz w:val="20"/>
              </w:rPr>
              <w:t>47,0</w:t>
            </w:r>
          </w:p>
        </w:tc>
        <w:tc>
          <w:tcPr>
            <w:tcW w:type="dxa" w:w="2880"/>
          </w:tcPr>
          <w:p>
            <w:r/>
            <w:r>
              <w:rPr>
                <w:rFonts w:ascii="Times New Roman" w:hAnsi="Times New Roman"/>
                <w:sz w:val="20"/>
              </w:rPr>
              <w:t>384</w:t>
            </w:r>
          </w:p>
        </w:tc>
      </w:tr>
      <w:tr>
        <w:tc>
          <w:tcPr>
            <w:tcW w:type="dxa" w:w="2880"/>
          </w:tcPr>
          <w:p>
            <w:r/>
            <w:r>
              <w:rPr>
                <w:rFonts w:ascii="Times New Roman" w:hAnsi="Times New Roman"/>
                <w:sz w:val="20"/>
              </w:rPr>
              <w:t>Trường hoặc việc làm</w:t>
            </w:r>
          </w:p>
        </w:tc>
        <w:tc>
          <w:tcPr>
            <w:tcW w:type="dxa" w:w="2880"/>
          </w:tcPr>
          <w:p>
            <w:r/>
            <w:r>
              <w:rPr>
                <w:rFonts w:ascii="Times New Roman" w:hAnsi="Times New Roman"/>
                <w:sz w:val="20"/>
              </w:rPr>
              <w:t>45,4</w:t>
            </w:r>
          </w:p>
        </w:tc>
        <w:tc>
          <w:tcPr>
            <w:tcW w:type="dxa" w:w="2880"/>
          </w:tcPr>
          <w:p>
            <w:r/>
            <w:r>
              <w:rPr>
                <w:rFonts w:ascii="Times New Roman" w:hAnsi="Times New Roman"/>
                <w:sz w:val="20"/>
              </w:rPr>
              <w:t>371</w:t>
            </w:r>
          </w:p>
        </w:tc>
      </w:tr>
      <w:tr>
        <w:tc>
          <w:tcPr>
            <w:tcW w:type="dxa" w:w="2880"/>
          </w:tcPr>
          <w:p>
            <w:r/>
            <w:r>
              <w:rPr>
                <w:rFonts w:ascii="Times New Roman" w:hAnsi="Times New Roman"/>
                <w:sz w:val="20"/>
              </w:rPr>
              <w:t>Căng thẳng cá nhân</w:t>
            </w:r>
          </w:p>
        </w:tc>
        <w:tc>
          <w:tcPr>
            <w:tcW w:type="dxa" w:w="2880"/>
          </w:tcPr>
          <w:p>
            <w:r/>
            <w:r>
              <w:rPr>
                <w:rFonts w:ascii="Times New Roman" w:hAnsi="Times New Roman"/>
                <w:sz w:val="20"/>
              </w:rPr>
              <w:t>34,6</w:t>
            </w:r>
          </w:p>
        </w:tc>
        <w:tc>
          <w:tcPr>
            <w:tcW w:type="dxa" w:w="2880"/>
          </w:tcPr>
          <w:p>
            <w:r/>
            <w:r>
              <w:rPr>
                <w:rFonts w:ascii="Times New Roman" w:hAnsi="Times New Roman"/>
                <w:sz w:val="20"/>
              </w:rPr>
              <w:t>284</w:t>
            </w:r>
          </w:p>
        </w:tc>
      </w:tr>
    </w:tbl>
    <w:p>
      <w:r>
        <w:rPr>
          <w:rFonts w:ascii="Times New Roman" w:hAnsi="Times New Roman"/>
          <w:i/>
          <w:color w:val="666666"/>
          <w:sz w:val="18"/>
        </w:rPr>
        <w:t>Bảng 7. Tỷ lệ 12 tháng qua của vấn đề SKTT theo lĩnh vực suy giảm. Gia trọng N = 819. Nguồn: Bảng 7 báo cáo gốc, trang 21.</w:t>
      </w:r>
    </w:p>
    <w:p>
      <w:r>
        <w:rPr>
          <w:rFonts w:ascii="Times New Roman" w:hAnsi="Times New Roman"/>
          <w:b/>
          <w:i/>
          <w:sz w:val="22"/>
        </w:rPr>
        <w:t>Rối loạn tâm thần (Mental disorders)</w:t>
      </w:r>
    </w:p>
    <w:p>
      <w:r>
        <w:rPr>
          <w:rFonts w:ascii="Times New Roman" w:hAnsi="Times New Roman"/>
        </w:rPr>
        <w:t>Tiêu chí chẩn đoán DSM-5 cho bất kỳ rối loạn tâm thần nào được đáp ứng bởi 3,3 % VTN (n = 200), với dưới 1 % (0,6 %; n = 38) có 2 hoặc nhiều rối loạn trong 12 tháng qua. Không có khác biệt về tỷ lệ giữa nam (3,3 %) và nữ (3,4 %), hay giữa VTN trẻ hơn (2,9 %) và lớn hơn (3,9 %). Như Bảng 8 cho thấy, các rối loạn lo âu có tỷ lệ cao nhất (2,3 %).</w:t>
      </w:r>
    </w:p>
    <w:p>
      <w:pPr>
        <w:jc w:val="center"/>
      </w:pPr>
      <w:r>
        <w:rPr>
          <w:rFonts w:ascii="Times New Roman" w:hAnsi="Times New Roman"/>
          <w:i/>
          <w:color w:val="FF6600"/>
          <w:sz w:val="18"/>
        </w:rPr>
        <w:t>--- Trang 22, V-NAMHS, UNICEF/IOS 2022 ---</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Rối loạn tâm thần</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Các rối loạn lo âu *</w:t>
            </w:r>
          </w:p>
        </w:tc>
        <w:tc>
          <w:tcPr>
            <w:tcW w:type="dxa" w:w="2880"/>
          </w:tcPr>
          <w:p>
            <w:r/>
            <w:r>
              <w:rPr>
                <w:rFonts w:ascii="Times New Roman" w:hAnsi="Times New Roman"/>
                <w:sz w:val="20"/>
              </w:rPr>
              <w:t>2,3</w:t>
            </w:r>
          </w:p>
        </w:tc>
        <w:tc>
          <w:tcPr>
            <w:tcW w:type="dxa" w:w="2880"/>
          </w:tcPr>
          <w:p>
            <w:r/>
            <w:r>
              <w:rPr>
                <w:rFonts w:ascii="Times New Roman" w:hAnsi="Times New Roman"/>
                <w:sz w:val="20"/>
              </w:rPr>
              <w:t>135</w:t>
            </w:r>
          </w:p>
        </w:tc>
      </w:tr>
      <w:tr>
        <w:tc>
          <w:tcPr>
            <w:tcW w:type="dxa" w:w="2880"/>
          </w:tcPr>
          <w:p>
            <w:r/>
            <w:r>
              <w:rPr>
                <w:rFonts w:ascii="Times New Roman" w:hAnsi="Times New Roman"/>
                <w:sz w:val="20"/>
              </w:rPr>
              <w:t>Rối loạn trầm cảm nặng</w:t>
            </w:r>
          </w:p>
        </w:tc>
        <w:tc>
          <w:tcPr>
            <w:tcW w:type="dxa" w:w="2880"/>
          </w:tcPr>
          <w:p>
            <w:r/>
            <w:r>
              <w:rPr>
                <w:rFonts w:ascii="Times New Roman" w:hAnsi="Times New Roman"/>
                <w:sz w:val="20"/>
              </w:rPr>
              <w:t>0,9</w:t>
            </w:r>
          </w:p>
        </w:tc>
        <w:tc>
          <w:tcPr>
            <w:tcW w:type="dxa" w:w="2880"/>
          </w:tcPr>
          <w:p>
            <w:r/>
            <w:r>
              <w:rPr>
                <w:rFonts w:ascii="Times New Roman" w:hAnsi="Times New Roman"/>
                <w:sz w:val="20"/>
              </w:rPr>
              <w:t>51</w:t>
            </w:r>
          </w:p>
        </w:tc>
      </w:tr>
      <w:tr>
        <w:tc>
          <w:tcPr>
            <w:tcW w:type="dxa" w:w="2880"/>
          </w:tcPr>
          <w:p>
            <w:r/>
            <w:r>
              <w:rPr>
                <w:rFonts w:ascii="Times New Roman" w:hAnsi="Times New Roman"/>
                <w:sz w:val="20"/>
              </w:rPr>
              <w:t>ADHD</w:t>
            </w:r>
          </w:p>
        </w:tc>
        <w:tc>
          <w:tcPr>
            <w:tcW w:type="dxa" w:w="2880"/>
          </w:tcPr>
          <w:p>
            <w:r/>
            <w:r>
              <w:rPr>
                <w:rFonts w:ascii="Times New Roman" w:hAnsi="Times New Roman"/>
                <w:sz w:val="20"/>
              </w:rPr>
              <w:t>0,5</w:t>
            </w:r>
          </w:p>
        </w:tc>
        <w:tc>
          <w:tcPr>
            <w:tcW w:type="dxa" w:w="2880"/>
          </w:tcPr>
          <w:p>
            <w:r/>
            <w:r>
              <w:rPr>
                <w:rFonts w:ascii="Times New Roman" w:hAnsi="Times New Roman"/>
                <w:sz w:val="20"/>
              </w:rPr>
              <w:t>29</w:t>
            </w:r>
          </w:p>
        </w:tc>
      </w:tr>
      <w:tr>
        <w:tc>
          <w:tcPr>
            <w:tcW w:type="dxa" w:w="2880"/>
          </w:tcPr>
          <w:p>
            <w:r/>
            <w:r>
              <w:rPr>
                <w:rFonts w:ascii="Times New Roman" w:hAnsi="Times New Roman"/>
                <w:sz w:val="20"/>
              </w:rPr>
              <w:t>PTSD</w:t>
            </w:r>
          </w:p>
        </w:tc>
        <w:tc>
          <w:tcPr>
            <w:tcW w:type="dxa" w:w="2880"/>
          </w:tcPr>
          <w:p>
            <w:r/>
            <w:r>
              <w:rPr>
                <w:rFonts w:ascii="Times New Roman" w:hAnsi="Times New Roman"/>
                <w:sz w:val="20"/>
              </w:rPr>
              <w:t>0,3</w:t>
            </w:r>
          </w:p>
        </w:tc>
        <w:tc>
          <w:tcPr>
            <w:tcW w:type="dxa" w:w="2880"/>
          </w:tcPr>
          <w:p>
            <w:r/>
            <w:r>
              <w:rPr>
                <w:rFonts w:ascii="Times New Roman" w:hAnsi="Times New Roman"/>
                <w:sz w:val="20"/>
              </w:rPr>
              <w:t>19</w:t>
            </w:r>
          </w:p>
        </w:tc>
      </w:tr>
      <w:tr>
        <w:tc>
          <w:tcPr>
            <w:tcW w:type="dxa" w:w="2880"/>
          </w:tcPr>
          <w:p>
            <w:r/>
            <w:r>
              <w:rPr>
                <w:rFonts w:ascii="Times New Roman" w:hAnsi="Times New Roman"/>
                <w:sz w:val="20"/>
              </w:rPr>
              <w:t>Rối loạn hành vi</w:t>
            </w:r>
          </w:p>
        </w:tc>
        <w:tc>
          <w:tcPr>
            <w:tcW w:type="dxa" w:w="2880"/>
          </w:tcPr>
          <w:p>
            <w:r/>
            <w:r>
              <w:rPr>
                <w:rFonts w:ascii="Times New Roman" w:hAnsi="Times New Roman"/>
                <w:sz w:val="20"/>
              </w:rPr>
              <w:t>0,2</w:t>
            </w:r>
          </w:p>
        </w:tc>
        <w:tc>
          <w:tcPr>
            <w:tcW w:type="dxa" w:w="2880"/>
          </w:tcPr>
          <w:p>
            <w:r/>
            <w:r>
              <w:rPr>
                <w:rFonts w:ascii="Times New Roman" w:hAnsi="Times New Roman"/>
                <w:sz w:val="20"/>
              </w:rPr>
              <w:t>12</w:t>
            </w:r>
          </w:p>
        </w:tc>
      </w:tr>
    </w:tbl>
    <w:p>
      <w:r>
        <w:rPr>
          <w:rFonts w:ascii="Times New Roman" w:hAnsi="Times New Roman"/>
          <w:i/>
          <w:color w:val="666666"/>
          <w:sz w:val="18"/>
        </w:rPr>
        <w:t>Bảng 8. Tỷ lệ 12 tháng qua của rối loạn tâm thần ở VTN 10–17 tuổi theo loại. * Tỷ lệ rối loạn lo âu cao hơn có ý nghĩa thống kê so với tất cả rối loạn khác. Nguồn: Bảng 8 báo cáo gốc, trang 22.</w:t>
      </w:r>
    </w:p>
    <w:p>
      <w:r>
        <w:rPr>
          <w:rFonts w:ascii="Times New Roman" w:hAnsi="Times New Roman"/>
        </w:rPr>
        <w:t>Trong nhóm có bất kỳ rối loạn tâm thần nào, suy giảm ở lĩnh vực gia đình vẫn cao nhất với gần ba phần tư báo cáo suy giảm ở lĩnh vực này (Bảng 9).</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Lĩnh vực suy giảm</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Gia đình</w:t>
            </w:r>
          </w:p>
        </w:tc>
        <w:tc>
          <w:tcPr>
            <w:tcW w:type="dxa" w:w="2880"/>
          </w:tcPr>
          <w:p>
            <w:r/>
            <w:r>
              <w:rPr>
                <w:rFonts w:ascii="Times New Roman" w:hAnsi="Times New Roman"/>
                <w:sz w:val="20"/>
              </w:rPr>
              <w:t>74,2</w:t>
            </w:r>
          </w:p>
        </w:tc>
        <w:tc>
          <w:tcPr>
            <w:tcW w:type="dxa" w:w="2880"/>
          </w:tcPr>
          <w:p>
            <w:r/>
            <w:r>
              <w:rPr>
                <w:rFonts w:ascii="Times New Roman" w:hAnsi="Times New Roman"/>
                <w:sz w:val="20"/>
              </w:rPr>
              <w:t>149</w:t>
            </w:r>
          </w:p>
        </w:tc>
      </w:tr>
      <w:tr>
        <w:tc>
          <w:tcPr>
            <w:tcW w:type="dxa" w:w="2880"/>
          </w:tcPr>
          <w:p>
            <w:r/>
            <w:r>
              <w:rPr>
                <w:rFonts w:ascii="Times New Roman" w:hAnsi="Times New Roman"/>
                <w:sz w:val="20"/>
              </w:rPr>
              <w:t>Bạn bè</w:t>
            </w:r>
          </w:p>
        </w:tc>
        <w:tc>
          <w:tcPr>
            <w:tcW w:type="dxa" w:w="2880"/>
          </w:tcPr>
          <w:p>
            <w:r/>
            <w:r>
              <w:rPr>
                <w:rFonts w:ascii="Times New Roman" w:hAnsi="Times New Roman"/>
                <w:sz w:val="20"/>
              </w:rPr>
              <w:t>63,3</w:t>
            </w:r>
          </w:p>
        </w:tc>
        <w:tc>
          <w:tcPr>
            <w:tcW w:type="dxa" w:w="2880"/>
          </w:tcPr>
          <w:p>
            <w:r/>
            <w:r>
              <w:rPr>
                <w:rFonts w:ascii="Times New Roman" w:hAnsi="Times New Roman"/>
                <w:sz w:val="20"/>
              </w:rPr>
              <w:t>127</w:t>
            </w:r>
          </w:p>
        </w:tc>
      </w:tr>
      <w:tr>
        <w:tc>
          <w:tcPr>
            <w:tcW w:type="dxa" w:w="2880"/>
          </w:tcPr>
          <w:p>
            <w:r/>
            <w:r>
              <w:rPr>
                <w:rFonts w:ascii="Times New Roman" w:hAnsi="Times New Roman"/>
                <w:sz w:val="20"/>
              </w:rPr>
              <w:t>Trường hoặc việc làm</w:t>
            </w:r>
          </w:p>
        </w:tc>
        <w:tc>
          <w:tcPr>
            <w:tcW w:type="dxa" w:w="2880"/>
          </w:tcPr>
          <w:p>
            <w:r/>
            <w:r>
              <w:rPr>
                <w:rFonts w:ascii="Times New Roman" w:hAnsi="Times New Roman"/>
                <w:sz w:val="20"/>
              </w:rPr>
              <w:t>64,1</w:t>
            </w:r>
          </w:p>
        </w:tc>
        <w:tc>
          <w:tcPr>
            <w:tcW w:type="dxa" w:w="2880"/>
          </w:tcPr>
          <w:p>
            <w:r/>
            <w:r>
              <w:rPr>
                <w:rFonts w:ascii="Times New Roman" w:hAnsi="Times New Roman"/>
                <w:sz w:val="20"/>
              </w:rPr>
              <w:t>128</w:t>
            </w:r>
          </w:p>
        </w:tc>
      </w:tr>
      <w:tr>
        <w:tc>
          <w:tcPr>
            <w:tcW w:type="dxa" w:w="2880"/>
          </w:tcPr>
          <w:p>
            <w:r/>
            <w:r>
              <w:rPr>
                <w:rFonts w:ascii="Times New Roman" w:hAnsi="Times New Roman"/>
                <w:sz w:val="20"/>
              </w:rPr>
              <w:t>Căng thẳng cá nhân</w:t>
            </w:r>
          </w:p>
        </w:tc>
        <w:tc>
          <w:tcPr>
            <w:tcW w:type="dxa" w:w="2880"/>
          </w:tcPr>
          <w:p>
            <w:r/>
            <w:r>
              <w:rPr>
                <w:rFonts w:ascii="Times New Roman" w:hAnsi="Times New Roman"/>
                <w:sz w:val="20"/>
              </w:rPr>
              <w:t>51,8</w:t>
            </w:r>
          </w:p>
        </w:tc>
        <w:tc>
          <w:tcPr>
            <w:tcW w:type="dxa" w:w="2880"/>
          </w:tcPr>
          <w:p>
            <w:r/>
            <w:r>
              <w:rPr>
                <w:rFonts w:ascii="Times New Roman" w:hAnsi="Times New Roman"/>
                <w:sz w:val="20"/>
              </w:rPr>
              <w:t>104</w:t>
            </w:r>
          </w:p>
        </w:tc>
      </w:tr>
    </w:tbl>
    <w:p>
      <w:r>
        <w:rPr>
          <w:rFonts w:ascii="Times New Roman" w:hAnsi="Times New Roman"/>
          <w:i/>
          <w:color w:val="666666"/>
          <w:sz w:val="18"/>
        </w:rPr>
        <w:t>Bảng 9. Tỷ lệ 12 tháng qua của rối loạn tâm thần theo lĩnh vực suy giảm. Gia trọng N = 200. Nguồn: Bảng 9 báo cáo gốc, trang 22.</w:t>
      </w:r>
    </w:p>
    <w:p>
      <w:r>
        <w:rPr>
          <w:rFonts w:ascii="Times New Roman" w:hAnsi="Times New Roman"/>
          <w:b/>
          <w:i/>
          <w:sz w:val="22"/>
        </w:rPr>
        <w:t>Hành vi tự sát và tự làm hại bản thân</w:t>
      </w:r>
    </w:p>
    <w:p>
      <w:r>
        <w:rPr>
          <w:rFonts w:ascii="Times New Roman" w:hAnsi="Times New Roman"/>
        </w:rPr>
        <w:t>Ít VTN báo cáo hành vi tự sát trong 12 tháng qua. Trong toàn mẫu, 12 tháng qua: 1,4 % báo cáo ý nghĩ tự sát, 0,4 % báo cáo lập kế hoạch tự sát, 0,2 % báo cáo toan tự sát. Chỉ 1,6 % báo cáo đã từng toan tự sát trong đời. Tuy nhiên, như Bảng 10 cho thấy, trên 70 % các em báo cáo bất kỳ hành vi tự sát (ý nghĩ, kế hoạch, và/hoặc toan) trong 12 tháng qua đều đồng thời có vấn đề SKTT.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1F2"/>
          </w:tcPr>
          <w:p>
            <w:r/>
            <w:r>
              <w:rPr>
                <w:rFonts w:ascii="Times New Roman" w:hAnsi="Times New Roman"/>
                <w:b/>
                <w:sz w:val="20"/>
              </w:rPr>
              <w:t>Nhóm</w:t>
            </w:r>
          </w:p>
        </w:tc>
        <w:tc>
          <w:tcPr>
            <w:tcW w:type="dxa" w:w="960"/>
            <w:shd w:fill="D9E1F2"/>
          </w:tcPr>
          <w:p>
            <w:r/>
            <w:r>
              <w:rPr>
                <w:rFonts w:ascii="Times New Roman" w:hAnsi="Times New Roman"/>
                <w:b/>
                <w:sz w:val="20"/>
              </w:rPr>
              <w:t>% Ý nghĩ tự sát 12m</w:t>
            </w:r>
          </w:p>
        </w:tc>
        <w:tc>
          <w:tcPr>
            <w:tcW w:type="dxa" w:w="960"/>
            <w:shd w:fill="D9E1F2"/>
          </w:tcPr>
          <w:p>
            <w:r/>
            <w:r>
              <w:rPr>
                <w:rFonts w:ascii="Times New Roman" w:hAnsi="Times New Roman"/>
                <w:b/>
                <w:sz w:val="20"/>
              </w:rPr>
              <w:t>n</w:t>
            </w:r>
          </w:p>
        </w:tc>
        <w:tc>
          <w:tcPr>
            <w:tcW w:type="dxa" w:w="960"/>
            <w:shd w:fill="D9E1F2"/>
          </w:tcPr>
          <w:p>
            <w:r/>
            <w:r>
              <w:rPr>
                <w:rFonts w:ascii="Times New Roman" w:hAnsi="Times New Roman"/>
                <w:b/>
                <w:sz w:val="20"/>
              </w:rPr>
              <w:t>% Kế hoạch 12m</w:t>
            </w:r>
          </w:p>
        </w:tc>
        <w:tc>
          <w:tcPr>
            <w:tcW w:type="dxa" w:w="960"/>
            <w:shd w:fill="D9E1F2"/>
          </w:tcPr>
          <w:p>
            <w:r/>
            <w:r>
              <w:rPr>
                <w:rFonts w:ascii="Times New Roman" w:hAnsi="Times New Roman"/>
                <w:b/>
                <w:sz w:val="20"/>
              </w:rPr>
              <w:t>n</w:t>
            </w:r>
          </w:p>
        </w:tc>
        <w:tc>
          <w:tcPr>
            <w:tcW w:type="dxa" w:w="960"/>
            <w:shd w:fill="D9E1F2"/>
          </w:tcPr>
          <w:p>
            <w:r/>
            <w:r>
              <w:rPr>
                <w:rFonts w:ascii="Times New Roman" w:hAnsi="Times New Roman"/>
                <w:b/>
                <w:sz w:val="20"/>
              </w:rPr>
              <w:t>% Toan tự sát 12m</w:t>
            </w:r>
          </w:p>
        </w:tc>
        <w:tc>
          <w:tcPr>
            <w:tcW w:type="dxa" w:w="960"/>
            <w:shd w:fill="D9E1F2"/>
          </w:tcPr>
          <w:p>
            <w:r/>
            <w:r>
              <w:rPr>
                <w:rFonts w:ascii="Times New Roman" w:hAnsi="Times New Roman"/>
                <w:b/>
                <w:sz w:val="20"/>
              </w:rPr>
              <w:t>n</w:t>
            </w:r>
          </w:p>
        </w:tc>
        <w:tc>
          <w:tcPr>
            <w:tcW w:type="dxa" w:w="960"/>
            <w:shd w:fill="D9E1F2"/>
          </w:tcPr>
          <w:p>
            <w:r/>
            <w:r>
              <w:rPr>
                <w:rFonts w:ascii="Times New Roman" w:hAnsi="Times New Roman"/>
                <w:b/>
                <w:sz w:val="20"/>
              </w:rPr>
              <w:t>% Toan tự sát (từng)</w:t>
            </w:r>
          </w:p>
        </w:tc>
        <w:tc>
          <w:tcPr>
            <w:tcW w:type="dxa" w:w="960"/>
            <w:shd w:fill="D9E1F2"/>
          </w:tcPr>
          <w:p>
            <w:r/>
            <w:r>
              <w:rPr>
                <w:rFonts w:ascii="Times New Roman" w:hAnsi="Times New Roman"/>
                <w:b/>
                <w:sz w:val="20"/>
              </w:rPr>
              <w:t>n</w:t>
            </w:r>
          </w:p>
        </w:tc>
      </w:tr>
      <w:tr>
        <w:tc>
          <w:tcPr>
            <w:tcW w:type="dxa" w:w="960"/>
          </w:tcPr>
          <w:p>
            <w:r/>
            <w:r>
              <w:rPr>
                <w:rFonts w:ascii="Times New Roman" w:hAnsi="Times New Roman"/>
                <w:sz w:val="20"/>
              </w:rPr>
              <w:t>Có vấn đề SKTT</w:t>
            </w:r>
          </w:p>
        </w:tc>
        <w:tc>
          <w:tcPr>
            <w:tcW w:type="dxa" w:w="960"/>
          </w:tcPr>
          <w:p>
            <w:r/>
            <w:r>
              <w:rPr>
                <w:rFonts w:ascii="Times New Roman" w:hAnsi="Times New Roman"/>
                <w:sz w:val="20"/>
              </w:rPr>
              <w:t>73,5</w:t>
            </w:r>
          </w:p>
        </w:tc>
        <w:tc>
          <w:tcPr>
            <w:tcW w:type="dxa" w:w="960"/>
          </w:tcPr>
          <w:p>
            <w:r/>
            <w:r>
              <w:rPr>
                <w:rFonts w:ascii="Times New Roman" w:hAnsi="Times New Roman"/>
                <w:sz w:val="20"/>
              </w:rPr>
              <w:t>61</w:t>
            </w:r>
          </w:p>
        </w:tc>
        <w:tc>
          <w:tcPr>
            <w:tcW w:type="dxa" w:w="960"/>
          </w:tcPr>
          <w:p>
            <w:r/>
            <w:r>
              <w:rPr>
                <w:rFonts w:ascii="Times New Roman" w:hAnsi="Times New Roman"/>
                <w:sz w:val="20"/>
              </w:rPr>
              <w:t>83,7</w:t>
            </w:r>
          </w:p>
        </w:tc>
        <w:tc>
          <w:tcPr>
            <w:tcW w:type="dxa" w:w="960"/>
          </w:tcPr>
          <w:p>
            <w:r/>
            <w:r>
              <w:rPr>
                <w:rFonts w:ascii="Times New Roman" w:hAnsi="Times New Roman"/>
                <w:sz w:val="20"/>
              </w:rPr>
              <w:t>19</w:t>
            </w:r>
          </w:p>
        </w:tc>
        <w:tc>
          <w:tcPr>
            <w:tcW w:type="dxa" w:w="960"/>
          </w:tcPr>
          <w:p>
            <w:r/>
            <w:r>
              <w:rPr>
                <w:rFonts w:ascii="Times New Roman" w:hAnsi="Times New Roman"/>
                <w:sz w:val="20"/>
              </w:rPr>
              <w:t>77,4</w:t>
            </w:r>
          </w:p>
        </w:tc>
        <w:tc>
          <w:tcPr>
            <w:tcW w:type="dxa" w:w="960"/>
          </w:tcPr>
          <w:p>
            <w:r/>
            <w:r>
              <w:rPr>
                <w:rFonts w:ascii="Times New Roman" w:hAnsi="Times New Roman"/>
                <w:sz w:val="20"/>
              </w:rPr>
              <w:t>8</w:t>
            </w:r>
          </w:p>
        </w:tc>
        <w:tc>
          <w:tcPr>
            <w:tcW w:type="dxa" w:w="960"/>
          </w:tcPr>
          <w:p>
            <w:r/>
            <w:r>
              <w:rPr>
                <w:rFonts w:ascii="Times New Roman" w:hAnsi="Times New Roman"/>
                <w:sz w:val="20"/>
              </w:rPr>
              <w:t>73,5</w:t>
            </w:r>
          </w:p>
        </w:tc>
        <w:tc>
          <w:tcPr>
            <w:tcW w:type="dxa" w:w="960"/>
          </w:tcPr>
          <w:p>
            <w:r/>
            <w:r>
              <w:rPr>
                <w:rFonts w:ascii="Times New Roman" w:hAnsi="Times New Roman"/>
                <w:sz w:val="20"/>
              </w:rPr>
              <w:t>70</w:t>
            </w:r>
          </w:p>
        </w:tc>
      </w:tr>
      <w:tr>
        <w:tc>
          <w:tcPr>
            <w:tcW w:type="dxa" w:w="960"/>
          </w:tcPr>
          <w:p>
            <w:r/>
            <w:r>
              <w:rPr>
                <w:rFonts w:ascii="Times New Roman" w:hAnsi="Times New Roman"/>
                <w:sz w:val="20"/>
              </w:rPr>
              <w:t>Có rối loạn tâm thần</w:t>
            </w:r>
          </w:p>
        </w:tc>
        <w:tc>
          <w:tcPr>
            <w:tcW w:type="dxa" w:w="960"/>
          </w:tcPr>
          <w:p>
            <w:r/>
            <w:r>
              <w:rPr>
                <w:rFonts w:ascii="Times New Roman" w:hAnsi="Times New Roman"/>
                <w:sz w:val="20"/>
              </w:rPr>
              <w:t>30,8</w:t>
            </w:r>
          </w:p>
        </w:tc>
        <w:tc>
          <w:tcPr>
            <w:tcW w:type="dxa" w:w="960"/>
          </w:tcPr>
          <w:p>
            <w:r/>
            <w:r>
              <w:rPr>
                <w:rFonts w:ascii="Times New Roman" w:hAnsi="Times New Roman"/>
                <w:sz w:val="20"/>
              </w:rPr>
              <w:t>26</w:t>
            </w:r>
          </w:p>
        </w:tc>
        <w:tc>
          <w:tcPr>
            <w:tcW w:type="dxa" w:w="960"/>
          </w:tcPr>
          <w:p>
            <w:r/>
            <w:r>
              <w:rPr>
                <w:rFonts w:ascii="Times New Roman" w:hAnsi="Times New Roman"/>
                <w:sz w:val="20"/>
              </w:rPr>
              <w:t>46,6</w:t>
            </w:r>
          </w:p>
        </w:tc>
        <w:tc>
          <w:tcPr>
            <w:tcW w:type="dxa" w:w="960"/>
          </w:tcPr>
          <w:p>
            <w:r/>
            <w:r>
              <w:rPr>
                <w:rFonts w:ascii="Times New Roman" w:hAnsi="Times New Roman"/>
                <w:sz w:val="20"/>
              </w:rPr>
              <w:t>11</w:t>
            </w:r>
          </w:p>
        </w:tc>
        <w:tc>
          <w:tcPr>
            <w:tcW w:type="dxa" w:w="960"/>
          </w:tcPr>
          <w:p>
            <w:r/>
            <w:r>
              <w:rPr>
                <w:rFonts w:ascii="Times New Roman" w:hAnsi="Times New Roman"/>
                <w:sz w:val="20"/>
              </w:rPr>
              <w:t>61,3</w:t>
            </w:r>
          </w:p>
        </w:tc>
        <w:tc>
          <w:tcPr>
            <w:tcW w:type="dxa" w:w="960"/>
          </w:tcPr>
          <w:p>
            <w:r/>
            <w:r>
              <w:rPr>
                <w:rFonts w:ascii="Times New Roman" w:hAnsi="Times New Roman"/>
                <w:sz w:val="20"/>
              </w:rPr>
              <w:t>7</w:t>
            </w:r>
          </w:p>
        </w:tc>
        <w:tc>
          <w:tcPr>
            <w:tcW w:type="dxa" w:w="960"/>
          </w:tcPr>
          <w:p>
            <w:r/>
            <w:r>
              <w:rPr>
                <w:rFonts w:ascii="Times New Roman" w:hAnsi="Times New Roman"/>
                <w:sz w:val="20"/>
              </w:rPr>
              <w:t>28,1</w:t>
            </w:r>
          </w:p>
        </w:tc>
        <w:tc>
          <w:tcPr>
            <w:tcW w:type="dxa" w:w="960"/>
          </w:tcPr>
          <w:p>
            <w:r/>
            <w:r>
              <w:rPr>
                <w:rFonts w:ascii="Times New Roman" w:hAnsi="Times New Roman"/>
                <w:sz w:val="20"/>
              </w:rPr>
              <w:t>27</w:t>
            </w:r>
          </w:p>
        </w:tc>
      </w:tr>
    </w:tbl>
    <w:p>
      <w:r>
        <w:rPr>
          <w:rFonts w:ascii="Times New Roman" w:hAnsi="Times New Roman"/>
          <w:i/>
          <w:color w:val="666666"/>
          <w:sz w:val="18"/>
        </w:rPr>
        <w:t>Bảng 10. Hành vi tự sát ở VTN 10–17 tuổi. Gia trọng N: ý nghĩ tự sát 12 tháng = 83; kế hoạch 12 tháng = 23; toan tự sát 12 tháng = 11; toan tự sát từng = 96. Nguồn: Bảng 10 báo cáo gốc, trang 22.</w:t>
      </w:r>
    </w:p>
    <w:p>
      <w:r>
        <w:rPr>
          <w:rFonts w:ascii="Times New Roman" w:hAnsi="Times New Roman"/>
        </w:rPr>
        <w:t>Tương tự, chỉ một tỷ lệ tương đối nhỏ (4,7 %) báo cáo đã từng tự làm hại bản thân, với chỉ hơn 1 % báo cáo tự làm hại trong 12 tháng qua (Bảng 11). Tuy nhiên, hơn ba phần tư (76,3 %) VTN tự làm hại trong 12 tháng qua có vấn đề SKTT.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1F2"/>
          </w:tcPr>
          <w:p>
            <w:r/>
            <w:r>
              <w:rPr>
                <w:rFonts w:ascii="Times New Roman" w:hAnsi="Times New Roman"/>
                <w:b/>
                <w:sz w:val="20"/>
              </w:rPr>
              <w:t>Nhóm</w:t>
            </w:r>
          </w:p>
        </w:tc>
        <w:tc>
          <w:tcPr>
            <w:tcW w:type="dxa" w:w="1728"/>
            <w:shd w:fill="D9E1F2"/>
          </w:tcPr>
          <w:p>
            <w:r/>
            <w:r>
              <w:rPr>
                <w:rFonts w:ascii="Times New Roman" w:hAnsi="Times New Roman"/>
                <w:b/>
                <w:sz w:val="20"/>
              </w:rPr>
              <w:t>% Tự làm hại 12m</w:t>
            </w:r>
          </w:p>
        </w:tc>
        <w:tc>
          <w:tcPr>
            <w:tcW w:type="dxa" w:w="1728"/>
            <w:shd w:fill="D9E1F2"/>
          </w:tcPr>
          <w:p>
            <w:r/>
            <w:r>
              <w:rPr>
                <w:rFonts w:ascii="Times New Roman" w:hAnsi="Times New Roman"/>
                <w:b/>
                <w:sz w:val="20"/>
              </w:rPr>
              <w:t>n</w:t>
            </w:r>
          </w:p>
        </w:tc>
        <w:tc>
          <w:tcPr>
            <w:tcW w:type="dxa" w:w="1728"/>
            <w:shd w:fill="D9E1F2"/>
          </w:tcPr>
          <w:p>
            <w:r/>
            <w:r>
              <w:rPr>
                <w:rFonts w:ascii="Times New Roman" w:hAnsi="Times New Roman"/>
                <w:b/>
                <w:sz w:val="20"/>
              </w:rPr>
              <w:t>% Từng tự làm hại</w:t>
            </w:r>
          </w:p>
        </w:tc>
        <w:tc>
          <w:tcPr>
            <w:tcW w:type="dxa" w:w="1728"/>
            <w:shd w:fill="D9E1F2"/>
          </w:tcPr>
          <w:p>
            <w:r/>
            <w:r>
              <w:rPr>
                <w:rFonts w:ascii="Times New Roman" w:hAnsi="Times New Roman"/>
                <w:b/>
                <w:sz w:val="20"/>
              </w:rPr>
              <w:t>n</w:t>
            </w:r>
          </w:p>
        </w:tc>
      </w:tr>
      <w:tr>
        <w:tc>
          <w:tcPr>
            <w:tcW w:type="dxa" w:w="1728"/>
          </w:tcPr>
          <w:p>
            <w:r/>
            <w:r>
              <w:rPr>
                <w:rFonts w:ascii="Times New Roman" w:hAnsi="Times New Roman"/>
                <w:sz w:val="20"/>
              </w:rPr>
              <w:t>Có vấn đề SKTT</w:t>
            </w:r>
          </w:p>
        </w:tc>
        <w:tc>
          <w:tcPr>
            <w:tcW w:type="dxa" w:w="1728"/>
          </w:tcPr>
          <w:p>
            <w:r/>
            <w:r>
              <w:rPr>
                <w:rFonts w:ascii="Times New Roman" w:hAnsi="Times New Roman"/>
                <w:sz w:val="20"/>
              </w:rPr>
              <w:t>76,3</w:t>
            </w:r>
          </w:p>
        </w:tc>
        <w:tc>
          <w:tcPr>
            <w:tcW w:type="dxa" w:w="1728"/>
          </w:tcPr>
          <w:p>
            <w:r/>
            <w:r>
              <w:rPr>
                <w:rFonts w:ascii="Times New Roman" w:hAnsi="Times New Roman"/>
                <w:sz w:val="20"/>
              </w:rPr>
              <w:t>50</w:t>
            </w:r>
          </w:p>
        </w:tc>
        <w:tc>
          <w:tcPr>
            <w:tcW w:type="dxa" w:w="1728"/>
          </w:tcPr>
          <w:p>
            <w:r/>
            <w:r>
              <w:rPr>
                <w:rFonts w:ascii="Times New Roman" w:hAnsi="Times New Roman"/>
                <w:sz w:val="20"/>
              </w:rPr>
              <w:t>64,5</w:t>
            </w:r>
          </w:p>
        </w:tc>
        <w:tc>
          <w:tcPr>
            <w:tcW w:type="dxa" w:w="1728"/>
          </w:tcPr>
          <w:p>
            <w:r/>
            <w:r>
              <w:rPr>
                <w:rFonts w:ascii="Times New Roman" w:hAnsi="Times New Roman"/>
                <w:sz w:val="20"/>
              </w:rPr>
              <w:t>182</w:t>
            </w:r>
          </w:p>
        </w:tc>
      </w:tr>
      <w:tr>
        <w:tc>
          <w:tcPr>
            <w:tcW w:type="dxa" w:w="1728"/>
          </w:tcPr>
          <w:p>
            <w:r/>
            <w:r>
              <w:rPr>
                <w:rFonts w:ascii="Times New Roman" w:hAnsi="Times New Roman"/>
                <w:sz w:val="20"/>
              </w:rPr>
              <w:t>Có rối loạn tâm thần</w:t>
            </w:r>
          </w:p>
        </w:tc>
        <w:tc>
          <w:tcPr>
            <w:tcW w:type="dxa" w:w="1728"/>
          </w:tcPr>
          <w:p>
            <w:r/>
            <w:r>
              <w:rPr>
                <w:rFonts w:ascii="Times New Roman" w:hAnsi="Times New Roman"/>
                <w:sz w:val="20"/>
              </w:rPr>
              <w:t>29,0</w:t>
            </w:r>
          </w:p>
        </w:tc>
        <w:tc>
          <w:tcPr>
            <w:tcW w:type="dxa" w:w="1728"/>
          </w:tcPr>
          <w:p>
            <w:r/>
            <w:r>
              <w:rPr>
                <w:rFonts w:ascii="Times New Roman" w:hAnsi="Times New Roman"/>
                <w:sz w:val="20"/>
              </w:rPr>
              <w:t>19</w:t>
            </w:r>
          </w:p>
        </w:tc>
        <w:tc>
          <w:tcPr>
            <w:tcW w:type="dxa" w:w="1728"/>
          </w:tcPr>
          <w:p>
            <w:r/>
            <w:r>
              <w:rPr>
                <w:rFonts w:ascii="Times New Roman" w:hAnsi="Times New Roman"/>
                <w:sz w:val="20"/>
              </w:rPr>
              <w:t>20,9</w:t>
            </w:r>
          </w:p>
        </w:tc>
        <w:tc>
          <w:tcPr>
            <w:tcW w:type="dxa" w:w="1728"/>
          </w:tcPr>
          <w:p>
            <w:r/>
            <w:r>
              <w:rPr>
                <w:rFonts w:ascii="Times New Roman" w:hAnsi="Times New Roman"/>
                <w:sz w:val="20"/>
              </w:rPr>
              <w:t>59</w:t>
            </w:r>
          </w:p>
        </w:tc>
      </w:tr>
    </w:tbl>
    <w:p>
      <w:r>
        <w:rPr>
          <w:rFonts w:ascii="Times New Roman" w:hAnsi="Times New Roman"/>
          <w:i/>
          <w:color w:val="666666"/>
          <w:sz w:val="18"/>
        </w:rPr>
        <w:t>Bảng 11. Tự làm hại bản thân ở VTN 10–17 tuổi. Gia trọng N: tự làm hại 12 tháng = 66; từng tự làm hại = 283. Nguồn: Bảng 11 báo cáo gốc, trang 22.</w:t>
      </w:r>
    </w:p>
    <w:p>
      <w:pPr>
        <w:jc w:val="center"/>
      </w:pPr>
      <w:r>
        <w:rPr>
          <w:rFonts w:ascii="Times New Roman" w:hAnsi="Times New Roman"/>
          <w:i/>
          <w:color w:val="FF6600"/>
          <w:sz w:val="18"/>
        </w:rPr>
        <w:t>--- Trang 23, V-NAMHS, UNICEF/IOS 2022 ---</w:t>
      </w:r>
    </w:p>
    <w:p>
      <w:r>
        <w:rPr>
          <w:rFonts w:ascii="Times New Roman" w:hAnsi="Times New Roman"/>
          <w:b/>
          <w:color w:val="2E548B"/>
          <w:sz w:val="24"/>
        </w:rPr>
        <w:t>Suy xét (Considerations)</w:t>
      </w:r>
    </w:p>
    <w:p>
      <w:r>
        <w:rPr>
          <w:rFonts w:ascii="Times New Roman" w:hAnsi="Times New Roman"/>
          <w:b/>
          <w:i/>
          <w:sz w:val="22"/>
        </w:rPr>
        <w:t>Diễn giải (Interpretation)</w:t>
      </w:r>
    </w:p>
    <w:p>
      <w:r>
        <w:rPr>
          <w:rFonts w:ascii="Times New Roman" w:hAnsi="Times New Roman"/>
        </w:rPr>
        <w:t>V-NAMHS tìm thấy SKTT kém là vấn đề sức khoẻ phổ biến ở VTN. Một trong năm VTN (21,7 %) có vấn đề SKTT trong 12 tháng qua, trong đó 1 trong 30 (3,3 %) đáp ứng tiêu chí cho rối loạn tâm thần. Về so sánh, có ít nghiên cứu đã sử dụng công cụ chẩn đoán để đo tỷ lệ rối loạn tâm thần trong quần thể VTN VN. Vượt qua các hạn chế phương pháp này là đặc điểm cốt lõi của V-NAMHS. Do khác biệt cơ bản về phương pháp, so sánh trực tiếp với nghiên cứu hiện có là khó khăn. Ví dụ, phát hiện 21,7 % VTN có vấn đề SKTT rơi vào khoảng 8–29 % của rà soát tài liệu Samuels et al. (2018). Tuy nhiên, so sánh có ý nghĩa giữa các công cụ khác nhau bị hạn chế, và không tìm được nghiên cứu nào có thể so sánh với phát hiện 3,3 % về tỷ lệ rối loạn tâm thần. Sự thiếu vắng nghiên cứu có thể so sánh khẳng định khoảng trống chứng cứ đáng kể mà V-NAMHS đã lấp đầy, cũng như tầm quan trọng của việc sử dụng công cụ toàn diện trên mẫu đại diện quốc gia.</w:t>
      </w:r>
    </w:p>
    <w:p>
      <w:r>
        <w:rPr>
          <w:rFonts w:ascii="Times New Roman" w:hAnsi="Times New Roman"/>
        </w:rPr>
        <w:t>VTN báo cáo hành vi tự sát hoặc tự làm hại trong 12 tháng qua nhiều khả năng là những em có vấn đề SKTT. Tuy nhiên, tỷ lệ tổng thể hành vi tự sát và tự làm hại trong V-NAMHS hơi thấp hơn so với một số nghiên cứu trước. Ví dụ, Khảo sát Sức khoẻ Học sinh Toàn cầu (GSHS) 2019 tại VN tìm thấy 15,6 % VTN 13–17 tuổi báo cáo ý nghĩ tự sát trong 12 tháng qua, và 3,1 % báo cáo đã toan tự sát trong 12 tháng qua (WHO, MOH và MOET 2022). Tuy nhiên, GSHS dùng bộ câu hỏi tự quản trong bối cảnh trường học. Do đó có thể kỳ thị quanh hành vi tự sát góp phần giải thích tỷ lệ thấp hơn trong V-NAMHS, nơi câu hỏi về hành vi tự sát được phỏng vấn viên trực tiếp đặt. Hơn nữa, phát hiện GSHS cao hơn đáng kể so với các phát hiện liên quan khác tại VN. Ví dụ, Blum, Sudhinaraset và Emerson (2012) khảo sát 6.191 người 15–24 tuổi tại Hà Nội tìm thấy tỷ lệ 12 tháng của ý nghĩ tự sát là 2,3 %, với dưới 1 % báo cáo đã toan tự sát. Các tác giả nêu rằng câu hỏi nhạy cảm được tự quản bởi người tham gia; ngoài ra, câu hỏi ý nghĩ tự sát gộp chung ý nghĩ tự sát với tự làm hại, và kế hoạch tự sát không được bao gồm như danh mục riêng. Điều này có thể giải thích thêm tỷ lệ cao tương đối so với V-NAMHS.</w:t>
      </w:r>
    </w:p>
    <w:p>
      <w:r>
        <w:rPr>
          <w:rFonts w:ascii="Times New Roman" w:hAnsi="Times New Roman"/>
          <w:b/>
          <w:i/>
          <w:sz w:val="22"/>
        </w:rPr>
        <w:t>Hạn chế (Limitations)</w:t>
      </w:r>
    </w:p>
    <w:p>
      <w:r>
        <w:rPr>
          <w:rFonts w:ascii="Times New Roman" w:hAnsi="Times New Roman"/>
        </w:rPr>
        <w:t>Dù V-NAMHS được thiết kế chủ ý để giải quyết các hạn chế phương pháp của nghiên cứu hiện có, một số khía cạnh phương pháp của V-NAMHS có thể đã ảnh hưởng đến tỷ lệ báo cáo. Ví dụ, phỏng vấn được thực hiện trực tiếp bởi phỏng vấn viên được đào tạo. Có thể kỳ thị liên quan đến vấn đề SKTT và thiếu nhận thức chung về SKTT trong cộng đồng đã ảnh hưởng sự sẵn lòng tiết lộ thông tin của người tham gia, dù có đào tạo phỏng vấn viên toàn diện, yêu cầu riêng tư và tuyên bố dữ liệu ẩn danh. Vấn đề tương tự có thể có mặt với báo cáo hành vi tự sát và tự làm hại, vì các hành vi này thường bị kỳ thị, khiến VTN có thể miễn cưỡng báo cáo với phỏng vấn viên, dẫn đến tỷ lệ thấp hơn so với các nghiên cứu dùng bộ câu hỏi tự quản (Blum, Sudhinaraset and Emerson 2012, Hoàng Thế Hải và Bùi Thị Thanh Diệu 2021, UNICEF and ODI 2018, WHO, MOH và MOET 2022).</w:t>
      </w:r>
    </w:p>
    <w:p>
      <w:pPr>
        <w:jc w:val="center"/>
      </w:pPr>
      <w:r>
        <w:rPr>
          <w:rFonts w:ascii="Times New Roman" w:hAnsi="Times New Roman"/>
          <w:i/>
          <w:color w:val="FF6600"/>
          <w:sz w:val="18"/>
        </w:rPr>
        <w:t>--- Trang 24, V-NAMHS, UNICEF/IOS 2022 ---</w:t>
      </w:r>
    </w:p>
    <w:p>
      <w:r>
        <w:rPr>
          <w:rFonts w:ascii="Times New Roman" w:hAnsi="Times New Roman"/>
        </w:rPr>
        <w:t>Một thách thức nữa liên quan đến định nghĩa rối loạn tâm thần theo DSM-5, là cơ sở của DISC-5. DSM-5 do Hiệp hội Tâm thần Hoa Kỳ phát triển và chủ yếu bao gồm tiêu chí chẩn đoán phương Tây (American Psychiatric Association 2013), có thể không tính đến khác biệt văn hoá về cách SKTT được mô tả, trải nghiệm hay thể hiện ở quần thể VN. Ví dụ, Kim và cộng sự (2019) tìm thấy triệu chứng cơ thể (somatic symptoms) dự báo triệu chứng lo âu và trầm cảm ở cả VTN VN lẫn VTN người Mỹ gốc Việt nhưng không ở VTN người Mỹ gốc Âu (Kim et al. 2019). Do đó có thể các triệu chứng trong DISC-5 (dựa trên DSM-5) không tính đủ triệu chứng cơ thể liên quan SKTT trong bối cảnh VN.</w:t>
      </w:r>
    </w:p>
    <w:p>
      <w:r>
        <w:rPr>
          <w:rFonts w:ascii="Times New Roman" w:hAnsi="Times New Roman"/>
        </w:rPr>
        <w:t>Để giải quyết các thách thức này, đã có nhiều nỗ lực đáng kể để thích ứng DISC-5 với bối cảnh VN trong khuôn khổ yêu cầu chẩn đoán DSM-5. Bao gồm: dịch cẩn thận toàn bộ công cụ V-NAMHS (gồm DISC-5), dịch ngược, và rà soát dịch ngược bởi các nhóm NAMHS. Chỉnh sửa cũng được thực hiện dựa trên phản hồi của người tham gia các buổi đào tạo ban đầu và rà soát bản dịch của bác sĩ lâm sàng trong nước. Mục tiêu là đảm bảo ngôn ngữ của công cụ (ngữ pháp, thành ngữ, ví dụ về hành vi) được thích ứng đầy đủ với bối cảnh VN, đồng thời vẫn đo cùng khái niệm gốc. Thay đổi cũng được thực hiện sau nghiên cứu thí điểm (mô tả kỹ hơn trong Phụ lục 2) và tiếp tục qua 2019 và 2020. Cuối cùng, để hiểu tốt hơn sự tương tác tiềm năng giữa khác biệt văn hoá về SKTT và yêu cầu chẩn đoán DSM-5, cả "vấn đề SKTT" và "rối loạn tâm thần" đều được bao gồm trong báo cáo. Điều này cho phép hiểu toàn diện hơn về SKTT VTN VN, vượt xa yêu cầu chẩn đoán DSM-5.</w:t>
      </w:r>
    </w:p>
    <w:p>
      <w:r>
        <w:rPr>
          <w:rFonts w:ascii="Times New Roman" w:hAnsi="Times New Roman"/>
          <w:b/>
          <w:i/>
          <w:sz w:val="22"/>
        </w:rPr>
        <w:t>Hàm ý (Implications)</w:t>
      </w:r>
    </w:p>
    <w:p>
      <w:r>
        <w:rPr>
          <w:rFonts w:ascii="Times New Roman" w:hAnsi="Times New Roman"/>
        </w:rPr>
        <w:t>Tỷ lệ SKTT kém được V-NAMHS khám phá cho thấy SKTT là vấn đề y tế công cộng đòi hỏi sự chú ý của các nhà hoạch định chính sách và kế hoạch tại VN. Dữ liệu từ V-NAMHS cung cấp nền bằng chứng cho các chính sách và sáng kiến y tế như vậy. Ví dụ, đa số VTN hiện đang đi học, nghĩa là triển khai các chiến lược sàng lọc và quản lý cụ thể, lồng ghép với các hoạt động nâng cao SKTT trong trường học, có thể là một phương tiện giảm tỷ lệ và tác động của các triệu chứng này lên sức khoẻ và hạnh phúc VTN VN. Thêm nữa, lo âu có tỷ lệ cao nhất trong các vấn đề SKTT. Các chiến dịch nâng cao sức khoẻ có mục tiêu tập trung vào cải thiện hiểu biết về lo âu, nhận diện triệu chứng và cách tìm kiếm trợ giúp có thể tạo đường dẫn cải thiện SKTT cho một tỷ lệ lớn VTN VN có vấn đề SKTT.</w:t>
      </w:r>
    </w:p>
    <w:p>
      <w:r>
        <w:rPr>
          <w:rFonts w:ascii="Times New Roman" w:hAnsi="Times New Roman"/>
        </w:rPr>
        <w:t>Ngoài ra, dù tỷ lệ báo cáo hành vi tự sát ở VTN thấp, vẫn cần sự chú ý chính sách và hành động để giảm thiểu nguy cơ khi câu hỏi là về sinh tử. Ý nghĩ tự sát thường xảy ra trong một khoảng thời gian trước khi kế hoạch được lập hoặc toan tự sát xảy ra (Wasserman et al. 2008). Do đó, phát hiện sớm và dịch vụ hỗ trợ cho những người có ý nghĩ tự sát — bao gồm thông qua nhận diện vấn đề SKTT — có thể giúp tránh toan tự sát sau này.</w:t>
      </w:r>
    </w:p>
    <w:p>
      <w:r>
        <w:rPr>
          <w:rFonts w:ascii="Times New Roman" w:hAnsi="Times New Roman"/>
        </w:rPr>
        <w:t>Rộng hơn, phát hiện của V-NAMHS nhấn mạnh nhu cầu một chính sách SKTT quốc gia quan tâm đến VTN và có chiến lược cụ thể cho SKTT các em trong trường học và cộng đồng. Gần đây, Bộ Giáo dục và Đào tạo đã ban hành Quyết định 1442/QĐ-BGDĐT ngày 01/06/2022 (Ban hành Chương trình giáo dục sức khoẻ tâm thần cho trẻ em, học sinh giai đoạn 2022–2025) và Quyết định 2138/QĐ-BGDĐT ngày 03/08/2022 (Ban hành Kế hoạch giáo dục sức khoẻ tâm thần cho trẻ em, học sinh giai đoạn 2022–2025) (Bộ Giáo dục và Đào tạo 2022a, 2022b). Dù các quyết định này thể hiện sự công nhận rộng rãi về SKTT VTN trong ngành giáo dục, vẫn cần một khung chính sách toàn diện cấp quốc gia để giải quyết nhu cầu SKTT của VTN, bao gồm cả các em trong và ngoài trường học, và bao gồm sự tham gia của ngành y tế cùng các ngành liên quan khác. Hành động tích cực cho SKTT VTN có tiềm năng mang lại lợi ích hiện tại (giảm triệu chứng, cải thiện khả năng hoạt động tối ưu hàng ngày), lợi ích dài hạn (giảm hệ quả xấu ở tuổi trưởng thành), cũng như lợi ích cho thế hệ kế tiếp bằng việc có phụ huynh SKTT tốt và lớn lên trong xã hội có chính sách SKTT được thiết lập (Patton et al. 2016).</w:t>
      </w:r>
    </w:p>
    <w:p>
      <w:pPr>
        <w:jc w:val="center"/>
      </w:pPr>
      <w:r>
        <w:rPr>
          <w:rFonts w:ascii="Times New Roman" w:hAnsi="Times New Roman"/>
          <w:i/>
          <w:color w:val="FF6600"/>
          <w:sz w:val="18"/>
        </w:rPr>
        <w:t>--- Trang 25, V-NAMHS, UNICEF/IOS 2022 ---</w:t>
      </w:r>
    </w:p>
    <w:p>
      <w:r>
        <w:rPr>
          <w:rFonts w:ascii="Times New Roman" w:hAnsi="Times New Roman"/>
          <w:b/>
          <w:color w:val="1F3A68"/>
          <w:sz w:val="28"/>
        </w:rPr>
        <w:t>SỬ DỤNG DỊCH VỤ (SERVICE USE)</w:t>
      </w:r>
    </w:p>
    <w:p>
      <w:r>
        <w:rPr>
          <w:rFonts w:ascii="Times New Roman" w:hAnsi="Times New Roman"/>
          <w:b/>
          <w:color w:val="2E548B"/>
          <w:sz w:val="24"/>
        </w:rPr>
        <w:t>Tổng quan</w:t>
      </w:r>
    </w:p>
    <w:p>
      <w:r>
        <w:rPr>
          <w:rFonts w:ascii="Times New Roman" w:hAnsi="Times New Roman"/>
        </w:rPr>
        <w:t>Các triệu chứng rối loạn tâm thần thường khởi phát trong giai đoạn vị thành niên (WHO 2014), mang đến cơ hội duy nhất cho can thiệp sớm và dịch vụ SKTT điều chỉnh riêng cho VTN (Colizzi, Lasalvia and Ruggeri 2020). Điều trị và hỗ trợ hiệu quả có thể giảm hoặc giải quyết triệu chứng và cải thiện chức năng, trong khi trải nghiệm tích cực sớm với dịch vụ chăm sóc SKTT có thể thúc đẩy hành vi tìm kiếm trợ giúp trong tương lai, giảm gánh nặng cho cá nhân và hệ thống y tế đến tuổi trưởng thành (Schnyder et al. 2019).</w:t>
      </w:r>
    </w:p>
    <w:p>
      <w:r>
        <w:rPr>
          <w:rFonts w:ascii="Times New Roman" w:hAnsi="Times New Roman"/>
        </w:rPr>
        <w:t>Thu thập thông tin về mô hình sử dụng dịch vụ có thể giúp xác định khoảng trống trong cung cấp dịch vụ, thông tin xem dịch vụ SKTT hiện có có phù hợp và dễ tiếp cận hay không, và giải quyết các rào cản chăm sóc. Điều này đặc biệt quan trọng đối với VTN — nhóm đối mặt với thách thức đặc biệt khi tiếp cận chăm sóc do áp lực gia đình, ảnh hưởng bạn bè và khó khăn chi trả (Person, Hagquist và Michelson 2017, WHO 2014). Hiểu biết về các thách thức cụ thể với VTN cho phép hành động trực tiếp để giảm rào cản, cải thiện sử dụng dịch vụ và kết quả chăm sóc cho các em có vấn đề hay rối loạn SKTT.</w:t>
      </w:r>
    </w:p>
    <w:p>
      <w:r>
        <w:rPr>
          <w:rFonts w:ascii="Times New Roman" w:hAnsi="Times New Roman"/>
        </w:rPr>
        <w:t>Tại VN, đã có những nỗ lực gần đây của Chính phủ nhằm tăng tiếp cận dịch vụ SKTT. Ví dụ, Thủ tướng Chính phủ ban hành Quyết định 1929/QĐ-TTg ngày 25/11/2020 (Thủ tướng Chính phủ 2020) phê duyệt Chương trình trợ giúp xã hội và phục hồi chức năng cho người tâm thần, trẻ em tự kỷ và người rối nhiễu tâm trí dựa vào cộng đồng giai đoạn 2021–2030. Tuy nhiên, VTN chỉ được nhắc đến như một trong nhiều nhóm đối tượng phụ, và tập trung vào người trẻ chủ yếu liên quan đến trẻ em tự kỷ. Gần đây hơn, Thủ tướng Chính phủ ban hành Quyết định 155/QĐ-TTg ngày 29/01/2022 (Thủ tướng Chính phủ 2022) phê duyệt "Kế hoạch quốc gia phòng chống bệnh không lây nhiễm và rối loạn sức khoẻ tâm thần giai đoạn 2022–2025". Dù một trong các mục tiêu của Kế hoạch là quản lý điều trị ở cấp dân số để hạn chế tăng rối loạn tâm thần, trọng tâm vẫn là tâm thần phân liệt và trầm cảm, không chú ý tới chiến lược VTN-specific hay các rối loạn khác phổ biến trong giai đoạn VTN. Dù nhận thức về SKTT tại VN đang tăng, vẫn còn thiếu dịch vụ đáng kể, đặc biệt ở nông thôn so với đô thị, và tiếp cận còn bị tác động bởi tình trạng kinh tế – xã hội (Samuels et al. 2018).</w:t>
      </w:r>
    </w:p>
    <w:p>
      <w:pPr>
        <w:jc w:val="center"/>
      </w:pPr>
      <w:r>
        <w:rPr>
          <w:rFonts w:ascii="Times New Roman" w:hAnsi="Times New Roman"/>
          <w:i/>
          <w:color w:val="FF6600"/>
          <w:sz w:val="18"/>
        </w:rPr>
        <w:t>--- Trang 26, V-NAMHS, UNICEF/IOS 2022 ---</w:t>
      </w:r>
    </w:p>
    <w:p>
      <w:r>
        <w:rPr>
          <w:rFonts w:ascii="Times New Roman" w:hAnsi="Times New Roman"/>
        </w:rPr>
        <w:t>Với VTN, các thách thức càng nghiêm trọng vì đa số dịch vụ SKTT hiện có chủ yếu phục vụ người lớn mắc bệnh tâm thần nặng và yêu cầu phức tạp như tâm thần phân liệt (Cao Tiến Đức 2020). Do đó, thiếu đáng kể dịch vụ SKTT cho VTN, đặc biệt cho những em trải qua suy giảm và căng thẳng từ triệu chứng rối loạn tâm thần nhưng không cần can thiệp chuyên sâu.</w:t>
      </w:r>
    </w:p>
    <w:p>
      <w:r>
        <w:rPr>
          <w:rFonts w:ascii="Times New Roman" w:hAnsi="Times New Roman"/>
        </w:rPr>
        <w:t>Một trong các mục tiêu chính của V-NAMHS là xác định mức độ sử dụng dịch vụ SKTT ở VTN VN, cũng như mức nhu cầu được cảm nhận và rào cản chăm sóc. Chương này trình bày đo lường sử dụng dịch vụ và các yếu tố liên quan trong V-NAMHS và các phát hiện. Tất cả tỷ lệ và số lượng trong chương này đều được gia trọng.</w:t>
      </w:r>
    </w:p>
    <w:p>
      <w:r>
        <w:rPr>
          <w:rFonts w:ascii="Times New Roman" w:hAnsi="Times New Roman"/>
          <w:b/>
          <w:color w:val="2E548B"/>
          <w:sz w:val="24"/>
        </w:rPr>
        <w:t>Đo lường</w:t>
      </w:r>
    </w:p>
    <w:p>
      <w:r>
        <w:rPr>
          <w:rFonts w:ascii="Times New Roman" w:hAnsi="Times New Roman"/>
        </w:rPr>
        <w:t>Câu hỏi về sử dụng dịch vụ được hỏi tất cả người tham gia, bất kể có ghi nhận triệu chứng rối loạn tâm thần hay không. Để hiểu liệu dịch vụ đã được sử dụng để hỗ trợ SKTT của VTN hay chưa, thuật ngữ "vấn đề cảm xúc và hành vi" (emotional and behavioural problems) được dùng để khung các câu hỏi dịch vụ. Thuật ngữ này được chọn để giảm kỳ thị hay tác động tiềm năng từ hiểu biết hạn chế về thuật ngữ SKTT. Ngoài ra, "vấn đề cảm xúc và hành vi" bao quát dải rộng các cách triệu chứng rối loạn tâm thần có thể biểu hiện, vốn khác nhau giữa các nhóm tuổi và bối cảnh văn hoá. Cách tiếp cận này nhất quán với các nghiên cứu tương tự về SKTT và sử dụng dịch vụ (Hafekost et al. 2016). Thêm nữa, V-NAMHS công nhận rằng dịch vụ được sử dụng có thể bao gồm nhà cung cấp vượt xa dịch vụ y tế chính thức. Vì vậy, một dải rộng nhà cung cấp dịch vụ được bao gồm trong các công cụ đo: y tế, giáo dục, tôn giáo/truyền thống, và các ngành khác. Tất cả câu hỏi liên quan đến 12 tháng qua và tất cả được hỏi phụ huynh, ngoại trừ hỗ trợ phi chính thức và chiến lược tự giúp (hỏi vị thành niên).</w:t>
      </w:r>
    </w:p>
    <w:p>
      <w:r>
        <w:rPr>
          <w:rFonts w:ascii="Times New Roman" w:hAnsi="Times New Roman"/>
          <w:b/>
          <w:color w:val="2E548B"/>
          <w:sz w:val="24"/>
        </w:rPr>
        <w:t>Phát hiện</w:t>
      </w:r>
    </w:p>
    <w:p>
      <w:r>
        <w:rPr>
          <w:rFonts w:ascii="Times New Roman" w:hAnsi="Times New Roman"/>
          <w:b/>
          <w:i/>
          <w:sz w:val="22"/>
        </w:rPr>
        <w:t>Tần suất và loại sử dụng dịch vụ</w:t>
      </w:r>
    </w:p>
    <w:p>
      <w:r>
        <w:rPr>
          <w:rFonts w:ascii="Times New Roman" w:hAnsi="Times New Roman"/>
        </w:rPr>
        <w:t>Trong số VTN có vấn đề SKTT (n = 1.301), chỉ 8,4 % đã sử dụng bất kỳ dịch vụ nào cung cấp hỗ trợ hoặc tư vấn cho vấn đề cảm xúc và hành vi trong 12 tháng qua. Tổng thể, chỉ 6,5 % (n = 389) VTN đã sử dụng dịch vụ trong 12 tháng qua, không có khác biệt giữa nam (7,4 %; n = 231) và nữ (5,5 %; n = 158). Trong số VTN đã sử dụng dịch vụ, hầu hết phụ huynh báo cáo dịch vụ có ích hoặc rất có ích (80,0 %).</w:t>
      </w:r>
    </w:p>
    <w:p>
      <w:r>
        <w:rPr>
          <w:rFonts w:ascii="Times New Roman" w:hAnsi="Times New Roman"/>
        </w:rPr>
        <w:t>Về tần suất sử dụng dịch vụ trong 12 tháng qua, Bảng 12 cho thấy một nửa (50,8 %) chỉ sử dụng dịch vụ một lần, trong khi một phần tư (26,2 %) đã sử dụng 2 – 4 lần. Rất ít (3,4 %) VTN đã tiếp cận dịch vụ từ 5 lần trở lên.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
              <w:rPr>
                <w:rFonts w:ascii="Times New Roman" w:hAnsi="Times New Roman"/>
                <w:b/>
                <w:sz w:val="20"/>
              </w:rPr>
              <w:t>Giới</w:t>
            </w:r>
          </w:p>
        </w:tc>
        <w:tc>
          <w:tcPr>
            <w:tcW w:type="dxa" w:w="1234"/>
            <w:shd w:fill="D9E1F2"/>
          </w:tcPr>
          <w:p>
            <w:r/>
            <w:r>
              <w:rPr>
                <w:rFonts w:ascii="Times New Roman" w:hAnsi="Times New Roman"/>
                <w:b/>
                <w:sz w:val="20"/>
              </w:rPr>
              <w:t>% 1 lần</w:t>
            </w:r>
          </w:p>
        </w:tc>
        <w:tc>
          <w:tcPr>
            <w:tcW w:type="dxa" w:w="1234"/>
            <w:shd w:fill="D9E1F2"/>
          </w:tcPr>
          <w:p>
            <w:r/>
            <w:r>
              <w:rPr>
                <w:rFonts w:ascii="Times New Roman" w:hAnsi="Times New Roman"/>
                <w:b/>
                <w:sz w:val="20"/>
              </w:rPr>
              <w:t>n</w:t>
            </w:r>
          </w:p>
        </w:tc>
        <w:tc>
          <w:tcPr>
            <w:tcW w:type="dxa" w:w="1234"/>
            <w:shd w:fill="D9E1F2"/>
          </w:tcPr>
          <w:p>
            <w:r/>
            <w:r>
              <w:rPr>
                <w:rFonts w:ascii="Times New Roman" w:hAnsi="Times New Roman"/>
                <w:b/>
                <w:sz w:val="20"/>
              </w:rPr>
              <w:t>% 2–4 lần</w:t>
            </w:r>
          </w:p>
        </w:tc>
        <w:tc>
          <w:tcPr>
            <w:tcW w:type="dxa" w:w="1234"/>
            <w:shd w:fill="D9E1F2"/>
          </w:tcPr>
          <w:p>
            <w:r/>
            <w:r>
              <w:rPr>
                <w:rFonts w:ascii="Times New Roman" w:hAnsi="Times New Roman"/>
                <w:b/>
                <w:sz w:val="20"/>
              </w:rPr>
              <w:t>n</w:t>
            </w:r>
          </w:p>
        </w:tc>
        <w:tc>
          <w:tcPr>
            <w:tcW w:type="dxa" w:w="1234"/>
            <w:shd w:fill="D9E1F2"/>
          </w:tcPr>
          <w:p>
            <w:r/>
            <w:r>
              <w:rPr>
                <w:rFonts w:ascii="Times New Roman" w:hAnsi="Times New Roman"/>
                <w:b/>
                <w:sz w:val="20"/>
              </w:rPr>
              <w:t>% ≥5 lần</w:t>
            </w:r>
          </w:p>
        </w:tc>
        <w:tc>
          <w:tcPr>
            <w:tcW w:type="dxa" w:w="1234"/>
            <w:shd w:fill="D9E1F2"/>
          </w:tcPr>
          <w:p>
            <w:r/>
            <w:r>
              <w:rPr>
                <w:rFonts w:ascii="Times New Roman" w:hAnsi="Times New Roman"/>
                <w:b/>
                <w:sz w:val="20"/>
              </w:rPr>
              <w:t>n</w:t>
            </w:r>
          </w:p>
        </w:tc>
      </w:tr>
      <w:tr>
        <w:tc>
          <w:tcPr>
            <w:tcW w:type="dxa" w:w="1234"/>
          </w:tcPr>
          <w:p>
            <w:r/>
            <w:r>
              <w:rPr>
                <w:rFonts w:ascii="Times New Roman" w:hAnsi="Times New Roman"/>
                <w:sz w:val="20"/>
              </w:rPr>
              <w:t>Nam</w:t>
            </w:r>
          </w:p>
        </w:tc>
        <w:tc>
          <w:tcPr>
            <w:tcW w:type="dxa" w:w="1234"/>
          </w:tcPr>
          <w:p>
            <w:r/>
            <w:r>
              <w:rPr>
                <w:rFonts w:ascii="Times New Roman" w:hAnsi="Times New Roman"/>
                <w:sz w:val="20"/>
              </w:rPr>
              <w:t>47,2</w:t>
            </w:r>
          </w:p>
        </w:tc>
        <w:tc>
          <w:tcPr>
            <w:tcW w:type="dxa" w:w="1234"/>
          </w:tcPr>
          <w:p>
            <w:r/>
            <w:r>
              <w:rPr>
                <w:rFonts w:ascii="Times New Roman" w:hAnsi="Times New Roman"/>
                <w:sz w:val="20"/>
              </w:rPr>
              <w:t>109</w:t>
            </w:r>
          </w:p>
        </w:tc>
        <w:tc>
          <w:tcPr>
            <w:tcW w:type="dxa" w:w="1234"/>
          </w:tcPr>
          <w:p>
            <w:r/>
            <w:r>
              <w:rPr>
                <w:rFonts w:ascii="Times New Roman" w:hAnsi="Times New Roman"/>
                <w:sz w:val="20"/>
              </w:rPr>
              <w:t>26,3</w:t>
            </w:r>
          </w:p>
        </w:tc>
        <w:tc>
          <w:tcPr>
            <w:tcW w:type="dxa" w:w="1234"/>
          </w:tcPr>
          <w:p>
            <w:r/>
            <w:r>
              <w:rPr>
                <w:rFonts w:ascii="Times New Roman" w:hAnsi="Times New Roman"/>
                <w:sz w:val="20"/>
              </w:rPr>
              <w:t>61</w:t>
            </w:r>
          </w:p>
        </w:tc>
        <w:tc>
          <w:tcPr>
            <w:tcW w:type="dxa" w:w="1234"/>
          </w:tcPr>
          <w:p>
            <w:r/>
            <w:r>
              <w:rPr>
                <w:rFonts w:ascii="Times New Roman" w:hAnsi="Times New Roman"/>
                <w:sz w:val="20"/>
              </w:rPr>
              <w:t>4,5</w:t>
            </w:r>
          </w:p>
        </w:tc>
        <w:tc>
          <w:tcPr>
            <w:tcW w:type="dxa" w:w="1234"/>
          </w:tcPr>
          <w:p>
            <w:r/>
            <w:r>
              <w:rPr>
                <w:rFonts w:ascii="Times New Roman" w:hAnsi="Times New Roman"/>
                <w:sz w:val="20"/>
              </w:rPr>
              <w:t>10</w:t>
            </w:r>
          </w:p>
        </w:tc>
      </w:tr>
      <w:tr>
        <w:tc>
          <w:tcPr>
            <w:tcW w:type="dxa" w:w="1234"/>
          </w:tcPr>
          <w:p>
            <w:r/>
            <w:r>
              <w:rPr>
                <w:rFonts w:ascii="Times New Roman" w:hAnsi="Times New Roman"/>
                <w:sz w:val="20"/>
              </w:rPr>
              <w:t>Nữ</w:t>
            </w:r>
          </w:p>
        </w:tc>
        <w:tc>
          <w:tcPr>
            <w:tcW w:type="dxa" w:w="1234"/>
          </w:tcPr>
          <w:p>
            <w:r/>
            <w:r>
              <w:rPr>
                <w:rFonts w:ascii="Times New Roman" w:hAnsi="Times New Roman"/>
                <w:sz w:val="20"/>
              </w:rPr>
              <w:t>56,0</w:t>
            </w:r>
          </w:p>
        </w:tc>
        <w:tc>
          <w:tcPr>
            <w:tcW w:type="dxa" w:w="1234"/>
          </w:tcPr>
          <w:p>
            <w:r/>
            <w:r>
              <w:rPr>
                <w:rFonts w:ascii="Times New Roman" w:hAnsi="Times New Roman"/>
                <w:sz w:val="20"/>
              </w:rPr>
              <w:t>89</w:t>
            </w:r>
          </w:p>
        </w:tc>
        <w:tc>
          <w:tcPr>
            <w:tcW w:type="dxa" w:w="1234"/>
          </w:tcPr>
          <w:p>
            <w:r/>
            <w:r>
              <w:rPr>
                <w:rFonts w:ascii="Times New Roman" w:hAnsi="Times New Roman"/>
                <w:sz w:val="20"/>
              </w:rPr>
              <w:t>26,2</w:t>
            </w:r>
          </w:p>
        </w:tc>
        <w:tc>
          <w:tcPr>
            <w:tcW w:type="dxa" w:w="1234"/>
          </w:tcPr>
          <w:p>
            <w:r/>
            <w:r>
              <w:rPr>
                <w:rFonts w:ascii="Times New Roman" w:hAnsi="Times New Roman"/>
                <w:sz w:val="20"/>
              </w:rPr>
              <w:t>41</w:t>
            </w:r>
          </w:p>
        </w:tc>
        <w:tc>
          <w:tcPr>
            <w:tcW w:type="dxa" w:w="1234"/>
          </w:tcPr>
          <w:p>
            <w:r/>
            <w:r>
              <w:rPr>
                <w:rFonts w:ascii="Times New Roman" w:hAnsi="Times New Roman"/>
                <w:sz w:val="20"/>
              </w:rPr>
              <w:t>1,7</w:t>
            </w:r>
          </w:p>
        </w:tc>
        <w:tc>
          <w:tcPr>
            <w:tcW w:type="dxa" w:w="1234"/>
          </w:tcPr>
          <w:p>
            <w:r/>
            <w:r>
              <w:rPr>
                <w:rFonts w:ascii="Times New Roman" w:hAnsi="Times New Roman"/>
                <w:sz w:val="20"/>
              </w:rPr>
              <w:t>3</w:t>
            </w:r>
          </w:p>
        </w:tc>
      </w:tr>
      <w:tr>
        <w:tc>
          <w:tcPr>
            <w:tcW w:type="dxa" w:w="1234"/>
          </w:tcPr>
          <w:p>
            <w:r/>
            <w:r>
              <w:rPr>
                <w:rFonts w:ascii="Times New Roman" w:hAnsi="Times New Roman"/>
                <w:sz w:val="20"/>
              </w:rPr>
              <w:t>Tổng</w:t>
            </w:r>
          </w:p>
        </w:tc>
        <w:tc>
          <w:tcPr>
            <w:tcW w:type="dxa" w:w="1234"/>
          </w:tcPr>
          <w:p>
            <w:r/>
            <w:r>
              <w:rPr>
                <w:rFonts w:ascii="Times New Roman" w:hAnsi="Times New Roman"/>
                <w:sz w:val="20"/>
              </w:rPr>
              <w:t>50,8</w:t>
            </w:r>
          </w:p>
        </w:tc>
        <w:tc>
          <w:tcPr>
            <w:tcW w:type="dxa" w:w="1234"/>
          </w:tcPr>
          <w:p>
            <w:r/>
            <w:r>
              <w:rPr>
                <w:rFonts w:ascii="Times New Roman" w:hAnsi="Times New Roman"/>
                <w:sz w:val="20"/>
              </w:rPr>
              <w:t>198</w:t>
            </w:r>
          </w:p>
        </w:tc>
        <w:tc>
          <w:tcPr>
            <w:tcW w:type="dxa" w:w="1234"/>
          </w:tcPr>
          <w:p>
            <w:r/>
            <w:r>
              <w:rPr>
                <w:rFonts w:ascii="Times New Roman" w:hAnsi="Times New Roman"/>
                <w:sz w:val="20"/>
              </w:rPr>
              <w:t>26,2</w:t>
            </w:r>
          </w:p>
        </w:tc>
        <w:tc>
          <w:tcPr>
            <w:tcW w:type="dxa" w:w="1234"/>
          </w:tcPr>
          <w:p>
            <w:r/>
            <w:r>
              <w:rPr>
                <w:rFonts w:ascii="Times New Roman" w:hAnsi="Times New Roman"/>
                <w:sz w:val="20"/>
              </w:rPr>
              <w:t>102</w:t>
            </w:r>
          </w:p>
        </w:tc>
        <w:tc>
          <w:tcPr>
            <w:tcW w:type="dxa" w:w="1234"/>
          </w:tcPr>
          <w:p>
            <w:r/>
            <w:r>
              <w:rPr>
                <w:rFonts w:ascii="Times New Roman" w:hAnsi="Times New Roman"/>
                <w:sz w:val="20"/>
              </w:rPr>
              <w:t>3,4</w:t>
            </w:r>
          </w:p>
        </w:tc>
        <w:tc>
          <w:tcPr>
            <w:tcW w:type="dxa" w:w="1234"/>
          </w:tcPr>
          <w:p>
            <w:r/>
            <w:r>
              <w:rPr>
                <w:rFonts w:ascii="Times New Roman" w:hAnsi="Times New Roman"/>
                <w:sz w:val="20"/>
              </w:rPr>
              <w:t>13</w:t>
            </w:r>
          </w:p>
        </w:tc>
      </w:tr>
    </w:tbl>
    <w:p>
      <w:r>
        <w:rPr>
          <w:rFonts w:ascii="Times New Roman" w:hAnsi="Times New Roman"/>
          <w:i/>
          <w:color w:val="666666"/>
          <w:sz w:val="18"/>
        </w:rPr>
        <w:t>Bảng 12. Tần suất tiếp cận dịch vụ hỗ trợ/tư vấn vấn đề cảm xúc và hành vi trong 12 tháng qua ở VTN 10–17 tuổi theo giới. Gia trọng N: nam = 231; nữ = 158; tổng = 389. Nguồn: Bảng 12 báo cáo gốc, trang 26.</w:t>
      </w:r>
    </w:p>
    <w:p>
      <w:pPr>
        <w:jc w:val="center"/>
      </w:pPr>
      <w:r>
        <w:rPr>
          <w:rFonts w:ascii="Times New Roman" w:hAnsi="Times New Roman"/>
          <w:i/>
          <w:color w:val="FF6600"/>
          <w:sz w:val="18"/>
        </w:rPr>
        <w:t>--- Trang 27, V-NAMHS, UNICEF/IOS 2022 ---</w:t>
      </w:r>
    </w:p>
    <w:p>
      <w:r>
        <w:rPr>
          <w:rFonts w:ascii="Times New Roman" w:hAnsi="Times New Roman"/>
        </w:rPr>
        <w:t>Khi được hỏi nhà cung cấp dịch vụ nào được dùng nhiều nhất trong 12 tháng qua, hơn một nửa phụ huynh (56,2 %) có con đã tiếp cận dịch vụ trong 12 tháng báo cáo đây là bác sĩ hoặc điều dưỡng (Bảng 13).</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Loại nhà cung cấp dịch vụ</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Bác sĩ hoặc điều dưỡng</w:t>
            </w:r>
          </w:p>
        </w:tc>
        <w:tc>
          <w:tcPr>
            <w:tcW w:type="dxa" w:w="2880"/>
          </w:tcPr>
          <w:p>
            <w:r/>
            <w:r>
              <w:rPr>
                <w:rFonts w:ascii="Times New Roman" w:hAnsi="Times New Roman"/>
                <w:sz w:val="20"/>
              </w:rPr>
              <w:t>56,2</w:t>
            </w:r>
          </w:p>
        </w:tc>
        <w:tc>
          <w:tcPr>
            <w:tcW w:type="dxa" w:w="2880"/>
          </w:tcPr>
          <w:p>
            <w:r/>
            <w:r>
              <w:rPr>
                <w:rFonts w:ascii="Times New Roman" w:hAnsi="Times New Roman"/>
                <w:sz w:val="20"/>
              </w:rPr>
              <w:t>219</w:t>
            </w:r>
          </w:p>
        </w:tc>
      </w:tr>
      <w:tr>
        <w:tc>
          <w:tcPr>
            <w:tcW w:type="dxa" w:w="2880"/>
          </w:tcPr>
          <w:p>
            <w:r/>
            <w:r>
              <w:rPr>
                <w:rFonts w:ascii="Times New Roman" w:hAnsi="Times New Roman"/>
                <w:sz w:val="20"/>
              </w:rPr>
              <w:t>Nhân viên y tế cộng đồng</w:t>
            </w:r>
          </w:p>
        </w:tc>
        <w:tc>
          <w:tcPr>
            <w:tcW w:type="dxa" w:w="2880"/>
          </w:tcPr>
          <w:p>
            <w:r/>
            <w:r>
              <w:rPr>
                <w:rFonts w:ascii="Times New Roman" w:hAnsi="Times New Roman"/>
                <w:sz w:val="20"/>
              </w:rPr>
              <w:t>10,7</w:t>
            </w:r>
          </w:p>
        </w:tc>
        <w:tc>
          <w:tcPr>
            <w:tcW w:type="dxa" w:w="2880"/>
          </w:tcPr>
          <w:p>
            <w:r/>
            <w:r>
              <w:rPr>
                <w:rFonts w:ascii="Times New Roman" w:hAnsi="Times New Roman"/>
                <w:sz w:val="20"/>
              </w:rPr>
              <w:t>42</w:t>
            </w:r>
          </w:p>
        </w:tc>
      </w:tr>
      <w:tr>
        <w:tc>
          <w:tcPr>
            <w:tcW w:type="dxa" w:w="2880"/>
          </w:tcPr>
          <w:p>
            <w:r/>
            <w:r>
              <w:rPr>
                <w:rFonts w:ascii="Times New Roman" w:hAnsi="Times New Roman"/>
                <w:sz w:val="20"/>
              </w:rPr>
              <w:t>Nhân viên trường học</w:t>
            </w:r>
          </w:p>
        </w:tc>
        <w:tc>
          <w:tcPr>
            <w:tcW w:type="dxa" w:w="2880"/>
          </w:tcPr>
          <w:p>
            <w:r/>
            <w:r>
              <w:rPr>
                <w:rFonts w:ascii="Times New Roman" w:hAnsi="Times New Roman"/>
                <w:sz w:val="20"/>
              </w:rPr>
              <w:t>5,5</w:t>
            </w:r>
          </w:p>
        </w:tc>
        <w:tc>
          <w:tcPr>
            <w:tcW w:type="dxa" w:w="2880"/>
          </w:tcPr>
          <w:p>
            <w:r/>
            <w:r>
              <w:rPr>
                <w:rFonts w:ascii="Times New Roman" w:hAnsi="Times New Roman"/>
                <w:sz w:val="20"/>
              </w:rPr>
              <w:t>22</w:t>
            </w:r>
          </w:p>
        </w:tc>
      </w:tr>
      <w:tr>
        <w:tc>
          <w:tcPr>
            <w:tcW w:type="dxa" w:w="2880"/>
          </w:tcPr>
          <w:p>
            <w:r/>
            <w:r>
              <w:rPr>
                <w:rFonts w:ascii="Times New Roman" w:hAnsi="Times New Roman"/>
                <w:sz w:val="20"/>
              </w:rPr>
              <w:t>Lãnh đạo tôn giáo/tín ngưỡng</w:t>
            </w:r>
          </w:p>
        </w:tc>
        <w:tc>
          <w:tcPr>
            <w:tcW w:type="dxa" w:w="2880"/>
          </w:tcPr>
          <w:p>
            <w:r/>
            <w:r>
              <w:rPr>
                <w:rFonts w:ascii="Times New Roman" w:hAnsi="Times New Roman"/>
                <w:sz w:val="20"/>
              </w:rPr>
              <w:t>4,5</w:t>
            </w:r>
          </w:p>
        </w:tc>
        <w:tc>
          <w:tcPr>
            <w:tcW w:type="dxa" w:w="2880"/>
          </w:tcPr>
          <w:p>
            <w:r/>
            <w:r>
              <w:rPr>
                <w:rFonts w:ascii="Times New Roman" w:hAnsi="Times New Roman"/>
                <w:sz w:val="20"/>
              </w:rPr>
              <w:t>17</w:t>
            </w:r>
          </w:p>
        </w:tc>
      </w:tr>
      <w:tr>
        <w:tc>
          <w:tcPr>
            <w:tcW w:type="dxa" w:w="2880"/>
          </w:tcPr>
          <w:p>
            <w:r/>
            <w:r>
              <w:rPr>
                <w:rFonts w:ascii="Times New Roman" w:hAnsi="Times New Roman"/>
                <w:sz w:val="20"/>
              </w:rPr>
              <w:t>Chuyên gia (bác sĩ tâm thần...)</w:t>
            </w:r>
          </w:p>
        </w:tc>
        <w:tc>
          <w:tcPr>
            <w:tcW w:type="dxa" w:w="2880"/>
          </w:tcPr>
          <w:p>
            <w:r/>
            <w:r>
              <w:rPr>
                <w:rFonts w:ascii="Times New Roman" w:hAnsi="Times New Roman"/>
                <w:sz w:val="20"/>
              </w:rPr>
              <w:t>1,4</w:t>
            </w:r>
          </w:p>
        </w:tc>
        <w:tc>
          <w:tcPr>
            <w:tcW w:type="dxa" w:w="2880"/>
          </w:tcPr>
          <w:p>
            <w:r/>
            <w:r>
              <w:rPr>
                <w:rFonts w:ascii="Times New Roman" w:hAnsi="Times New Roman"/>
                <w:sz w:val="20"/>
              </w:rPr>
              <w:t>5</w:t>
            </w:r>
          </w:p>
        </w:tc>
      </w:tr>
      <w:tr>
        <w:tc>
          <w:tcPr>
            <w:tcW w:type="dxa" w:w="2880"/>
          </w:tcPr>
          <w:p>
            <w:r/>
            <w:r>
              <w:rPr>
                <w:rFonts w:ascii="Times New Roman" w:hAnsi="Times New Roman"/>
                <w:sz w:val="20"/>
              </w:rPr>
              <w:t>Khác</w:t>
            </w:r>
          </w:p>
        </w:tc>
        <w:tc>
          <w:tcPr>
            <w:tcW w:type="dxa" w:w="2880"/>
          </w:tcPr>
          <w:p>
            <w:r/>
            <w:r>
              <w:rPr>
                <w:rFonts w:ascii="Times New Roman" w:hAnsi="Times New Roman"/>
                <w:sz w:val="20"/>
              </w:rPr>
              <w:t>0,3</w:t>
            </w:r>
          </w:p>
        </w:tc>
        <w:tc>
          <w:tcPr>
            <w:tcW w:type="dxa" w:w="2880"/>
          </w:tcPr>
          <w:p>
            <w:r/>
            <w:r>
              <w:rPr>
                <w:rFonts w:ascii="Times New Roman" w:hAnsi="Times New Roman"/>
                <w:sz w:val="20"/>
              </w:rPr>
              <w:t>1</w:t>
            </w:r>
          </w:p>
        </w:tc>
      </w:tr>
      <w:tr>
        <w:tc>
          <w:tcPr>
            <w:tcW w:type="dxa" w:w="2880"/>
          </w:tcPr>
          <w:p>
            <w:r/>
            <w:r>
              <w:rPr>
                <w:rFonts w:ascii="Times New Roman" w:hAnsi="Times New Roman"/>
                <w:sz w:val="20"/>
              </w:rPr>
              <w:t>Thầy thuốc truyền thống</w:t>
            </w:r>
          </w:p>
        </w:tc>
        <w:tc>
          <w:tcPr>
            <w:tcW w:type="dxa" w:w="2880"/>
          </w:tcPr>
          <w:p>
            <w:r/>
            <w:r>
              <w:rPr>
                <w:rFonts w:ascii="Times New Roman" w:hAnsi="Times New Roman"/>
                <w:sz w:val="20"/>
              </w:rPr>
              <w:t>0,1</w:t>
            </w:r>
          </w:p>
        </w:tc>
        <w:tc>
          <w:tcPr>
            <w:tcW w:type="dxa" w:w="2880"/>
          </w:tcPr>
          <w:p>
            <w:r/>
            <w:r>
              <w:rPr>
                <w:rFonts w:ascii="Times New Roman" w:hAnsi="Times New Roman"/>
                <w:sz w:val="20"/>
              </w:rPr>
              <w:t>0</w:t>
            </w:r>
          </w:p>
        </w:tc>
      </w:tr>
    </w:tbl>
    <w:p>
      <w:r>
        <w:rPr>
          <w:rFonts w:ascii="Times New Roman" w:hAnsi="Times New Roman"/>
          <w:i/>
          <w:color w:val="666666"/>
          <w:sz w:val="18"/>
        </w:rPr>
        <w:t>Bảng 13. Loại nhà cung cấp dịch vụ được dùng nhiều nhất cho vấn đề cảm xúc và hành vi trong 12 tháng qua. Gia trọng N = 389. Nguồn: Bảng 13 báo cáo gốc, trang 27.</w:t>
      </w:r>
    </w:p>
    <w:p>
      <w:pPr>
        <w:jc w:val="center"/>
      </w:pPr>
      <w:r>
        <w:drawing>
          <wp:inline xmlns:a="http://schemas.openxmlformats.org/drawingml/2006/main" xmlns:pic="http://schemas.openxmlformats.org/drawingml/2006/picture">
            <wp:extent cx="3600000" cy="2088000"/>
            <wp:docPr id="5" name="Picture 5"/>
            <wp:cNvGraphicFramePr>
              <a:graphicFrameLocks noChangeAspect="1"/>
            </wp:cNvGraphicFramePr>
            <a:graphic>
              <a:graphicData uri="http://schemas.openxmlformats.org/drawingml/2006/picture">
                <pic:pic>
                  <pic:nvPicPr>
                    <pic:cNvPr id="0" name="p027_img1_Image228.jpg"/>
                    <pic:cNvPicPr/>
                  </pic:nvPicPr>
                  <pic:blipFill>
                    <a:blip r:embed="rId13"/>
                    <a:stretch>
                      <a:fillRect/>
                    </a:stretch>
                  </pic:blipFill>
                  <pic:spPr>
                    <a:xfrm>
                      <a:off x="0" y="0"/>
                      <a:ext cx="3600000" cy="2088000"/>
                    </a:xfrm>
                    <a:prstGeom prst="rect"/>
                  </pic:spPr>
                </pic:pic>
              </a:graphicData>
            </a:graphic>
          </wp:inline>
        </w:drawing>
      </w:r>
    </w:p>
    <w:p>
      <w:pPr>
        <w:jc w:val="center"/>
      </w:pPr>
      <w:r>
        <w:rPr>
          <w:rFonts w:ascii="Times New Roman" w:hAnsi="Times New Roman"/>
          <w:i/>
          <w:color w:val="666666"/>
          <w:sz w:val="18"/>
        </w:rPr>
        <w:t>Hình minh hoạ — Sử dụng dịch vụ SKTT</w:t>
        <w:br/>
        <w:t>(Service use illustration)</w:t>
      </w:r>
    </w:p>
    <w:p>
      <w:r>
        <w:rPr>
          <w:rFonts w:ascii="Times New Roman" w:hAnsi="Times New Roman"/>
        </w:rPr>
        <w:t>Trong số các em đã tiếp cận dịch vụ, 28,1 % có vấn đề SKTT trong 12 tháng qua, nghĩa là hơn 71,9 % không ghi nhận đủ triệu chứng để chỉ ra sự hiện diện của một vấn đề SKTT theo DISC-5. Như Hình 3 thể hiện, VTN có vấn đề SKTT đã tiếp cận dịch vụ có xu hướng báo cáo suy giảm nhiều hơn không, bất kể ghi nhận đầy đủ ngưỡng (14,8 %; n = 16) hay dưới ngưỡng (60,1 %; n = 66) triệu chứng.</w:t>
      </w:r>
    </w:p>
    <w:tbl>
      <w:tblPr>
        <w:tblStyle w:val="TableGrid"/>
        <w:tblW w:type="auto" w:w="0"/>
        <w:tblLook w:firstColumn="1" w:firstRow="1" w:lastColumn="0" w:lastRow="0" w:noHBand="0" w:noVBand="1" w:val="04A0"/>
      </w:tblPr>
      <w:tblGrid>
        <w:gridCol w:w="4320"/>
        <w:gridCol w:w="4320"/>
      </w:tblGrid>
      <w:tr>
        <w:tc>
          <w:tcPr>
            <w:tcW w:type="dxa" w:w="4320"/>
            <w:shd w:fill="FFE6CC"/>
          </w:tcPr>
          <w:p>
            <w:r/>
            <w:r>
              <w:rPr>
                <w:rFonts w:ascii="Times New Roman" w:hAnsi="Times New Roman"/>
                <w:b/>
                <w:sz w:val="20"/>
              </w:rPr>
              <w:t>Loại triệu chứng</w:t>
            </w:r>
          </w:p>
        </w:tc>
        <w:tc>
          <w:tcPr>
            <w:tcW w:type="dxa" w:w="4320"/>
            <w:shd w:fill="FFE6CC"/>
          </w:tcPr>
          <w:p>
            <w:r/>
            <w:r>
              <w:rPr>
                <w:rFonts w:ascii="Times New Roman" w:hAnsi="Times New Roman"/>
                <w:b/>
                <w:sz w:val="20"/>
              </w:rPr>
              <w:t>Tỷ lệ %</w:t>
            </w:r>
          </w:p>
        </w:tc>
      </w:tr>
      <w:tr>
        <w:tc>
          <w:tcPr>
            <w:tcW w:type="dxa" w:w="4320"/>
          </w:tcPr>
          <w:p>
            <w:r/>
            <w:r>
              <w:rPr>
                <w:rFonts w:ascii="Times New Roman" w:hAnsi="Times New Roman"/>
                <w:sz w:val="20"/>
              </w:rPr>
              <w:t>Triệu chứng đầy đủ + suy giảm (= rối loạn tâm thần)</w:t>
            </w:r>
          </w:p>
        </w:tc>
        <w:tc>
          <w:tcPr>
            <w:tcW w:type="dxa" w:w="4320"/>
          </w:tcPr>
          <w:p>
            <w:r/>
            <w:r>
              <w:rPr>
                <w:rFonts w:ascii="Times New Roman" w:hAnsi="Times New Roman"/>
                <w:sz w:val="20"/>
              </w:rPr>
              <w:t>14,8</w:t>
            </w:r>
          </w:p>
        </w:tc>
      </w:tr>
      <w:tr>
        <w:tc>
          <w:tcPr>
            <w:tcW w:type="dxa" w:w="4320"/>
          </w:tcPr>
          <w:p>
            <w:r/>
            <w:r>
              <w:rPr>
                <w:rFonts w:ascii="Times New Roman" w:hAnsi="Times New Roman"/>
                <w:sz w:val="20"/>
              </w:rPr>
              <w:t>Triệu chứng dưới ngưỡng + suy giảm</w:t>
            </w:r>
          </w:p>
        </w:tc>
        <w:tc>
          <w:tcPr>
            <w:tcW w:type="dxa" w:w="4320"/>
          </w:tcPr>
          <w:p>
            <w:r/>
            <w:r>
              <w:rPr>
                <w:rFonts w:ascii="Times New Roman" w:hAnsi="Times New Roman"/>
                <w:sz w:val="20"/>
              </w:rPr>
              <w:t>60,1</w:t>
            </w:r>
          </w:p>
        </w:tc>
      </w:tr>
      <w:tr>
        <w:tc>
          <w:tcPr>
            <w:tcW w:type="dxa" w:w="4320"/>
          </w:tcPr>
          <w:p>
            <w:r/>
            <w:r>
              <w:rPr>
                <w:rFonts w:ascii="Times New Roman" w:hAnsi="Times New Roman"/>
                <w:sz w:val="20"/>
              </w:rPr>
              <w:t>Triệu chứng đầy đủ không suy giảm</w:t>
            </w:r>
          </w:p>
        </w:tc>
        <w:tc>
          <w:tcPr>
            <w:tcW w:type="dxa" w:w="4320"/>
          </w:tcPr>
          <w:p>
            <w:r/>
            <w:r>
              <w:rPr>
                <w:rFonts w:ascii="Times New Roman" w:hAnsi="Times New Roman"/>
                <w:sz w:val="20"/>
              </w:rPr>
              <w:t>0,4</w:t>
            </w:r>
          </w:p>
        </w:tc>
      </w:tr>
      <w:tr>
        <w:tc>
          <w:tcPr>
            <w:tcW w:type="dxa" w:w="4320"/>
          </w:tcPr>
          <w:p>
            <w:r/>
            <w:r>
              <w:rPr>
                <w:rFonts w:ascii="Times New Roman" w:hAnsi="Times New Roman"/>
                <w:sz w:val="20"/>
              </w:rPr>
              <w:t>Triệu chứng dưới ngưỡng không suy giảm</w:t>
            </w:r>
          </w:p>
        </w:tc>
        <w:tc>
          <w:tcPr>
            <w:tcW w:type="dxa" w:w="4320"/>
          </w:tcPr>
          <w:p>
            <w:r/>
            <w:r>
              <w:rPr>
                <w:rFonts w:ascii="Times New Roman" w:hAnsi="Times New Roman"/>
                <w:sz w:val="20"/>
              </w:rPr>
              <w:t>24,7</w:t>
            </w:r>
          </w:p>
        </w:tc>
      </w:tr>
    </w:tbl>
    <w:p>
      <w:r>
        <w:rPr>
          <w:rFonts w:ascii="Times New Roman" w:hAnsi="Times New Roman"/>
          <w:i/>
          <w:color w:val="666666"/>
          <w:sz w:val="18"/>
        </w:rPr>
        <w:t>Hình 3. Ngưỡng triệu chứng và suy giảm ở VTN 10–17 tuổi có vấn đề SKTT đã sử dụng dịch vụ trong 12 tháng qua. Gia trọng N = 109. Nguồn: Figure 3 báo cáo gốc, trang 27.</w:t>
      </w:r>
    </w:p>
    <w:p>
      <w:r>
        <w:rPr>
          <w:rFonts w:ascii="Times New Roman" w:hAnsi="Times New Roman"/>
          <w:b/>
          <w:i/>
          <w:sz w:val="22"/>
        </w:rPr>
        <w:t>Nhu cầu được cảm nhận và rào cản chăm sóc</w:t>
      </w:r>
    </w:p>
    <w:p>
      <w:r>
        <w:rPr>
          <w:rFonts w:ascii="Times New Roman" w:hAnsi="Times New Roman"/>
        </w:rPr>
        <w:t>Trong toàn bộ phụ huynh, chỉ 5,1 % (n = 307) xác định rằng con em họ cần trợ giúp cho vấn đề cảm xúc và hành vi. Trong số phụ huynh xác định con cần trợ giúp, 37,7 % (n = 116) báo cáo con đã nhận được tất cả trợ giúp cần thiết. Như Bảng 14 thể hiện, một phần năm phụ huynh (20,4 %) báo cáo ưa thích tự giải quyết vấn đề một mình hoặc với hỗ trợ gia đình; một phần mười báo cáo không chắc con có cần trợ giúp hay không (10,7 %) và/hoặc không biết nơi tìm trợ giúp (10,0 %). Lưu ý: phụ huynh có thể chọn nhiều lựa chọn trừ khi chọn rằng không có lý do nào trong danh sách áp dụng.</w:t>
      </w:r>
    </w:p>
    <w:p>
      <w:pPr>
        <w:jc w:val="center"/>
      </w:pPr>
      <w:r>
        <w:rPr>
          <w:rFonts w:ascii="Times New Roman" w:hAnsi="Times New Roman"/>
          <w:i/>
          <w:color w:val="FF6600"/>
          <w:sz w:val="18"/>
        </w:rPr>
        <w:t>--- Trang 28, V-NAMHS, UNICEF/IOS 2022 ---</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Lý do</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Ưa thích tự giải quyết vấn đề một mình hoặc với hỗ trợ gia đình</w:t>
            </w:r>
          </w:p>
        </w:tc>
        <w:tc>
          <w:tcPr>
            <w:tcW w:type="dxa" w:w="2880"/>
          </w:tcPr>
          <w:p>
            <w:r/>
            <w:r>
              <w:rPr>
                <w:rFonts w:ascii="Times New Roman" w:hAnsi="Times New Roman"/>
                <w:sz w:val="20"/>
              </w:rPr>
              <w:t>20,4</w:t>
            </w:r>
          </w:p>
        </w:tc>
        <w:tc>
          <w:tcPr>
            <w:tcW w:type="dxa" w:w="2880"/>
          </w:tcPr>
          <w:p>
            <w:r/>
            <w:r>
              <w:rPr>
                <w:rFonts w:ascii="Times New Roman" w:hAnsi="Times New Roman"/>
                <w:sz w:val="20"/>
              </w:rPr>
              <w:t>63</w:t>
            </w:r>
          </w:p>
        </w:tc>
      </w:tr>
      <w:tr>
        <w:tc>
          <w:tcPr>
            <w:tcW w:type="dxa" w:w="2880"/>
          </w:tcPr>
          <w:p>
            <w:r/>
            <w:r>
              <w:rPr>
                <w:rFonts w:ascii="Times New Roman" w:hAnsi="Times New Roman"/>
                <w:sz w:val="20"/>
              </w:rPr>
              <w:t>Không chắc con có cần trợ giúp hay không</w:t>
            </w:r>
          </w:p>
        </w:tc>
        <w:tc>
          <w:tcPr>
            <w:tcW w:type="dxa" w:w="2880"/>
          </w:tcPr>
          <w:p>
            <w:r/>
            <w:r>
              <w:rPr>
                <w:rFonts w:ascii="Times New Roman" w:hAnsi="Times New Roman"/>
                <w:sz w:val="20"/>
              </w:rPr>
              <w:t>10,7</w:t>
            </w:r>
          </w:p>
        </w:tc>
        <w:tc>
          <w:tcPr>
            <w:tcW w:type="dxa" w:w="2880"/>
          </w:tcPr>
          <w:p>
            <w:r/>
            <w:r>
              <w:rPr>
                <w:rFonts w:ascii="Times New Roman" w:hAnsi="Times New Roman"/>
                <w:sz w:val="20"/>
              </w:rPr>
              <w:t>33</w:t>
            </w:r>
          </w:p>
        </w:tc>
      </w:tr>
      <w:tr>
        <w:tc>
          <w:tcPr>
            <w:tcW w:type="dxa" w:w="2880"/>
          </w:tcPr>
          <w:p>
            <w:r/>
            <w:r>
              <w:rPr>
                <w:rFonts w:ascii="Times New Roman" w:hAnsi="Times New Roman"/>
                <w:sz w:val="20"/>
              </w:rPr>
              <w:t>Không biết nơi tìm trợ giúp</w:t>
            </w:r>
          </w:p>
        </w:tc>
        <w:tc>
          <w:tcPr>
            <w:tcW w:type="dxa" w:w="2880"/>
          </w:tcPr>
          <w:p>
            <w:r/>
            <w:r>
              <w:rPr>
                <w:rFonts w:ascii="Times New Roman" w:hAnsi="Times New Roman"/>
                <w:sz w:val="20"/>
              </w:rPr>
              <w:t>10,0</w:t>
            </w:r>
          </w:p>
        </w:tc>
        <w:tc>
          <w:tcPr>
            <w:tcW w:type="dxa" w:w="2880"/>
          </w:tcPr>
          <w:p>
            <w:r/>
            <w:r>
              <w:rPr>
                <w:rFonts w:ascii="Times New Roman" w:hAnsi="Times New Roman"/>
                <w:sz w:val="20"/>
              </w:rPr>
              <w:t>30</w:t>
            </w:r>
          </w:p>
        </w:tc>
      </w:tr>
      <w:tr>
        <w:tc>
          <w:tcPr>
            <w:tcW w:type="dxa" w:w="2880"/>
          </w:tcPr>
          <w:p>
            <w:r/>
            <w:r>
              <w:rPr>
                <w:rFonts w:ascii="Times New Roman" w:hAnsi="Times New Roman"/>
                <w:sz w:val="20"/>
              </w:rPr>
              <w:t>Nghĩ vấn đề sẽ tự khỏi</w:t>
            </w:r>
          </w:p>
        </w:tc>
        <w:tc>
          <w:tcPr>
            <w:tcW w:type="dxa" w:w="2880"/>
          </w:tcPr>
          <w:p>
            <w:r/>
            <w:r>
              <w:rPr>
                <w:rFonts w:ascii="Times New Roman" w:hAnsi="Times New Roman"/>
                <w:sz w:val="20"/>
              </w:rPr>
              <w:t>5,8</w:t>
            </w:r>
          </w:p>
        </w:tc>
        <w:tc>
          <w:tcPr>
            <w:tcW w:type="dxa" w:w="2880"/>
          </w:tcPr>
          <w:p>
            <w:r/>
            <w:r>
              <w:rPr>
                <w:rFonts w:ascii="Times New Roman" w:hAnsi="Times New Roman"/>
                <w:sz w:val="20"/>
              </w:rPr>
              <w:t>18</w:t>
            </w:r>
          </w:p>
        </w:tc>
      </w:tr>
      <w:tr>
        <w:tc>
          <w:tcPr>
            <w:tcW w:type="dxa" w:w="2880"/>
          </w:tcPr>
          <w:p>
            <w:r/>
            <w:r>
              <w:rPr>
                <w:rFonts w:ascii="Times New Roman" w:hAnsi="Times New Roman"/>
                <w:sz w:val="20"/>
              </w:rPr>
              <w:t>Không có nơi nào để tìm trợ giúp</w:t>
            </w:r>
          </w:p>
        </w:tc>
        <w:tc>
          <w:tcPr>
            <w:tcW w:type="dxa" w:w="2880"/>
          </w:tcPr>
          <w:p>
            <w:r/>
            <w:r>
              <w:rPr>
                <w:rFonts w:ascii="Times New Roman" w:hAnsi="Times New Roman"/>
                <w:sz w:val="20"/>
              </w:rPr>
              <w:t>3,8</w:t>
            </w:r>
          </w:p>
        </w:tc>
        <w:tc>
          <w:tcPr>
            <w:tcW w:type="dxa" w:w="2880"/>
          </w:tcPr>
          <w:p>
            <w:r/>
            <w:r>
              <w:rPr>
                <w:rFonts w:ascii="Times New Roman" w:hAnsi="Times New Roman"/>
                <w:sz w:val="20"/>
              </w:rPr>
              <w:t>12</w:t>
            </w:r>
          </w:p>
        </w:tc>
      </w:tr>
      <w:tr>
        <w:tc>
          <w:tcPr>
            <w:tcW w:type="dxa" w:w="2880"/>
          </w:tcPr>
          <w:p>
            <w:r/>
            <w:r>
              <w:rPr>
                <w:rFonts w:ascii="Times New Roman" w:hAnsi="Times New Roman"/>
                <w:sz w:val="20"/>
              </w:rPr>
              <w:t>Chi phí quá cao hoặc gia đình không đủ khả năng</w:t>
            </w:r>
          </w:p>
        </w:tc>
        <w:tc>
          <w:tcPr>
            <w:tcW w:type="dxa" w:w="2880"/>
          </w:tcPr>
          <w:p>
            <w:r/>
            <w:r>
              <w:rPr>
                <w:rFonts w:ascii="Times New Roman" w:hAnsi="Times New Roman"/>
                <w:sz w:val="20"/>
              </w:rPr>
              <w:t>2,7</w:t>
            </w:r>
          </w:p>
        </w:tc>
        <w:tc>
          <w:tcPr>
            <w:tcW w:type="dxa" w:w="2880"/>
          </w:tcPr>
          <w:p>
            <w:r/>
            <w:r>
              <w:rPr>
                <w:rFonts w:ascii="Times New Roman" w:hAnsi="Times New Roman"/>
                <w:sz w:val="20"/>
              </w:rPr>
              <w:t>8</w:t>
            </w:r>
          </w:p>
        </w:tc>
      </w:tr>
      <w:tr>
        <w:tc>
          <w:tcPr>
            <w:tcW w:type="dxa" w:w="2880"/>
          </w:tcPr>
          <w:p>
            <w:r/>
            <w:r>
              <w:rPr>
                <w:rFonts w:ascii="Times New Roman" w:hAnsi="Times New Roman"/>
                <w:sz w:val="20"/>
              </w:rPr>
              <w:t>Không có lý do nào trong danh sách (khác) ᵃ</w:t>
            </w:r>
          </w:p>
        </w:tc>
        <w:tc>
          <w:tcPr>
            <w:tcW w:type="dxa" w:w="2880"/>
          </w:tcPr>
          <w:p>
            <w:r/>
            <w:r>
              <w:rPr>
                <w:rFonts w:ascii="Times New Roman" w:hAnsi="Times New Roman"/>
                <w:sz w:val="20"/>
              </w:rPr>
              <w:t>2,4</w:t>
            </w:r>
          </w:p>
        </w:tc>
        <w:tc>
          <w:tcPr>
            <w:tcW w:type="dxa" w:w="2880"/>
          </w:tcPr>
          <w:p>
            <w:r/>
            <w:r>
              <w:rPr>
                <w:rFonts w:ascii="Times New Roman" w:hAnsi="Times New Roman"/>
                <w:sz w:val="20"/>
              </w:rPr>
              <w:t>7</w:t>
            </w:r>
          </w:p>
        </w:tc>
      </w:tr>
      <w:tr>
        <w:tc>
          <w:tcPr>
            <w:tcW w:type="dxa" w:w="2880"/>
          </w:tcPr>
          <w:p>
            <w:r/>
            <w:r>
              <w:rPr>
                <w:rFonts w:ascii="Times New Roman" w:hAnsi="Times New Roman"/>
                <w:sz w:val="20"/>
              </w:rPr>
              <w:t>Khó khăn đi đến dịch vụ</w:t>
            </w:r>
          </w:p>
        </w:tc>
        <w:tc>
          <w:tcPr>
            <w:tcW w:type="dxa" w:w="2880"/>
          </w:tcPr>
          <w:p>
            <w:r/>
            <w:r>
              <w:rPr>
                <w:rFonts w:ascii="Times New Roman" w:hAnsi="Times New Roman"/>
                <w:sz w:val="20"/>
              </w:rPr>
              <w:t>2,0</w:t>
            </w:r>
          </w:p>
        </w:tc>
        <w:tc>
          <w:tcPr>
            <w:tcW w:type="dxa" w:w="2880"/>
          </w:tcPr>
          <w:p>
            <w:r/>
            <w:r>
              <w:rPr>
                <w:rFonts w:ascii="Times New Roman" w:hAnsi="Times New Roman"/>
                <w:sz w:val="20"/>
              </w:rPr>
              <w:t>6</w:t>
            </w:r>
          </w:p>
        </w:tc>
      </w:tr>
      <w:tr>
        <w:tc>
          <w:tcPr>
            <w:tcW w:type="dxa" w:w="2880"/>
          </w:tcPr>
          <w:p>
            <w:r/>
            <w:r>
              <w:rPr>
                <w:rFonts w:ascii="Times New Roman" w:hAnsi="Times New Roman"/>
                <w:sz w:val="20"/>
              </w:rPr>
              <w:t>Lo ngại người khác sẽ nghĩ gì</w:t>
            </w:r>
          </w:p>
        </w:tc>
        <w:tc>
          <w:tcPr>
            <w:tcW w:type="dxa" w:w="2880"/>
          </w:tcPr>
          <w:p>
            <w:r/>
            <w:r>
              <w:rPr>
                <w:rFonts w:ascii="Times New Roman" w:hAnsi="Times New Roman"/>
                <w:sz w:val="20"/>
              </w:rPr>
              <w:t>1,3</w:t>
            </w:r>
          </w:p>
        </w:tc>
        <w:tc>
          <w:tcPr>
            <w:tcW w:type="dxa" w:w="2880"/>
          </w:tcPr>
          <w:p>
            <w:r/>
            <w:r>
              <w:rPr>
                <w:rFonts w:ascii="Times New Roman" w:hAnsi="Times New Roman"/>
                <w:sz w:val="20"/>
              </w:rPr>
              <w:t>4</w:t>
            </w:r>
          </w:p>
        </w:tc>
      </w:tr>
      <w:tr>
        <w:tc>
          <w:tcPr>
            <w:tcW w:type="dxa" w:w="2880"/>
          </w:tcPr>
          <w:p>
            <w:r/>
            <w:r>
              <w:rPr>
                <w:rFonts w:ascii="Times New Roman" w:hAnsi="Times New Roman"/>
                <w:sz w:val="20"/>
              </w:rPr>
              <w:t>Không muốn nói chuyện với người lạ</w:t>
            </w:r>
          </w:p>
        </w:tc>
        <w:tc>
          <w:tcPr>
            <w:tcW w:type="dxa" w:w="2880"/>
          </w:tcPr>
          <w:p>
            <w:r/>
            <w:r>
              <w:rPr>
                <w:rFonts w:ascii="Times New Roman" w:hAnsi="Times New Roman"/>
                <w:sz w:val="20"/>
              </w:rPr>
              <w:t>1,3</w:t>
            </w:r>
          </w:p>
        </w:tc>
        <w:tc>
          <w:tcPr>
            <w:tcW w:type="dxa" w:w="2880"/>
          </w:tcPr>
          <w:p>
            <w:r/>
            <w:r>
              <w:rPr>
                <w:rFonts w:ascii="Times New Roman" w:hAnsi="Times New Roman"/>
                <w:sz w:val="20"/>
              </w:rPr>
              <w:t>4</w:t>
            </w:r>
          </w:p>
        </w:tc>
      </w:tr>
      <w:tr>
        <w:tc>
          <w:tcPr>
            <w:tcW w:type="dxa" w:w="2880"/>
          </w:tcPr>
          <w:p>
            <w:r/>
            <w:r>
              <w:rPr>
                <w:rFonts w:ascii="Times New Roman" w:hAnsi="Times New Roman"/>
                <w:sz w:val="20"/>
              </w:rPr>
              <w:t>VTN từ chối trợ giúp hoặc không đến lịch hẹn</w:t>
            </w:r>
          </w:p>
        </w:tc>
        <w:tc>
          <w:tcPr>
            <w:tcW w:type="dxa" w:w="2880"/>
          </w:tcPr>
          <w:p>
            <w:r/>
            <w:r>
              <w:rPr>
                <w:rFonts w:ascii="Times New Roman" w:hAnsi="Times New Roman"/>
                <w:sz w:val="20"/>
              </w:rPr>
              <w:t>0,7</w:t>
            </w:r>
          </w:p>
        </w:tc>
        <w:tc>
          <w:tcPr>
            <w:tcW w:type="dxa" w:w="2880"/>
          </w:tcPr>
          <w:p>
            <w:r/>
            <w:r>
              <w:rPr>
                <w:rFonts w:ascii="Times New Roman" w:hAnsi="Times New Roman"/>
                <w:sz w:val="20"/>
              </w:rPr>
              <w:t>2</w:t>
            </w:r>
          </w:p>
        </w:tc>
      </w:tr>
      <w:tr>
        <w:tc>
          <w:tcPr>
            <w:tcW w:type="dxa" w:w="2880"/>
          </w:tcPr>
          <w:p>
            <w:r/>
            <w:r>
              <w:rPr>
                <w:rFonts w:ascii="Times New Roman" w:hAnsi="Times New Roman"/>
                <w:sz w:val="20"/>
              </w:rPr>
              <w:t>Đã yêu cầu trợ giúp nhưng không nhận được</w:t>
            </w:r>
          </w:p>
        </w:tc>
        <w:tc>
          <w:tcPr>
            <w:tcW w:type="dxa" w:w="2880"/>
          </w:tcPr>
          <w:p>
            <w:r/>
            <w:r>
              <w:rPr>
                <w:rFonts w:ascii="Times New Roman" w:hAnsi="Times New Roman"/>
                <w:sz w:val="20"/>
              </w:rPr>
              <w:t>0,6</w:t>
            </w:r>
          </w:p>
        </w:tc>
        <w:tc>
          <w:tcPr>
            <w:tcW w:type="dxa" w:w="2880"/>
          </w:tcPr>
          <w:p>
            <w:r/>
            <w:r>
              <w:rPr>
                <w:rFonts w:ascii="Times New Roman" w:hAnsi="Times New Roman"/>
                <w:sz w:val="20"/>
              </w:rPr>
              <w:t>2</w:t>
            </w:r>
          </w:p>
        </w:tc>
      </w:tr>
    </w:tbl>
    <w:p>
      <w:r>
        <w:rPr>
          <w:rFonts w:ascii="Times New Roman" w:hAnsi="Times New Roman"/>
          <w:i/>
          <w:color w:val="666666"/>
          <w:sz w:val="18"/>
        </w:rPr>
        <w:t>Bảng 14. Rào cản tìm kiếm hoặc nhận trợ giúp cho vấn đề cảm xúc và hành vi trong 12 tháng qua ở phụ huynh VTN 10–17 tuổi. Gia trọng N = 307; ᵃ chỉ tuỳ chọn duy nhất. Nguồn: Bảng 14 báo cáo gốc, trang 28.</w:t>
      </w:r>
    </w:p>
    <w:p>
      <w:r>
        <w:rPr>
          <w:rFonts w:ascii="Times New Roman" w:hAnsi="Times New Roman"/>
          <w:b/>
          <w:i/>
          <w:sz w:val="22"/>
        </w:rPr>
        <w:t>Hỗ trợ phi chính thức (Informal support)</w:t>
      </w:r>
    </w:p>
    <w:p>
      <w:r>
        <w:rPr>
          <w:rFonts w:ascii="Times New Roman" w:hAnsi="Times New Roman"/>
        </w:rPr>
        <w:t>Tất cả VTN được hỏi thường nói chuyện với ai khi có lo lắng hoặc quan tâm. Các em có thể chọn nhiều lựa chọn trừ khi chọn không nói chuyện với ai (9,5 %). Trong số các em có nói chuyện với ai đó, gần ba phần tư (73,9 %) VTN nói chuyện với thành viên gia đình, tiếp theo là gần hai phần năm báo cáo nói chuyện với bạn bè (38,2 %) (Bảng 15).</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Người VTN thường nói chuyện khi có lo lắng</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Thành viên gia đình</w:t>
            </w:r>
          </w:p>
        </w:tc>
        <w:tc>
          <w:tcPr>
            <w:tcW w:type="dxa" w:w="2880"/>
          </w:tcPr>
          <w:p>
            <w:r/>
            <w:r>
              <w:rPr>
                <w:rFonts w:ascii="Times New Roman" w:hAnsi="Times New Roman"/>
                <w:sz w:val="20"/>
              </w:rPr>
              <w:t>73,9</w:t>
            </w:r>
          </w:p>
        </w:tc>
        <w:tc>
          <w:tcPr>
            <w:tcW w:type="dxa" w:w="2880"/>
          </w:tcPr>
          <w:p>
            <w:r/>
            <w:r>
              <w:rPr>
                <w:rFonts w:ascii="Times New Roman" w:hAnsi="Times New Roman"/>
                <w:sz w:val="20"/>
              </w:rPr>
              <w:t>4.429</w:t>
            </w:r>
          </w:p>
        </w:tc>
      </w:tr>
      <w:tr>
        <w:tc>
          <w:tcPr>
            <w:tcW w:type="dxa" w:w="2880"/>
          </w:tcPr>
          <w:p>
            <w:r/>
            <w:r>
              <w:rPr>
                <w:rFonts w:ascii="Times New Roman" w:hAnsi="Times New Roman"/>
                <w:sz w:val="20"/>
              </w:rPr>
              <w:t>Bạn bè</w:t>
            </w:r>
          </w:p>
        </w:tc>
        <w:tc>
          <w:tcPr>
            <w:tcW w:type="dxa" w:w="2880"/>
          </w:tcPr>
          <w:p>
            <w:r/>
            <w:r>
              <w:rPr>
                <w:rFonts w:ascii="Times New Roman" w:hAnsi="Times New Roman"/>
                <w:sz w:val="20"/>
              </w:rPr>
              <w:t>38,2</w:t>
            </w:r>
          </w:p>
        </w:tc>
        <w:tc>
          <w:tcPr>
            <w:tcW w:type="dxa" w:w="2880"/>
          </w:tcPr>
          <w:p>
            <w:r/>
            <w:r>
              <w:rPr>
                <w:rFonts w:ascii="Times New Roman" w:hAnsi="Times New Roman"/>
                <w:sz w:val="20"/>
              </w:rPr>
              <w:t>2.288</w:t>
            </w:r>
          </w:p>
        </w:tc>
      </w:tr>
      <w:tr>
        <w:tc>
          <w:tcPr>
            <w:tcW w:type="dxa" w:w="2880"/>
          </w:tcPr>
          <w:p>
            <w:r/>
            <w:r>
              <w:rPr>
                <w:rFonts w:ascii="Times New Roman" w:hAnsi="Times New Roman"/>
                <w:sz w:val="20"/>
              </w:rPr>
              <w:t>Giáo viên</w:t>
            </w:r>
          </w:p>
        </w:tc>
        <w:tc>
          <w:tcPr>
            <w:tcW w:type="dxa" w:w="2880"/>
          </w:tcPr>
          <w:p>
            <w:r/>
            <w:r>
              <w:rPr>
                <w:rFonts w:ascii="Times New Roman" w:hAnsi="Times New Roman"/>
                <w:sz w:val="20"/>
              </w:rPr>
              <w:t>2,9</w:t>
            </w:r>
          </w:p>
        </w:tc>
        <w:tc>
          <w:tcPr>
            <w:tcW w:type="dxa" w:w="2880"/>
          </w:tcPr>
          <w:p>
            <w:r/>
            <w:r>
              <w:rPr>
                <w:rFonts w:ascii="Times New Roman" w:hAnsi="Times New Roman"/>
                <w:sz w:val="20"/>
              </w:rPr>
              <w:t>176</w:t>
            </w:r>
          </w:p>
        </w:tc>
      </w:tr>
      <w:tr>
        <w:tc>
          <w:tcPr>
            <w:tcW w:type="dxa" w:w="2880"/>
          </w:tcPr>
          <w:p>
            <w:r/>
            <w:r>
              <w:rPr>
                <w:rFonts w:ascii="Times New Roman" w:hAnsi="Times New Roman"/>
                <w:sz w:val="20"/>
              </w:rPr>
              <w:t>Bạn trai/bạn gái</w:t>
            </w:r>
          </w:p>
        </w:tc>
        <w:tc>
          <w:tcPr>
            <w:tcW w:type="dxa" w:w="2880"/>
          </w:tcPr>
          <w:p>
            <w:r/>
            <w:r>
              <w:rPr>
                <w:rFonts w:ascii="Times New Roman" w:hAnsi="Times New Roman"/>
                <w:sz w:val="20"/>
              </w:rPr>
              <w:t>2,3</w:t>
            </w:r>
          </w:p>
        </w:tc>
        <w:tc>
          <w:tcPr>
            <w:tcW w:type="dxa" w:w="2880"/>
          </w:tcPr>
          <w:p>
            <w:r/>
            <w:r>
              <w:rPr>
                <w:rFonts w:ascii="Times New Roman" w:hAnsi="Times New Roman"/>
                <w:sz w:val="20"/>
              </w:rPr>
              <w:t>137</w:t>
            </w:r>
          </w:p>
        </w:tc>
      </w:tr>
      <w:tr>
        <w:tc>
          <w:tcPr>
            <w:tcW w:type="dxa" w:w="2880"/>
          </w:tcPr>
          <w:p>
            <w:r/>
            <w:r>
              <w:rPr>
                <w:rFonts w:ascii="Times New Roman" w:hAnsi="Times New Roman"/>
                <w:sz w:val="20"/>
              </w:rPr>
              <w:t>Thành viên cộng đồng</w:t>
            </w:r>
          </w:p>
        </w:tc>
        <w:tc>
          <w:tcPr>
            <w:tcW w:type="dxa" w:w="2880"/>
          </w:tcPr>
          <w:p>
            <w:r/>
            <w:r>
              <w:rPr>
                <w:rFonts w:ascii="Times New Roman" w:hAnsi="Times New Roman"/>
                <w:sz w:val="20"/>
              </w:rPr>
              <w:t>1,6</w:t>
            </w:r>
          </w:p>
        </w:tc>
        <w:tc>
          <w:tcPr>
            <w:tcW w:type="dxa" w:w="2880"/>
          </w:tcPr>
          <w:p>
            <w:r/>
            <w:r>
              <w:rPr>
                <w:rFonts w:ascii="Times New Roman" w:hAnsi="Times New Roman"/>
                <w:sz w:val="20"/>
              </w:rPr>
              <w:t>94</w:t>
            </w:r>
          </w:p>
        </w:tc>
      </w:tr>
      <w:tr>
        <w:tc>
          <w:tcPr>
            <w:tcW w:type="dxa" w:w="2880"/>
          </w:tcPr>
          <w:p>
            <w:r/>
            <w:r>
              <w:rPr>
                <w:rFonts w:ascii="Times New Roman" w:hAnsi="Times New Roman"/>
                <w:sz w:val="20"/>
              </w:rPr>
              <w:t>Khác</w:t>
            </w:r>
          </w:p>
        </w:tc>
        <w:tc>
          <w:tcPr>
            <w:tcW w:type="dxa" w:w="2880"/>
          </w:tcPr>
          <w:p>
            <w:r/>
            <w:r>
              <w:rPr>
                <w:rFonts w:ascii="Times New Roman" w:hAnsi="Times New Roman"/>
                <w:sz w:val="20"/>
              </w:rPr>
              <w:t>1,0</w:t>
            </w:r>
          </w:p>
        </w:tc>
        <w:tc>
          <w:tcPr>
            <w:tcW w:type="dxa" w:w="2880"/>
          </w:tcPr>
          <w:p>
            <w:r/>
            <w:r>
              <w:rPr>
                <w:rFonts w:ascii="Times New Roman" w:hAnsi="Times New Roman"/>
                <w:sz w:val="20"/>
              </w:rPr>
              <w:t>60</w:t>
            </w:r>
          </w:p>
        </w:tc>
      </w:tr>
      <w:tr>
        <w:tc>
          <w:tcPr>
            <w:tcW w:type="dxa" w:w="2880"/>
          </w:tcPr>
          <w:p>
            <w:r/>
            <w:r>
              <w:rPr>
                <w:rFonts w:ascii="Times New Roman" w:hAnsi="Times New Roman"/>
                <w:sz w:val="20"/>
              </w:rPr>
              <w:t>Bác sĩ</w:t>
            </w:r>
          </w:p>
        </w:tc>
        <w:tc>
          <w:tcPr>
            <w:tcW w:type="dxa" w:w="2880"/>
          </w:tcPr>
          <w:p>
            <w:r/>
            <w:r>
              <w:rPr>
                <w:rFonts w:ascii="Times New Roman" w:hAnsi="Times New Roman"/>
                <w:sz w:val="20"/>
              </w:rPr>
              <w:t>0,5</w:t>
            </w:r>
          </w:p>
        </w:tc>
        <w:tc>
          <w:tcPr>
            <w:tcW w:type="dxa" w:w="2880"/>
          </w:tcPr>
          <w:p>
            <w:r/>
            <w:r>
              <w:rPr>
                <w:rFonts w:ascii="Times New Roman" w:hAnsi="Times New Roman"/>
                <w:sz w:val="20"/>
              </w:rPr>
              <w:t>31</w:t>
            </w:r>
          </w:p>
        </w:tc>
      </w:tr>
      <w:tr>
        <w:tc>
          <w:tcPr>
            <w:tcW w:type="dxa" w:w="2880"/>
          </w:tcPr>
          <w:p>
            <w:r/>
            <w:r>
              <w:rPr>
                <w:rFonts w:ascii="Times New Roman" w:hAnsi="Times New Roman"/>
                <w:sz w:val="20"/>
              </w:rPr>
              <w:t>Lãnh đạo tôn giáo/tín ngưỡng</w:t>
            </w:r>
          </w:p>
        </w:tc>
        <w:tc>
          <w:tcPr>
            <w:tcW w:type="dxa" w:w="2880"/>
          </w:tcPr>
          <w:p>
            <w:r/>
            <w:r>
              <w:rPr>
                <w:rFonts w:ascii="Times New Roman" w:hAnsi="Times New Roman"/>
                <w:sz w:val="20"/>
              </w:rPr>
              <w:t>0,4</w:t>
            </w:r>
          </w:p>
        </w:tc>
        <w:tc>
          <w:tcPr>
            <w:tcW w:type="dxa" w:w="2880"/>
          </w:tcPr>
          <w:p>
            <w:r/>
            <w:r>
              <w:rPr>
                <w:rFonts w:ascii="Times New Roman" w:hAnsi="Times New Roman"/>
                <w:sz w:val="20"/>
              </w:rPr>
              <w:t>22</w:t>
            </w:r>
          </w:p>
        </w:tc>
      </w:tr>
    </w:tbl>
    <w:p>
      <w:r>
        <w:rPr>
          <w:rFonts w:ascii="Times New Roman" w:hAnsi="Times New Roman"/>
          <w:i/>
          <w:color w:val="666666"/>
          <w:sz w:val="18"/>
        </w:rPr>
        <w:t>Bảng 15. Người VTN 10–17 tuổi thường nói chuyện khi có lo lắng hoặc quan tâm. Nguồn: Bảng 15 báo cáo gốc, trang 28.</w:t>
      </w:r>
    </w:p>
    <w:p>
      <w:r>
        <w:rPr>
          <w:rFonts w:ascii="Times New Roman" w:hAnsi="Times New Roman"/>
          <w:b/>
          <w:i/>
          <w:sz w:val="22"/>
        </w:rPr>
        <w:t>Chiến lược tự giúp (Self-help strategies)</w:t>
      </w:r>
    </w:p>
    <w:p>
      <w:r>
        <w:rPr>
          <w:rFonts w:ascii="Times New Roman" w:hAnsi="Times New Roman"/>
        </w:rPr>
        <w:t>Tất cả VTN được hỏi về chiến lược quản lý và phòng ngừa vấn đề cảm xúc và hành vi trong 12 tháng qua. VTN có thể chọn nhiều lựa chọn trừ khi báo cáo không sử dụng chiến lược tự giúp nào (11,7 %). Bảng 16 cho thấy 30,7 % ghi nhận tập thể dục nhiều hơn, trong khi một phần tư (24,8 %) nói họ làm nhiều hơn những điều họ thích.</w:t>
      </w:r>
    </w:p>
    <w:p>
      <w:pPr>
        <w:jc w:val="center"/>
      </w:pPr>
      <w:r>
        <w:rPr>
          <w:rFonts w:ascii="Times New Roman" w:hAnsi="Times New Roman"/>
          <w:i/>
          <w:color w:val="FF6600"/>
          <w:sz w:val="18"/>
        </w:rPr>
        <w:t>--- Trang 29, V-NAMHS, UNICEF/IOS 2022 ---</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Chiến lược tự giúp</w:t>
            </w:r>
          </w:p>
        </w:tc>
        <w:tc>
          <w:tcPr>
            <w:tcW w:type="dxa" w:w="2880"/>
            <w:shd w:fill="D9E1F2"/>
          </w:tcPr>
          <w:p>
            <w:r/>
            <w:r>
              <w:rPr>
                <w:rFonts w:ascii="Times New Roman" w:hAnsi="Times New Roman"/>
                <w:b/>
                <w:sz w:val="20"/>
              </w:rPr>
              <w:t>%</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Tập thể dục nhiều hơn hoặc chơi thể thao</w:t>
            </w:r>
          </w:p>
        </w:tc>
        <w:tc>
          <w:tcPr>
            <w:tcW w:type="dxa" w:w="2880"/>
          </w:tcPr>
          <w:p>
            <w:r/>
            <w:r>
              <w:rPr>
                <w:rFonts w:ascii="Times New Roman" w:hAnsi="Times New Roman"/>
                <w:sz w:val="20"/>
              </w:rPr>
              <w:t>30,7</w:t>
            </w:r>
          </w:p>
        </w:tc>
        <w:tc>
          <w:tcPr>
            <w:tcW w:type="dxa" w:w="2880"/>
          </w:tcPr>
          <w:p>
            <w:r/>
            <w:r>
              <w:rPr>
                <w:rFonts w:ascii="Times New Roman" w:hAnsi="Times New Roman"/>
                <w:sz w:val="20"/>
              </w:rPr>
              <w:t>1.839</w:t>
            </w:r>
          </w:p>
        </w:tc>
      </w:tr>
      <w:tr>
        <w:tc>
          <w:tcPr>
            <w:tcW w:type="dxa" w:w="2880"/>
          </w:tcPr>
          <w:p>
            <w:r/>
            <w:r>
              <w:rPr>
                <w:rFonts w:ascii="Times New Roman" w:hAnsi="Times New Roman"/>
                <w:sz w:val="20"/>
              </w:rPr>
              <w:t>Làm nhiều hơn những điều mình thích</w:t>
            </w:r>
          </w:p>
        </w:tc>
        <w:tc>
          <w:tcPr>
            <w:tcW w:type="dxa" w:w="2880"/>
          </w:tcPr>
          <w:p>
            <w:r/>
            <w:r>
              <w:rPr>
                <w:rFonts w:ascii="Times New Roman" w:hAnsi="Times New Roman"/>
                <w:sz w:val="20"/>
              </w:rPr>
              <w:t>24,8</w:t>
            </w:r>
          </w:p>
        </w:tc>
        <w:tc>
          <w:tcPr>
            <w:tcW w:type="dxa" w:w="2880"/>
          </w:tcPr>
          <w:p>
            <w:r/>
            <w:r>
              <w:rPr>
                <w:rFonts w:ascii="Times New Roman" w:hAnsi="Times New Roman"/>
                <w:sz w:val="20"/>
              </w:rPr>
              <w:t>1.490</w:t>
            </w:r>
          </w:p>
        </w:tc>
      </w:tr>
      <w:tr>
        <w:tc>
          <w:tcPr>
            <w:tcW w:type="dxa" w:w="2880"/>
          </w:tcPr>
          <w:p>
            <w:r/>
            <w:r>
              <w:rPr>
                <w:rFonts w:ascii="Times New Roman" w:hAnsi="Times New Roman"/>
                <w:sz w:val="20"/>
              </w:rPr>
              <w:t>Tìm hỗ trợ từ gia đình</w:t>
            </w:r>
          </w:p>
        </w:tc>
        <w:tc>
          <w:tcPr>
            <w:tcW w:type="dxa" w:w="2880"/>
          </w:tcPr>
          <w:p>
            <w:r/>
            <w:r>
              <w:rPr>
                <w:rFonts w:ascii="Times New Roman" w:hAnsi="Times New Roman"/>
                <w:sz w:val="20"/>
              </w:rPr>
              <w:t>19,2</w:t>
            </w:r>
          </w:p>
        </w:tc>
        <w:tc>
          <w:tcPr>
            <w:tcW w:type="dxa" w:w="2880"/>
          </w:tcPr>
          <w:p>
            <w:r/>
            <w:r>
              <w:rPr>
                <w:rFonts w:ascii="Times New Roman" w:hAnsi="Times New Roman"/>
                <w:sz w:val="20"/>
              </w:rPr>
              <w:t>1.149</w:t>
            </w:r>
          </w:p>
        </w:tc>
      </w:tr>
      <w:tr>
        <w:tc>
          <w:tcPr>
            <w:tcW w:type="dxa" w:w="2880"/>
          </w:tcPr>
          <w:p>
            <w:r/>
            <w:r>
              <w:rPr>
                <w:rFonts w:ascii="Times New Roman" w:hAnsi="Times New Roman"/>
                <w:sz w:val="20"/>
              </w:rPr>
              <w:t>Tìm hỗ trợ từ bạn bè</w:t>
            </w:r>
          </w:p>
        </w:tc>
        <w:tc>
          <w:tcPr>
            <w:tcW w:type="dxa" w:w="2880"/>
          </w:tcPr>
          <w:p>
            <w:r/>
            <w:r>
              <w:rPr>
                <w:rFonts w:ascii="Times New Roman" w:hAnsi="Times New Roman"/>
                <w:sz w:val="20"/>
              </w:rPr>
              <w:t>17,7</w:t>
            </w:r>
          </w:p>
        </w:tc>
        <w:tc>
          <w:tcPr>
            <w:tcW w:type="dxa" w:w="2880"/>
          </w:tcPr>
          <w:p>
            <w:r/>
            <w:r>
              <w:rPr>
                <w:rFonts w:ascii="Times New Roman" w:hAnsi="Times New Roman"/>
                <w:sz w:val="20"/>
              </w:rPr>
              <w:t>1.060</w:t>
            </w:r>
          </w:p>
        </w:tc>
      </w:tr>
      <w:tr>
        <w:tc>
          <w:tcPr>
            <w:tcW w:type="dxa" w:w="2880"/>
          </w:tcPr>
          <w:p>
            <w:r/>
            <w:r>
              <w:rPr>
                <w:rFonts w:ascii="Times New Roman" w:hAnsi="Times New Roman"/>
                <w:sz w:val="20"/>
              </w:rPr>
              <w:t>Cải thiện chế độ ăn uống</w:t>
            </w:r>
          </w:p>
        </w:tc>
        <w:tc>
          <w:tcPr>
            <w:tcW w:type="dxa" w:w="2880"/>
          </w:tcPr>
          <w:p>
            <w:r/>
            <w:r>
              <w:rPr>
                <w:rFonts w:ascii="Times New Roman" w:hAnsi="Times New Roman"/>
                <w:sz w:val="20"/>
              </w:rPr>
              <w:t>14,7</w:t>
            </w:r>
          </w:p>
        </w:tc>
        <w:tc>
          <w:tcPr>
            <w:tcW w:type="dxa" w:w="2880"/>
          </w:tcPr>
          <w:p>
            <w:r/>
            <w:r>
              <w:rPr>
                <w:rFonts w:ascii="Times New Roman" w:hAnsi="Times New Roman"/>
                <w:sz w:val="20"/>
              </w:rPr>
              <w:t>884</w:t>
            </w:r>
          </w:p>
        </w:tc>
      </w:tr>
      <w:tr>
        <w:tc>
          <w:tcPr>
            <w:tcW w:type="dxa" w:w="2880"/>
          </w:tcPr>
          <w:p>
            <w:r/>
            <w:r>
              <w:rPr>
                <w:rFonts w:ascii="Times New Roman" w:hAnsi="Times New Roman"/>
                <w:sz w:val="20"/>
              </w:rPr>
              <w:t>Tìm thông tin trong sách báo hoặc trên TV</w:t>
            </w:r>
          </w:p>
        </w:tc>
        <w:tc>
          <w:tcPr>
            <w:tcW w:type="dxa" w:w="2880"/>
          </w:tcPr>
          <w:p>
            <w:r/>
            <w:r>
              <w:rPr>
                <w:rFonts w:ascii="Times New Roman" w:hAnsi="Times New Roman"/>
                <w:sz w:val="20"/>
              </w:rPr>
              <w:t>9,0</w:t>
            </w:r>
          </w:p>
        </w:tc>
        <w:tc>
          <w:tcPr>
            <w:tcW w:type="dxa" w:w="2880"/>
          </w:tcPr>
          <w:p>
            <w:r/>
            <w:r>
              <w:rPr>
                <w:rFonts w:ascii="Times New Roman" w:hAnsi="Times New Roman"/>
                <w:sz w:val="20"/>
              </w:rPr>
              <w:t>538</w:t>
            </w:r>
          </w:p>
        </w:tc>
      </w:tr>
      <w:tr>
        <w:tc>
          <w:tcPr>
            <w:tcW w:type="dxa" w:w="2880"/>
          </w:tcPr>
          <w:p>
            <w:r/>
            <w:r>
              <w:rPr>
                <w:rFonts w:ascii="Times New Roman" w:hAnsi="Times New Roman"/>
                <w:sz w:val="20"/>
              </w:rPr>
              <w:t>Tìm hỗ trợ qua mạng xã hội (chat room, social media, nhóm Internet...)</w:t>
            </w:r>
          </w:p>
        </w:tc>
        <w:tc>
          <w:tcPr>
            <w:tcW w:type="dxa" w:w="2880"/>
          </w:tcPr>
          <w:p>
            <w:r/>
            <w:r>
              <w:rPr>
                <w:rFonts w:ascii="Times New Roman" w:hAnsi="Times New Roman"/>
                <w:sz w:val="20"/>
              </w:rPr>
              <w:t>6,9</w:t>
            </w:r>
          </w:p>
        </w:tc>
        <w:tc>
          <w:tcPr>
            <w:tcW w:type="dxa" w:w="2880"/>
          </w:tcPr>
          <w:p>
            <w:r/>
            <w:r>
              <w:rPr>
                <w:rFonts w:ascii="Times New Roman" w:hAnsi="Times New Roman"/>
                <w:sz w:val="20"/>
              </w:rPr>
              <w:t>416</w:t>
            </w:r>
          </w:p>
        </w:tc>
      </w:tr>
      <w:tr>
        <w:tc>
          <w:tcPr>
            <w:tcW w:type="dxa" w:w="2880"/>
          </w:tcPr>
          <w:p>
            <w:r/>
            <w:r>
              <w:rPr>
                <w:rFonts w:ascii="Times New Roman" w:hAnsi="Times New Roman"/>
                <w:sz w:val="20"/>
              </w:rPr>
              <w:t>Tham gia một nhóm xã hội nào đó</w:t>
            </w:r>
          </w:p>
        </w:tc>
        <w:tc>
          <w:tcPr>
            <w:tcW w:type="dxa" w:w="2880"/>
          </w:tcPr>
          <w:p>
            <w:r/>
            <w:r>
              <w:rPr>
                <w:rFonts w:ascii="Times New Roman" w:hAnsi="Times New Roman"/>
                <w:sz w:val="20"/>
              </w:rPr>
              <w:t>1,7</w:t>
            </w:r>
          </w:p>
        </w:tc>
        <w:tc>
          <w:tcPr>
            <w:tcW w:type="dxa" w:w="2880"/>
          </w:tcPr>
          <w:p>
            <w:r/>
            <w:r>
              <w:rPr>
                <w:rFonts w:ascii="Times New Roman" w:hAnsi="Times New Roman"/>
                <w:sz w:val="20"/>
              </w:rPr>
              <w:t>104</w:t>
            </w:r>
          </w:p>
        </w:tc>
      </w:tr>
      <w:tr>
        <w:tc>
          <w:tcPr>
            <w:tcW w:type="dxa" w:w="2880"/>
          </w:tcPr>
          <w:p>
            <w:r/>
            <w:r>
              <w:rPr>
                <w:rFonts w:ascii="Times New Roman" w:hAnsi="Times New Roman"/>
                <w:sz w:val="20"/>
              </w:rPr>
              <w:t>Thiền hoặc tập thư giãn</w:t>
            </w:r>
          </w:p>
        </w:tc>
        <w:tc>
          <w:tcPr>
            <w:tcW w:type="dxa" w:w="2880"/>
          </w:tcPr>
          <w:p>
            <w:r/>
            <w:r>
              <w:rPr>
                <w:rFonts w:ascii="Times New Roman" w:hAnsi="Times New Roman"/>
                <w:sz w:val="20"/>
              </w:rPr>
              <w:t>1,6</w:t>
            </w:r>
          </w:p>
        </w:tc>
        <w:tc>
          <w:tcPr>
            <w:tcW w:type="dxa" w:w="2880"/>
          </w:tcPr>
          <w:p>
            <w:r/>
            <w:r>
              <w:rPr>
                <w:rFonts w:ascii="Times New Roman" w:hAnsi="Times New Roman"/>
                <w:sz w:val="20"/>
              </w:rPr>
              <w:t>97</w:t>
            </w:r>
          </w:p>
        </w:tc>
      </w:tr>
      <w:tr>
        <w:tc>
          <w:tcPr>
            <w:tcW w:type="dxa" w:w="2880"/>
          </w:tcPr>
          <w:p>
            <w:r/>
            <w:r>
              <w:rPr>
                <w:rFonts w:ascii="Times New Roman" w:hAnsi="Times New Roman"/>
                <w:sz w:val="20"/>
              </w:rPr>
              <w:t>Ngừng hút thuốc, uống rượu hoặc dùng ma tuý</w:t>
            </w:r>
          </w:p>
        </w:tc>
        <w:tc>
          <w:tcPr>
            <w:tcW w:type="dxa" w:w="2880"/>
          </w:tcPr>
          <w:p>
            <w:r/>
            <w:r>
              <w:rPr>
                <w:rFonts w:ascii="Times New Roman" w:hAnsi="Times New Roman"/>
                <w:sz w:val="20"/>
              </w:rPr>
              <w:t>0,2</w:t>
            </w:r>
          </w:p>
        </w:tc>
        <w:tc>
          <w:tcPr>
            <w:tcW w:type="dxa" w:w="2880"/>
          </w:tcPr>
          <w:p>
            <w:r/>
            <w:r>
              <w:rPr>
                <w:rFonts w:ascii="Times New Roman" w:hAnsi="Times New Roman"/>
                <w:sz w:val="20"/>
              </w:rPr>
              <w:t>14</w:t>
            </w:r>
          </w:p>
        </w:tc>
      </w:tr>
    </w:tbl>
    <w:p>
      <w:r>
        <w:rPr>
          <w:rFonts w:ascii="Times New Roman" w:hAnsi="Times New Roman"/>
          <w:i/>
          <w:color w:val="666666"/>
          <w:sz w:val="18"/>
        </w:rPr>
        <w:t>Bảng 16. Chiến lược tự giúp để quản lý hoặc phòng ngừa vấn đề cảm xúc và hành vi ở VTN 10–17 tuổi. Nguồn: Bảng 16 báo cáo gốc, trang 29.</w:t>
      </w:r>
    </w:p>
    <w:p>
      <w:r>
        <w:rPr>
          <w:rFonts w:ascii="Times New Roman" w:hAnsi="Times New Roman"/>
          <w:b/>
          <w:color w:val="2E548B"/>
          <w:sz w:val="24"/>
        </w:rPr>
        <w:t>Suy xét (Considerations)</w:t>
      </w:r>
    </w:p>
    <w:p>
      <w:r>
        <w:rPr>
          <w:rFonts w:ascii="Times New Roman" w:hAnsi="Times New Roman"/>
          <w:b/>
          <w:i/>
          <w:sz w:val="22"/>
        </w:rPr>
        <w:t>Diễn giải (Interpretation)</w:t>
      </w:r>
    </w:p>
    <w:p>
      <w:r>
        <w:rPr>
          <w:rFonts w:ascii="Times New Roman" w:hAnsi="Times New Roman"/>
        </w:rPr>
        <w:t>Các phát hiện cho thấy nhu cầu không được đáp ứng có thể rất lớn đối với dịch vụ SKTT cho VTN tại VN. Trong nhóm VTN có vấn đề SKTT (21,7 %; n = 1.301), chỉ 8,4 % (n = 109) đã sử dụng bất kỳ dịch vụ hỗ trợ/tư vấn nào cho vấn đề cảm xúc và hành vi trong 12 tháng qua. Phát hiện này phù hợp với các khảo sát quốc tế chỉ ra rằng đa số người ở các nước thu nhập thấp và trung bình (LMICs) có rối loạn tâm thần không nhận được điều trị (Demyttenaere et al. 2004).</w:t>
      </w:r>
    </w:p>
    <w:p>
      <w:r>
        <w:rPr>
          <w:rFonts w:ascii="Times New Roman" w:hAnsi="Times New Roman"/>
        </w:rPr>
        <w:t>Các phát hiện về rào cản chăm sóc có thể cung cấp một số manh mối lý giải vì sao tiếp cận dịch vụ thấp ở nhóm có vấn đề SKTT. Chỉ 5,1 % (n = 307) phụ huynh xác định con cần trợ giúp cho vấn đề cảm xúc và hành vi trong 12 tháng qua. Trong số đó, gần hai phần năm (37,7 %) báo cáo con đã nhận được tất cả trợ giúp cần thiết, và 20,4 % khác ưa thích tự giải quyết vấn đề với hỗ trợ gia đình. Dù một số VTN có thể đã nhận trợ giúp đủ, các phát hiện này cho thấy vấn đề về mental health literacy, đặc biệt trong nhận diện vấn đề SKTT cần trợ giúp chuyên nghiệp. Điều này được hỗ trợ bởi các nghiên cứu trước tại VN (Hoang-Minh Dang et al. 2020). Cũng có thể có ảnh hưởng của kỳ thị SKTT làm giảm khả năng tìm kiếm trợ giúp. Nghiên cứu trước đã tìm thấy kỳ thị SKTT ảnh hưởng hành vi tìm kiếm trợ giúp trong quần thể VN (Kamimura et al. 2018, Mai Do et al. 2014).</w:t>
      </w:r>
    </w:p>
    <w:p>
      <w:r>
        <w:rPr>
          <w:rFonts w:ascii="Times New Roman" w:hAnsi="Times New Roman"/>
        </w:rPr>
        <w:t>Ngược lại, chỉ 28,1 % trong nhóm đã tiếp cận dịch vụ có vấn đề SKTT. Nghĩa là 71,9 % tiếp cận dịch vụ cho vấn đề cảm xúc và hành vi không ghi nhận đủ triệu chứng để chỉ ra vấn đề SKTT theo DISC-5. Phát hiện này khó diễn giải do tỷ lệ tiếp cận dịch vụ nhìn chung đã thấp (6,5 %; n = 389). Có thể một phần VTN đã nhận trợ giúp đủ từ dịch vụ để giảm triệu chứng đến mức không còn đáp ứng ngưỡng vấn đề SKTT. Tuy nhiên, do DISC-5 đo triệu chứng trong 12 tháng qua và một nửa VTN chỉ tiếp cận dịch vụ một lần, điều này dường như không xảy ra trong mọi trường hợp. Cũng có thể một số em có vấn đề SKTT nhưng không được nhận diện dựa trên triệu chứng đánh giá bởi DISC-5, hoặc khái niệm "vấn đề cảm xúc và hành vi" không tương quan tốt với vấn đề SKTT như dự định. Thêm nữa, dù mọi nỗ lực đã được thực hiện để thích ứng DISC-5 với bối cảnh VN, vẫn có thể thuật toán chấm điểm DSM-5 cần rà soát thêm để bắt chính xác các phân bố triệu chứng trong quần thể VN. Dữ liệu V-NAMHS cho phép nghiên cứu này trong tương lai.</w:t>
      </w:r>
    </w:p>
    <w:p>
      <w:pPr>
        <w:jc w:val="center"/>
      </w:pPr>
      <w:r>
        <w:rPr>
          <w:rFonts w:ascii="Times New Roman" w:hAnsi="Times New Roman"/>
          <w:i/>
          <w:color w:val="FF6600"/>
          <w:sz w:val="18"/>
        </w:rPr>
        <w:t>--- Trang 30, V-NAMHS, UNICEF/IOS 2022 ---</w:t>
      </w:r>
    </w:p>
    <w:p>
      <w:r>
        <w:rPr>
          <w:rFonts w:ascii="Times New Roman" w:hAnsi="Times New Roman"/>
          <w:b/>
          <w:i/>
          <w:sz w:val="22"/>
        </w:rPr>
        <w:t>Hạn chế (Limitations)</w:t>
      </w:r>
    </w:p>
    <w:p>
      <w:r>
        <w:rPr>
          <w:rFonts w:ascii="Times New Roman" w:hAnsi="Times New Roman"/>
        </w:rPr>
        <w:t>Các phát hiện V-NAMHS về sử dụng dịch vụ cho vấn đề cảm xúc và hành vi nên được diễn giải thận trọng. Thứ nhất, số lượng nhỏ VTN tiếp cận dịch vụ (n = 389) khiến khó xác định mô hình rõ ràng (ví dụ: tần suất hoặc sự hiện diện của vấn đề SKTT). Tuy nhiên, các phát hiện này là điểm khởi đầu và ở mức rộng nhất, chứng minh nhu cầu không được đáp ứng và rào cản chăm sóc trong quần thể VTN VN. Thứ hai, hầu hết câu hỏi được hỏi phụ huynh thay vì VTN do cân nhắc về độ dài phỏng vấn tổng thể. Điều này nghĩa là quan điểm của VTN, đặc biệt về rào cản chăm sóc, không được đo. Tuy nhiên, vì hầu hết VTN báo cáo nói chuyện với thành viên gia đình khi có lo lắng, vai trò phụ huynh như "người gác cổng" để tiếp cận dịch vụ SKTT cho thấy họ có vị trí tốt để cung cấp thông tin về rào cản liên quan nhất với hoạch định chính sách. Thêm nữa, câu hỏi dịch vụ hỏi phụ huynh có thể dễ điều chỉnh cho người trả lời VTN trong nghiên cứu tương lai.</w:t>
      </w:r>
    </w:p>
    <w:p>
      <w:r>
        <w:rPr>
          <w:rFonts w:ascii="Times New Roman" w:hAnsi="Times New Roman"/>
          <w:b/>
          <w:i/>
          <w:sz w:val="22"/>
        </w:rPr>
        <w:t>Hàm ý (Implications)</w:t>
      </w:r>
    </w:p>
    <w:p>
      <w:r>
        <w:rPr>
          <w:rFonts w:ascii="Times New Roman" w:hAnsi="Times New Roman"/>
        </w:rPr>
        <w:t>V-NAMHS tìm thấy nhu cầu không đáp ứng tiềm năng lớn đối với dịch vụ, với dưới 10 % những người có vấn đề SKTT tiếp cận dịch vụ trong 12 tháng qua. Tuy nhiên, các phát hiện cũng nhấn mạnh cơ hội cải thiện xu hướng VTN và gia đình tìm kiếm trợ giúp cho vấn đề SKTT. Ví dụ, các phát hiện cho thấy phụ huynh và gia đình là nguồn hỗ trợ trung tâm cho VTN. Gần ba phần tư VTN (73,9 %) báo cáo nói chuyện với thành viên gia đình khi có lo lắng. Điều này phù hợp với nghiên cứu trước tại VN cũng tìm thấy người trẻ có xu hướng tìm kiếm trợ giúp cho vấn đề SKTT từ gia đình và bạn bè (Kamimura et al. 2018, Truc Thanh Thai, Ngoc Ly Ly Thi Vu and Han Hy Thi Bui 2020). Tuy nhiên, trong V-NAMHS, chỉ 5,1 % phụ huynh xác định con cần trợ giúp cho vấn đề cảm xúc và hành vi trong 12 tháng qua, dù 21,7 % VTN có vấn đề SKTT trong cùng giai đoạn. Trong nhóm đó, hơn một phần ba (37,7 %) báo cáo con đã nhận tất cả trợ giúp cần thiết, và 20,4 % không tiếp cận vì ưa thích tự giải quyết.</w:t>
      </w:r>
    </w:p>
    <w:p>
      <w:r>
        <w:rPr>
          <w:rFonts w:ascii="Times New Roman" w:hAnsi="Times New Roman"/>
        </w:rPr>
        <w:t>Kết hợp dữ liệu phụ huynh và VTN cho thấy các chiến lược được thiết kế đặc biệt để cải thiện mental health literacy, giảm kỳ thị và tăng nhận thức về dịch vụ sẵn có giữa các gia đình có thể là bước khôn ngoan. Các chương trình có thể tập trung vào giúp phụ huynh tự tin hơn khi xử lý lo lắng do VTN trình bày, đồng thời giáo dục họ về chỉ báo vấn đề SKTT, nơi tìm trợ giúp, và lợi ích của việc đó cho cả VTN và gia đình. Có bằng chứng đang phát triển về thích ứng các chương trình mental health literacy cho VN (Hoang Minh Dang et al. 2018, Nga Linh La et al. 2022, Thach Tran et al. 2020). Vấn đề mental health literacy thấp và kỳ thị đáng kể xung quanh SKTT tại VN được chứng minh bởi nghiên cứu hiện có báo cáo quan điểm từ cả quần thể chung (Kamimura et al. 2018, Mai Do et al. 2014, Mckelvey et al. 1999, Quynh Chi Nguyen Thai và Thanh Huong Nguyen 2018, Truc Thanh Thai, Ngoc Ly Ly Thi Vu và Han Hy Thi Bui 2020) và chuyên gia SKTT (Hoang-Minh Dang et al. 2020), lưu ý bằng chứng cụ thể cho VTN và gia đình vẫn còn hạn chế.</w:t>
      </w:r>
    </w:p>
    <w:p>
      <w:r>
        <w:rPr>
          <w:rFonts w:ascii="Times New Roman" w:hAnsi="Times New Roman"/>
        </w:rPr>
        <w:t>Mọi cải thiện về hành vi tìm kiếm trợ giúp của VTN và gia đình cũng phải được đáp ứng bởi cải thiện tương ứng về tính sẵn có của dịch vụ. Lại nữa, phát hiện V-NAMHS nhấn mạnh cơ hội cho các bước ban đầu. Ví dụ, trong số tiếp cận dịch vụ cho vấn đề cảm xúc và hành vi 12 tháng qua, hơn một nửa (56,2 %) đã làm vậy từ nhà cung cấp y tế chính thức như bác sĩ hoặc điều dưỡng. Do đó có thể có cơ hội lồng ghép sàng lọc SKTT vào dịch vụ y tế chung hiện có, đồng thời cung cấp giáo dục và đào tạo về SKTT và đường dẫn chuyển tuyến cho người hành nghề y tế chung. Ví dụ, để tạo điều kiện lồng ghép dịch vụ chăm sóc SKTT vào y tế cơ sở, WHO đã xuất bản mhGAP (Mental Health Gap Action Programme — WHO) Intervention Guide (phiên bản 1.0 năm 2010; phiên bản 2.0 năm 2016) cho rối loạn tâm thần, thần kinh và sử dụng chất trong môi trường y tế không chuyên khoa để bác sĩ, điều dưỡng và nhân viên y tế khác cũng như người hoạch định y tế và quản lý sử dụng (WHO 2016).</w:t>
      </w:r>
    </w:p>
    <w:p>
      <w:pPr>
        <w:jc w:val="center"/>
      </w:pPr>
      <w:r>
        <w:rPr>
          <w:rFonts w:ascii="Times New Roman" w:hAnsi="Times New Roman"/>
          <w:i/>
          <w:color w:val="FF6600"/>
          <w:sz w:val="18"/>
        </w:rPr>
        <w:t>--- Trang 31, V-NAMHS, UNICEF/IOS 2022 ---</w:t>
      </w:r>
    </w:p>
    <w:p>
      <w:r>
        <w:rPr>
          <w:rFonts w:ascii="Times New Roman" w:hAnsi="Times New Roman"/>
        </w:rPr>
        <w:t>Tính khả thi và hữu ích của lồng ghép dịch vụ SKTT vào môi trường chăm sóc ban đầu và cộng đồng đã được chứng minh ở một số LMICs (Keynejad, Spagnolo and Thornicroft 2022). Hướng dẫn mhGAP (Mental Health Gap Action Programme — WHO) cung cấp nền tảng cho triển khai các chính sách và thực hành như vậy tại VN, có thể sử dụng để tiếp tục tạo điều kiện và hỗ trợ các dịch vụ mà VTN và gia đình đang tìm kiếm cho hỗ trợ SKTT. Lồng ghép thực hành SKTT vào nhà cung cấp y tế ban đầu sẽ giúp tận dụng phát hiện V-NAMHS bằng cách cung cấp cho nhà cung cấp y tế chính thức đào tạo và tài nguyên phù hợp để hỗ trợ SKTT. Cần lưu ý rằng bất kỳ nỗ lực nào như vậy đều yêu cầu công nhận rối loạn tâm thần thông qua chính sách và chiến lược phù hợp được thiết kế để hướng dẫn phân bổ nguồn lực cho SKTT VTN được cải thiện.</w:t>
      </w:r>
    </w:p>
    <w:p>
      <w:pPr>
        <w:jc w:val="center"/>
      </w:pPr>
      <w:r>
        <w:rPr>
          <w:rFonts w:ascii="Times New Roman" w:hAnsi="Times New Roman"/>
          <w:i/>
          <w:color w:val="FF6600"/>
          <w:sz w:val="18"/>
        </w:rPr>
        <w:t>--- Trang 32, V-NAMHS, UNICEF/IOS 2022 ---</w:t>
      </w:r>
    </w:p>
    <w:p>
      <w:r>
        <w:rPr>
          <w:rFonts w:ascii="Times New Roman" w:hAnsi="Times New Roman"/>
          <w:b/>
          <w:color w:val="1F3A68"/>
          <w:sz w:val="28"/>
        </w:rPr>
        <w:t>COVID-19</w:t>
      </w:r>
    </w:p>
    <w:p>
      <w:r>
        <w:rPr>
          <w:rFonts w:ascii="Times New Roman" w:hAnsi="Times New Roman"/>
          <w:b/>
          <w:color w:val="2E548B"/>
          <w:sz w:val="24"/>
        </w:rPr>
        <w:t>Tổng quan</w:t>
      </w:r>
    </w:p>
    <w:p>
      <w:r>
        <w:rPr>
          <w:rFonts w:ascii="Times New Roman" w:hAnsi="Times New Roman"/>
        </w:rPr>
        <w:t>Ca COVID-19 đầu tiên được phát hiện ở VN vào tháng 1/2020. Một Uỷ ban chỉ đạo quốc gia sau đó được thành lập để quản lý phản ứng của Chính phủ đối với đại dịch COVID-19. Chính phủ khởi động các thủ tục cách ly chính thức và biện pháp nghiêm ngặt để ngăn chặn lây lan COVID-19 gồm cấm tụ tập đông người, thực thi hạn chế di chuyển và bắt buộc đeo khẩu trang nơi công cộng. Lệnh phong toả toàn quốc bắt đầu từ tháng 4/2020, người dân phải ở nhà, doanh nghiệp và trường học đóng cửa. Sau phong toả quốc gia, các đợt phong toả địa phương cấp tỉnh tiếp tục. VN chứng kiến đỉnh COVID-19 vào tháng 9/2021 với hơn 10.000 ca mới mỗi ngày. Năm 2022, với tỷ lệ tiêm chủng cao, Chính phủ nới lỏng các biện pháp phong toả và cách ly trên toàn quốc (Bộ Y tế 2022, Chính phủ 2022).</w:t>
      </w:r>
    </w:p>
    <w:p>
      <w:r>
        <w:rPr>
          <w:rFonts w:ascii="Times New Roman" w:hAnsi="Times New Roman"/>
        </w:rPr>
        <w:t>Trên toàn cầu, đại dịch COVID-19 đã tác động cuộc sống của VTN thông qua thực thi các biện pháp containment (gồm đóng cửa trường học) dẫn đến cô lập xã hội, thiếu thói quen hàng ngày và căng thẳng hộ gia đình. Bằng chứng mới nổi cho thấy mối liên hệ giữa đại dịch COVID-19 và tỷ lệ lo âu, trầm cảm, stress cao hơn (Jones, Mitra and Bhuiyan 2021). Hiểu COVID-19 có thể đã ảnh hưởng SKTT VTN như thế nào là cần thiết cho chuẩn bị các đại dịch tương lai và cung cấp hỗ trợ mà người trẻ cần để giải quyết cái mà một số gọi là "thế hệ mất mát" (Hafstad and Augusti 2021). Hiện tại, thiếu dữ liệu đại diện quốc gia từ cả VTN hoặc phụ huynh về cách đại dịch COVID-19 đã tác động cuộc sống của họ trong bối cảnh SKTT và hạnh phúc. Chương này phác thảo các yếu tố COVID-19 liên quan nhất với V-NAMHS và báo cáo các phát hiện chính. Tất cả tỷ lệ và số lượng trong chương này đều được gia trọng.</w:t>
      </w:r>
    </w:p>
    <w:p>
      <w:pPr>
        <w:jc w:val="center"/>
      </w:pPr>
      <w:r>
        <w:rPr>
          <w:rFonts w:ascii="Times New Roman" w:hAnsi="Times New Roman"/>
          <w:i/>
          <w:color w:val="FF6600"/>
          <w:sz w:val="18"/>
        </w:rPr>
        <w:t>--- Trang 33, V-NAMHS, UNICEF/IOS 2022 ---</w:t>
      </w:r>
    </w:p>
    <w:p>
      <w:r>
        <w:rPr>
          <w:rFonts w:ascii="Times New Roman" w:hAnsi="Times New Roman"/>
          <w:b/>
          <w:color w:val="2E548B"/>
          <w:sz w:val="24"/>
        </w:rPr>
        <w:t>Đo lường</w:t>
      </w:r>
    </w:p>
    <w:p>
      <w:r>
        <w:rPr>
          <w:rFonts w:ascii="Times New Roman" w:hAnsi="Times New Roman"/>
        </w:rPr>
        <w:t>Các câu hỏi COVID-19 tập trung vào các yếu tố dễ liên kết với SKTT nhất theo mục tiêu cốt lõi của V-NAMHS. Các câu hỏi này không nhằm đo lường toàn diện tất cả trải nghiệm trong đại dịch COVID-19. Chúng được thiết kế đặc biệt cho khảo sát, ban đầu dựa trên rà soát tài liệu liên quan rồi tham khảo với năm nhóm NAMHS quốc tế. Câu hỏi được hỏi cả phụ huynh và VTN và liên quan cụ thể đến trải nghiệm trong đại dịch.</w:t>
      </w:r>
    </w:p>
    <w:p>
      <w:r>
        <w:rPr>
          <w:rFonts w:ascii="Times New Roman" w:hAnsi="Times New Roman"/>
        </w:rPr>
        <w:t>Cả phụ huynh và VTN đều được hỏi trước hết liệu họ đã nghe về COVID-19 hay chưa. Những người đã nghe được hỏi một chuỗi câu hỏi liên quan đến trải nghiệm COVID-19. Phụ huynh được hỏi về tiếp xúc trực tiếp với COVID-19, cách ly, kỳ thị, tác động kinh tế lên hộ gia đình (gồm thay đổi thu nhập và thiếu tiền cho nhu yếu phẩm), và thay đổi trong sử dụng rượu và ma tuý của bản thân. Phụ huynh cũng được hỏi về nhu cầu trợ giúp cho vấn đề cảm xúc và hành vi của con trong đại dịch, liệu đã sử dụng dịch vụ cho các vấn đề này trong đại dịch hay không, và những rào cản liên quan COVID-19 đã ngăn họ tìm trợ giúp cho con (nếu áp dụng).</w:t>
      </w:r>
    </w:p>
    <w:p>
      <w:r>
        <w:rPr>
          <w:rFonts w:ascii="Times New Roman" w:hAnsi="Times New Roman"/>
        </w:rPr>
        <w:t>VTN được hỏi về việc có dừng đi học vĩnh viễn trong đại dịch không. Các em cũng được hỏi về các trải nghiệm khác trong đại dịch gồm chứng kiến bạo lực giữa người lớn trong hộ, việc sử dụng rượu và ma tuý của người lớn trong hộ, và sử dụng rượu và ma tuý của chính mình. Cuối cùng, VTN được hỏi về gia tăng các vấn đề cảm xúc và hành vi cụ thể trong đại dịch và liệu có ai để nói chuyện khi trải qua các vấn đề này không.</w:t>
      </w:r>
    </w:p>
    <w:p>
      <w:r>
        <w:rPr>
          <w:rFonts w:ascii="Times New Roman" w:hAnsi="Times New Roman"/>
          <w:b/>
          <w:color w:val="2E548B"/>
          <w:sz w:val="24"/>
        </w:rPr>
        <w:t>Phát hiện</w:t>
      </w:r>
    </w:p>
    <w:p>
      <w:r>
        <w:rPr>
          <w:rFonts w:ascii="Times New Roman" w:hAnsi="Times New Roman"/>
        </w:rPr>
        <w:t>Như Bảng 17 thể hiện, 7,7 % VTN "rất đồng ý" rằng họ thường xuyên trải qua ít nhất một vấn đề cảm xúc hoặc hành vi nhiều hơn bình thường trong đại dịch COVID-19, không có khác biệt giữa nam và nữ (nếu bao gồm cả những em "đồng ý", tỷ lệ sẽ cao tới 67 %).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
              <w:rPr>
                <w:rFonts w:ascii="Times New Roman" w:hAnsi="Times New Roman"/>
                <w:b/>
                <w:sz w:val="20"/>
              </w:rPr>
              <w:t>Vấn đề</w:t>
            </w:r>
          </w:p>
        </w:tc>
        <w:tc>
          <w:tcPr>
            <w:tcW w:type="dxa" w:w="1234"/>
            <w:shd w:fill="D9E1F2"/>
          </w:tcPr>
          <w:p>
            <w:r/>
            <w:r>
              <w:rPr>
                <w:rFonts w:ascii="Times New Roman" w:hAnsi="Times New Roman"/>
                <w:b/>
                <w:sz w:val="20"/>
              </w:rPr>
              <w:t>% Nam</w:t>
            </w:r>
          </w:p>
        </w:tc>
        <w:tc>
          <w:tcPr>
            <w:tcW w:type="dxa" w:w="1234"/>
            <w:shd w:fill="D9E1F2"/>
          </w:tcPr>
          <w:p>
            <w:r/>
            <w:r>
              <w:rPr>
                <w:rFonts w:ascii="Times New Roman" w:hAnsi="Times New Roman"/>
                <w:b/>
                <w:sz w:val="20"/>
              </w:rPr>
              <w:t>n</w:t>
            </w:r>
          </w:p>
        </w:tc>
        <w:tc>
          <w:tcPr>
            <w:tcW w:type="dxa" w:w="1234"/>
            <w:shd w:fill="D9E1F2"/>
          </w:tcPr>
          <w:p>
            <w:r/>
            <w:r>
              <w:rPr>
                <w:rFonts w:ascii="Times New Roman" w:hAnsi="Times New Roman"/>
                <w:b/>
                <w:sz w:val="20"/>
              </w:rPr>
              <w:t>% Nữ</w:t>
            </w:r>
          </w:p>
        </w:tc>
        <w:tc>
          <w:tcPr>
            <w:tcW w:type="dxa" w:w="1234"/>
            <w:shd w:fill="D9E1F2"/>
          </w:tcPr>
          <w:p>
            <w:r/>
            <w:r>
              <w:rPr>
                <w:rFonts w:ascii="Times New Roman" w:hAnsi="Times New Roman"/>
                <w:b/>
                <w:sz w:val="20"/>
              </w:rPr>
              <w:t>n</w:t>
            </w:r>
          </w:p>
        </w:tc>
        <w:tc>
          <w:tcPr>
            <w:tcW w:type="dxa" w:w="1234"/>
            <w:shd w:fill="D9E1F2"/>
          </w:tcPr>
          <w:p>
            <w:r/>
            <w:r>
              <w:rPr>
                <w:rFonts w:ascii="Times New Roman" w:hAnsi="Times New Roman"/>
                <w:b/>
                <w:sz w:val="20"/>
              </w:rPr>
              <w:t>% Tổng</w:t>
            </w:r>
          </w:p>
        </w:tc>
        <w:tc>
          <w:tcPr>
            <w:tcW w:type="dxa" w:w="1234"/>
            <w:shd w:fill="D9E1F2"/>
          </w:tcPr>
          <w:p>
            <w:r/>
            <w:r>
              <w:rPr>
                <w:rFonts w:ascii="Times New Roman" w:hAnsi="Times New Roman"/>
                <w:b/>
                <w:sz w:val="20"/>
              </w:rPr>
              <w:t>n</w:t>
            </w:r>
          </w:p>
        </w:tc>
      </w:tr>
      <w:tr>
        <w:tc>
          <w:tcPr>
            <w:tcW w:type="dxa" w:w="1234"/>
          </w:tcPr>
          <w:p>
            <w:r/>
            <w:r>
              <w:rPr>
                <w:rFonts w:ascii="Times New Roman" w:hAnsi="Times New Roman"/>
                <w:sz w:val="20"/>
              </w:rPr>
              <w:t>Lo âu hoặc stress nhiều hơn</w:t>
            </w:r>
          </w:p>
        </w:tc>
        <w:tc>
          <w:tcPr>
            <w:tcW w:type="dxa" w:w="1234"/>
          </w:tcPr>
          <w:p>
            <w:r/>
            <w:r>
              <w:rPr>
                <w:rFonts w:ascii="Times New Roman" w:hAnsi="Times New Roman"/>
                <w:sz w:val="20"/>
              </w:rPr>
              <w:t>5,2</w:t>
            </w:r>
          </w:p>
        </w:tc>
        <w:tc>
          <w:tcPr>
            <w:tcW w:type="dxa" w:w="1234"/>
          </w:tcPr>
          <w:p>
            <w:r/>
            <w:r>
              <w:rPr>
                <w:rFonts w:ascii="Times New Roman" w:hAnsi="Times New Roman"/>
                <w:sz w:val="20"/>
              </w:rPr>
              <w:t>162</w:t>
            </w:r>
          </w:p>
        </w:tc>
        <w:tc>
          <w:tcPr>
            <w:tcW w:type="dxa" w:w="1234"/>
          </w:tcPr>
          <w:p>
            <w:r/>
            <w:r>
              <w:rPr>
                <w:rFonts w:ascii="Times New Roman" w:hAnsi="Times New Roman"/>
                <w:sz w:val="20"/>
              </w:rPr>
              <w:t>4,9</w:t>
            </w:r>
          </w:p>
        </w:tc>
        <w:tc>
          <w:tcPr>
            <w:tcW w:type="dxa" w:w="1234"/>
          </w:tcPr>
          <w:p>
            <w:r/>
            <w:r>
              <w:rPr>
                <w:rFonts w:ascii="Times New Roman" w:hAnsi="Times New Roman"/>
                <w:sz w:val="20"/>
              </w:rPr>
              <w:t>141</w:t>
            </w:r>
          </w:p>
        </w:tc>
        <w:tc>
          <w:tcPr>
            <w:tcW w:type="dxa" w:w="1234"/>
          </w:tcPr>
          <w:p>
            <w:r/>
            <w:r>
              <w:rPr>
                <w:rFonts w:ascii="Times New Roman" w:hAnsi="Times New Roman"/>
                <w:sz w:val="20"/>
              </w:rPr>
              <w:t>5,1</w:t>
            </w:r>
          </w:p>
        </w:tc>
        <w:tc>
          <w:tcPr>
            <w:tcW w:type="dxa" w:w="1234"/>
          </w:tcPr>
          <w:p>
            <w:r/>
            <w:r>
              <w:rPr>
                <w:rFonts w:ascii="Times New Roman" w:hAnsi="Times New Roman"/>
                <w:sz w:val="20"/>
              </w:rPr>
              <w:t>304</w:t>
            </w:r>
          </w:p>
        </w:tc>
      </w:tr>
      <w:tr>
        <w:tc>
          <w:tcPr>
            <w:tcW w:type="dxa" w:w="1234"/>
          </w:tcPr>
          <w:p>
            <w:r/>
            <w:r>
              <w:rPr>
                <w:rFonts w:ascii="Times New Roman" w:hAnsi="Times New Roman"/>
                <w:sz w:val="20"/>
              </w:rPr>
              <w:t>Buồn hoặc trầm cảm hơn</w:t>
            </w:r>
          </w:p>
        </w:tc>
        <w:tc>
          <w:tcPr>
            <w:tcW w:type="dxa" w:w="1234"/>
          </w:tcPr>
          <w:p>
            <w:r/>
            <w:r>
              <w:rPr>
                <w:rFonts w:ascii="Times New Roman" w:hAnsi="Times New Roman"/>
                <w:sz w:val="20"/>
              </w:rPr>
              <w:t>3,6</w:t>
            </w:r>
          </w:p>
        </w:tc>
        <w:tc>
          <w:tcPr>
            <w:tcW w:type="dxa" w:w="1234"/>
          </w:tcPr>
          <w:p>
            <w:r/>
            <w:r>
              <w:rPr>
                <w:rFonts w:ascii="Times New Roman" w:hAnsi="Times New Roman"/>
                <w:sz w:val="20"/>
              </w:rPr>
              <w:t>112</w:t>
            </w:r>
          </w:p>
        </w:tc>
        <w:tc>
          <w:tcPr>
            <w:tcW w:type="dxa" w:w="1234"/>
          </w:tcPr>
          <w:p>
            <w:r/>
            <w:r>
              <w:rPr>
                <w:rFonts w:ascii="Times New Roman" w:hAnsi="Times New Roman"/>
                <w:sz w:val="20"/>
              </w:rPr>
              <w:t>3,7</w:t>
            </w:r>
          </w:p>
        </w:tc>
        <w:tc>
          <w:tcPr>
            <w:tcW w:type="dxa" w:w="1234"/>
          </w:tcPr>
          <w:p>
            <w:r/>
            <w:r>
              <w:rPr>
                <w:rFonts w:ascii="Times New Roman" w:hAnsi="Times New Roman"/>
                <w:sz w:val="20"/>
              </w:rPr>
              <w:t>106</w:t>
            </w:r>
          </w:p>
        </w:tc>
        <w:tc>
          <w:tcPr>
            <w:tcW w:type="dxa" w:w="1234"/>
          </w:tcPr>
          <w:p>
            <w:r/>
            <w:r>
              <w:rPr>
                <w:rFonts w:ascii="Times New Roman" w:hAnsi="Times New Roman"/>
                <w:sz w:val="20"/>
              </w:rPr>
              <w:t>3,6</w:t>
            </w:r>
          </w:p>
        </w:tc>
        <w:tc>
          <w:tcPr>
            <w:tcW w:type="dxa" w:w="1234"/>
          </w:tcPr>
          <w:p>
            <w:r/>
            <w:r>
              <w:rPr>
                <w:rFonts w:ascii="Times New Roman" w:hAnsi="Times New Roman"/>
                <w:sz w:val="20"/>
              </w:rPr>
              <w:t>218</w:t>
            </w:r>
          </w:p>
        </w:tc>
      </w:tr>
      <w:tr>
        <w:tc>
          <w:tcPr>
            <w:tcW w:type="dxa" w:w="1234"/>
          </w:tcPr>
          <w:p>
            <w:r/>
            <w:r>
              <w:rPr>
                <w:rFonts w:ascii="Times New Roman" w:hAnsi="Times New Roman"/>
                <w:sz w:val="20"/>
              </w:rPr>
              <w:t>Vấn đề tập trung nhiều hơn</w:t>
            </w:r>
          </w:p>
        </w:tc>
        <w:tc>
          <w:tcPr>
            <w:tcW w:type="dxa" w:w="1234"/>
          </w:tcPr>
          <w:p>
            <w:r/>
            <w:r>
              <w:rPr>
                <w:rFonts w:ascii="Times New Roman" w:hAnsi="Times New Roman"/>
                <w:sz w:val="20"/>
              </w:rPr>
              <w:t>2,7</w:t>
            </w:r>
          </w:p>
        </w:tc>
        <w:tc>
          <w:tcPr>
            <w:tcW w:type="dxa" w:w="1234"/>
          </w:tcPr>
          <w:p>
            <w:r/>
            <w:r>
              <w:rPr>
                <w:rFonts w:ascii="Times New Roman" w:hAnsi="Times New Roman"/>
                <w:sz w:val="20"/>
              </w:rPr>
              <w:t>85</w:t>
            </w:r>
          </w:p>
        </w:tc>
        <w:tc>
          <w:tcPr>
            <w:tcW w:type="dxa" w:w="1234"/>
          </w:tcPr>
          <w:p>
            <w:r/>
            <w:r>
              <w:rPr>
                <w:rFonts w:ascii="Times New Roman" w:hAnsi="Times New Roman"/>
                <w:sz w:val="20"/>
              </w:rPr>
              <w:t>1,9</w:t>
            </w:r>
          </w:p>
        </w:tc>
        <w:tc>
          <w:tcPr>
            <w:tcW w:type="dxa" w:w="1234"/>
          </w:tcPr>
          <w:p>
            <w:r/>
            <w:r>
              <w:rPr>
                <w:rFonts w:ascii="Times New Roman" w:hAnsi="Times New Roman"/>
                <w:sz w:val="20"/>
              </w:rPr>
              <w:t>55</w:t>
            </w:r>
          </w:p>
        </w:tc>
        <w:tc>
          <w:tcPr>
            <w:tcW w:type="dxa" w:w="1234"/>
          </w:tcPr>
          <w:p>
            <w:r/>
            <w:r>
              <w:rPr>
                <w:rFonts w:ascii="Times New Roman" w:hAnsi="Times New Roman"/>
                <w:sz w:val="20"/>
              </w:rPr>
              <w:t>2,3</w:t>
            </w:r>
          </w:p>
        </w:tc>
        <w:tc>
          <w:tcPr>
            <w:tcW w:type="dxa" w:w="1234"/>
          </w:tcPr>
          <w:p>
            <w:r/>
            <w:r>
              <w:rPr>
                <w:rFonts w:ascii="Times New Roman" w:hAnsi="Times New Roman"/>
                <w:sz w:val="20"/>
              </w:rPr>
              <w:t>140</w:t>
            </w:r>
          </w:p>
        </w:tc>
      </w:tr>
      <w:tr>
        <w:tc>
          <w:tcPr>
            <w:tcW w:type="dxa" w:w="1234"/>
          </w:tcPr>
          <w:p>
            <w:r/>
            <w:r>
              <w:rPr>
                <w:rFonts w:ascii="Times New Roman" w:hAnsi="Times New Roman"/>
                <w:sz w:val="20"/>
              </w:rPr>
              <w:t>Cô đơn hoặc bị cô lập hơn</w:t>
            </w:r>
          </w:p>
        </w:tc>
        <w:tc>
          <w:tcPr>
            <w:tcW w:type="dxa" w:w="1234"/>
          </w:tcPr>
          <w:p>
            <w:r/>
            <w:r>
              <w:rPr>
                <w:rFonts w:ascii="Times New Roman" w:hAnsi="Times New Roman"/>
                <w:sz w:val="20"/>
              </w:rPr>
              <w:t>2,2</w:t>
            </w:r>
          </w:p>
        </w:tc>
        <w:tc>
          <w:tcPr>
            <w:tcW w:type="dxa" w:w="1234"/>
          </w:tcPr>
          <w:p>
            <w:r/>
            <w:r>
              <w:rPr>
                <w:rFonts w:ascii="Times New Roman" w:hAnsi="Times New Roman"/>
                <w:sz w:val="20"/>
              </w:rPr>
              <w:t>70</w:t>
            </w:r>
          </w:p>
        </w:tc>
        <w:tc>
          <w:tcPr>
            <w:tcW w:type="dxa" w:w="1234"/>
          </w:tcPr>
          <w:p>
            <w:r/>
            <w:r>
              <w:rPr>
                <w:rFonts w:ascii="Times New Roman" w:hAnsi="Times New Roman"/>
                <w:sz w:val="20"/>
              </w:rPr>
              <w:t>1,5</w:t>
            </w:r>
          </w:p>
        </w:tc>
        <w:tc>
          <w:tcPr>
            <w:tcW w:type="dxa" w:w="1234"/>
          </w:tcPr>
          <w:p>
            <w:r/>
            <w:r>
              <w:rPr>
                <w:rFonts w:ascii="Times New Roman" w:hAnsi="Times New Roman"/>
                <w:sz w:val="20"/>
              </w:rPr>
              <w:t>42</w:t>
            </w:r>
          </w:p>
        </w:tc>
        <w:tc>
          <w:tcPr>
            <w:tcW w:type="dxa" w:w="1234"/>
          </w:tcPr>
          <w:p>
            <w:r/>
            <w:r>
              <w:rPr>
                <w:rFonts w:ascii="Times New Roman" w:hAnsi="Times New Roman"/>
                <w:sz w:val="20"/>
              </w:rPr>
              <w:t>1,9</w:t>
            </w:r>
          </w:p>
        </w:tc>
        <w:tc>
          <w:tcPr>
            <w:tcW w:type="dxa" w:w="1234"/>
          </w:tcPr>
          <w:p>
            <w:r/>
            <w:r>
              <w:rPr>
                <w:rFonts w:ascii="Times New Roman" w:hAnsi="Times New Roman"/>
                <w:sz w:val="20"/>
              </w:rPr>
              <w:t>112</w:t>
            </w:r>
          </w:p>
        </w:tc>
      </w:tr>
      <w:tr>
        <w:tc>
          <w:tcPr>
            <w:tcW w:type="dxa" w:w="1234"/>
          </w:tcPr>
          <w:p>
            <w:r/>
            <w:r>
              <w:rPr>
                <w:rFonts w:ascii="Times New Roman" w:hAnsi="Times New Roman"/>
                <w:sz w:val="20"/>
              </w:rPr>
              <w:t>Tổng (tăng ít nhất 1 vấn đề)</w:t>
            </w:r>
          </w:p>
        </w:tc>
        <w:tc>
          <w:tcPr>
            <w:tcW w:type="dxa" w:w="1234"/>
          </w:tcPr>
          <w:p>
            <w:r/>
            <w:r>
              <w:rPr>
                <w:rFonts w:ascii="Times New Roman" w:hAnsi="Times New Roman"/>
                <w:sz w:val="20"/>
              </w:rPr>
              <w:t>8,2</w:t>
            </w:r>
          </w:p>
        </w:tc>
        <w:tc>
          <w:tcPr>
            <w:tcW w:type="dxa" w:w="1234"/>
          </w:tcPr>
          <w:p>
            <w:r/>
            <w:r>
              <w:rPr>
                <w:rFonts w:ascii="Times New Roman" w:hAnsi="Times New Roman"/>
                <w:sz w:val="20"/>
              </w:rPr>
              <w:t>254</w:t>
            </w:r>
          </w:p>
        </w:tc>
        <w:tc>
          <w:tcPr>
            <w:tcW w:type="dxa" w:w="1234"/>
          </w:tcPr>
          <w:p>
            <w:r/>
            <w:r>
              <w:rPr>
                <w:rFonts w:ascii="Times New Roman" w:hAnsi="Times New Roman"/>
                <w:sz w:val="20"/>
              </w:rPr>
              <w:t>7,3</w:t>
            </w:r>
          </w:p>
        </w:tc>
        <w:tc>
          <w:tcPr>
            <w:tcW w:type="dxa" w:w="1234"/>
          </w:tcPr>
          <w:p>
            <w:r/>
            <w:r>
              <w:rPr>
                <w:rFonts w:ascii="Times New Roman" w:hAnsi="Times New Roman"/>
                <w:sz w:val="20"/>
              </w:rPr>
              <w:t>209</w:t>
            </w:r>
          </w:p>
        </w:tc>
        <w:tc>
          <w:tcPr>
            <w:tcW w:type="dxa" w:w="1234"/>
          </w:tcPr>
          <w:p>
            <w:r/>
            <w:r>
              <w:rPr>
                <w:rFonts w:ascii="Times New Roman" w:hAnsi="Times New Roman"/>
                <w:sz w:val="20"/>
              </w:rPr>
              <w:t>7,7</w:t>
            </w:r>
          </w:p>
        </w:tc>
        <w:tc>
          <w:tcPr>
            <w:tcW w:type="dxa" w:w="1234"/>
          </w:tcPr>
          <w:p>
            <w:r/>
            <w:r>
              <w:rPr>
                <w:rFonts w:ascii="Times New Roman" w:hAnsi="Times New Roman"/>
                <w:sz w:val="20"/>
              </w:rPr>
              <w:t>463</w:t>
            </w:r>
          </w:p>
        </w:tc>
      </w:tr>
    </w:tbl>
    <w:p>
      <w:r>
        <w:rPr>
          <w:rFonts w:ascii="Times New Roman" w:hAnsi="Times New Roman"/>
          <w:i/>
          <w:color w:val="666666"/>
          <w:sz w:val="18"/>
        </w:rPr>
        <w:t>Bảng 17. Tỷ lệ thường xuyên trải qua vấn đề cảm xúc và hành vi nhiều hơn bình thường trong đại dịch COVID-19 ở VTN 10–17 tuổi theo giới. Gia trọng N: nam = 3.119; nữ = 2.877. Nguồn: Bảng 17 báo cáo gốc, trang 33.</w:t>
      </w:r>
    </w:p>
    <w:p>
      <w:r>
        <w:rPr>
          <w:rFonts w:ascii="Times New Roman" w:hAnsi="Times New Roman"/>
        </w:rPr>
        <w:t>Tổng 7,1 % (n = 427) phụ huynh báo cáo con cần trợ giúp cho vấn đề cảm xúc và hành vi trong đại dịch COVID-19. Trong số đó, 80,3 % (n = 343) không tiếp cận dịch vụ trong đại dịch, và hầu hết báo cáo lý do là sợ nhiễm COVID-19 (69,2 %; n = 237), lưu ý phụ huynh có thể chọn nhiều lý do không tiếp cận dịch vụ.</w:t>
      </w:r>
    </w:p>
    <w:p>
      <w:pPr>
        <w:jc w:val="center"/>
      </w:pPr>
      <w:r>
        <w:rPr>
          <w:rFonts w:ascii="Times New Roman" w:hAnsi="Times New Roman"/>
          <w:i/>
          <w:color w:val="FF6600"/>
          <w:sz w:val="18"/>
        </w:rPr>
        <w:t>--- Trang 34, V-NAMHS, UNICEF/IOS 2022 ---</w:t>
      </w:r>
    </w:p>
    <w:p>
      <w:pPr>
        <w:jc w:val="center"/>
      </w:pPr>
      <w:r>
        <w:drawing>
          <wp:inline xmlns:a="http://schemas.openxmlformats.org/drawingml/2006/main" xmlns:pic="http://schemas.openxmlformats.org/drawingml/2006/picture">
            <wp:extent cx="3960000" cy="2079000"/>
            <wp:docPr id="6" name="Picture 6"/>
            <wp:cNvGraphicFramePr>
              <a:graphicFrameLocks noChangeAspect="1"/>
            </wp:cNvGraphicFramePr>
            <a:graphic>
              <a:graphicData uri="http://schemas.openxmlformats.org/drawingml/2006/picture">
                <pic:pic>
                  <pic:nvPicPr>
                    <pic:cNvPr id="0" name="p034_img1_Image238.jpg"/>
                    <pic:cNvPicPr/>
                  </pic:nvPicPr>
                  <pic:blipFill>
                    <a:blip r:embed="rId14"/>
                    <a:stretch>
                      <a:fillRect/>
                    </a:stretch>
                  </pic:blipFill>
                  <pic:spPr>
                    <a:xfrm>
                      <a:off x="0" y="0"/>
                      <a:ext cx="3960000" cy="2079000"/>
                    </a:xfrm>
                    <a:prstGeom prst="rect"/>
                  </pic:spPr>
                </pic:pic>
              </a:graphicData>
            </a:graphic>
          </wp:inline>
        </w:drawing>
      </w:r>
    </w:p>
    <w:p>
      <w:pPr>
        <w:jc w:val="center"/>
      </w:pPr>
      <w:r>
        <w:rPr>
          <w:rFonts w:ascii="Times New Roman" w:hAnsi="Times New Roman"/>
          <w:i/>
          <w:color w:val="666666"/>
          <w:sz w:val="18"/>
        </w:rPr>
        <w:t>Hình 4. Trải nghiệm trong đại dịch COVID-19 ở VTN 10–17 tuổi</w:t>
        <w:br/>
        <w:t>(Figure 4. Experiences during the COVID-19 pandemic among 10–17-year-olds)</w:t>
      </w:r>
    </w:p>
    <w:p>
      <w:r>
        <w:rPr>
          <w:rFonts w:ascii="Times New Roman" w:hAnsi="Times New Roman"/>
        </w:rPr>
        <w:t>Hình 4 thể hiện tỷ lệ VTN ghi nhận các trải nghiệm khác nhau trong đại dịch COVID-19 và tỷ lệ báo cáo đây là gia tăng so với trước đại dịch. Dù gần 10 % VTN báo cáo có người lớn trong hộ uống rượu hoặc sử dụng ma tuý bất hợp pháp trong đại dịch, dưới 1 % (0,5 %) toàn mẫu VTN báo cáo đây là gia tăng so với trước đại dịch. Hơn hai phần ba phụ huynh (71,5 %) báo cáo giảm thu nhập hộ gia đình trong đại dịch COVID-19. Thêm nữa, 12,3 % nêu rằng họ thường xuyên không có đủ tiền cho nhu yếu phẩm trong đại dịch.</w:t>
      </w:r>
    </w:p>
    <w:p>
      <w:r>
        <w:rPr>
          <w:rFonts w:ascii="Times New Roman" w:hAnsi="Times New Roman"/>
          <w:b/>
          <w:color w:val="2E548B"/>
          <w:sz w:val="24"/>
        </w:rPr>
        <w:t>Suy xét (Considerations)</w:t>
      </w:r>
    </w:p>
    <w:p>
      <w:r>
        <w:rPr>
          <w:rFonts w:ascii="Times New Roman" w:hAnsi="Times New Roman"/>
          <w:b/>
          <w:i/>
          <w:sz w:val="22"/>
        </w:rPr>
        <w:t>Diễn giải (Interpretation)</w:t>
      </w:r>
    </w:p>
    <w:p>
      <w:r>
        <w:rPr>
          <w:rFonts w:ascii="Times New Roman" w:hAnsi="Times New Roman"/>
        </w:rPr>
        <w:t>Một trong mười ba VTN (7,7 %) báo cáo thường xuyên cảm thấy trầm cảm hơn, lo âu hơn, cô lập hơn, hoặc có nhiều vấn đề tập trung hơn trong đại dịch COVID-19 so với trước đại dịch. Các phát hiện này nhìn chung nhất quán với các nghiên cứu khác tại VN. Ví dụ, đánh giá nhanh định tính của UNICEF về tác động COVID-19 tại VN tìm thấy liên hệ giữa COVID-19 và tăng mức stress, lo âu, trầm cảm được người trẻ báo cáo giai thoại (UNICEF 2020a). Tuy nhiên, so sánh khó khăn vì có ít nghiên cứu định lượng về tác động COVID-19 tại VN, không có nghiên cứu nào ở quy mô lớn. Thêm nữa, dù 7,1 % phụ huynh báo cáo con cần trợ giúp cho vấn đề cảm xúc và hành vi trong đại dịch, 80,3 % nói họ không sử dụng dịch vụ. Điều này chủ yếu do sợ nhiễm COVID-19 (69,2 %). Các nghiên cứu tương tự tại LMICs khác cũng báo cáo một tỷ lệ đáng kể VTN và người trẻ cảm thấy cần trợ giúp liên quan đến hạnh phúc thể chất và tâm thần trong đại dịch COVID-19 nhưng không yêu cầu trợ giúp (UNICEF 2020b).</w:t>
      </w:r>
    </w:p>
    <w:p>
      <w:r>
        <w:rPr>
          <w:rFonts w:ascii="Times New Roman" w:hAnsi="Times New Roman"/>
          <w:b/>
          <w:i/>
          <w:sz w:val="22"/>
        </w:rPr>
        <w:t>Hạn chế (Limitations)</w:t>
      </w:r>
    </w:p>
    <w:p>
      <w:r>
        <w:rPr>
          <w:rFonts w:ascii="Times New Roman" w:hAnsi="Times New Roman"/>
        </w:rPr>
        <w:t>Dù V-NAMHS cung cấp cơ hội độc đáo đánh giá tác động của đại dịch COVID-19 lên SKTT và hạnh phúc VTN, nghiên cứu không được thiết kế để đo toàn diện tất cả các khía cạnh của đại dịch COVID-19. Các câu hỏi được thiết kế để cung cấp một "chụp nhanh" ngắn về đại dịch COVID-19 trong bối cảnh V-NAMHS và cung cấp cơ hội cho phân tích tương lai có tính đến bất kỳ tác động nào của đại dịch. Do đó, vẫn có thể một số khía cạnh liên quan của giai đoạn đại dịch không được nắm bắt. Thêm nữa, có những lo ngại ban đầu rằng nỗi sợ tiếp xúc COVID-19 có thể ảnh hưởng tỷ lệ trả lời V-NAMHS và có thể làm lệch các phát hiện. Tuy nhiên, tỷ lệ trả lời cuối cùng 81,1 % cho thấy đây không phải vấn đề.</w:t>
      </w:r>
    </w:p>
    <w:p>
      <w:pPr>
        <w:jc w:val="center"/>
      </w:pPr>
      <w:r>
        <w:rPr>
          <w:rFonts w:ascii="Times New Roman" w:hAnsi="Times New Roman"/>
          <w:i/>
          <w:color w:val="FF6600"/>
          <w:sz w:val="18"/>
        </w:rPr>
        <w:t>--- Trang 35, V-NAMHS, UNICEF/IOS 2022 ---</w:t>
      </w:r>
    </w:p>
    <w:p>
      <w:r>
        <w:rPr>
          <w:rFonts w:ascii="Times New Roman" w:hAnsi="Times New Roman"/>
          <w:b/>
          <w:i/>
          <w:sz w:val="22"/>
        </w:rPr>
        <w:t>Hàm ý (Implications)</w:t>
      </w:r>
    </w:p>
    <w:p>
      <w:r>
        <w:rPr>
          <w:rFonts w:ascii="Times New Roman" w:hAnsi="Times New Roman"/>
        </w:rPr>
        <w:t>Các phát hiện V-NAMHS chứng minh đại dịch COVID-19 đã có tác động tiêu cực lên SKTT VTN tại VN. Các phát hiện này, kết hợp với các phát hiện chỉ ra nhu cầu không được đáp ứng đối với dịch vụ SKTT, cho thấy cần cải thiện chính sách và dịch vụ hỗ trợ VTN hiện tại, tương lai, và trong chuẩn bị cho các đại dịch/tình huống khủng hoảng tương lai. Ví dụ, các dịch vụ dễ tiếp cận (ví dụ hotline điện thoại hoặc dịch vụ chat online) có thể là cách thận trọng để giải quyết nhu cầu không đáp ứng tiềm năng lớn, đồng thời bảo đảm chăm sóc khủng hoảng và liên tục trong chăm sóc SKTT hiện có bất chấp hoàn cảnh bất thường. Trong những tình huống này, nâng cao sức khoẻ có mục tiêu có thể hữu ích để nhắm tới VTN phát triển vấn đề SKTT liên quan đến các stressor cụ thể — ví dụ cô đơn và trầm cảm liên quan đóng cửa trường học. VTN cần tiếp cận dịch vụ lần đầu có thể đặc biệt dễ tổn thương, và truyền thông y tế công cộng cung cấp kiến thức, giảm kỳ thị và bình thường hoá SKTT có thể đặc biệt quan trọng. Thêm nữa, gia tăng báo cáo vấn đề cảm xúc và hành vi trong đại dịch COVID-19 nhấn mạnh tầm quan trọng của việc bao gồm SKTT trong lập kế hoạch cho các sự kiện cấp dân số trong tương lai như đại dịch, thảm hoạ tự nhiên và xung đột.</w:t>
      </w:r>
    </w:p>
    <w:p>
      <w:pPr>
        <w:jc w:val="center"/>
      </w:pPr>
      <w:r>
        <w:rPr>
          <w:rFonts w:ascii="Times New Roman" w:hAnsi="Times New Roman"/>
          <w:i/>
          <w:color w:val="FF6600"/>
          <w:sz w:val="18"/>
        </w:rPr>
        <w:t>--- Trang 36, V-NAMHS, UNICEF/IOS 2022 ---</w:t>
      </w:r>
    </w:p>
    <w:p>
      <w:r>
        <w:rPr>
          <w:rFonts w:ascii="Times New Roman" w:hAnsi="Times New Roman"/>
          <w:b/>
          <w:color w:val="1F3A68"/>
          <w:sz w:val="28"/>
        </w:rPr>
        <w:t>PHỤ LỤC 1: Các công cụ đo lường (Appendix 1: Measures)</w:t>
      </w:r>
    </w:p>
    <w:p>
      <w:r>
        <w:rPr>
          <w:rFonts w:ascii="Times New Roman" w:hAnsi="Times New Roman"/>
        </w:rPr>
        <w:t>Các công cụ đo được hỏi phụ huynh và vị thành niên được hiển thị dưới đây. Thông tin này được điều chỉnh từ Erskine và cộng sự (2021).</w:t>
      </w:r>
    </w:p>
    <w:p>
      <w:r>
        <w:rPr>
          <w:rFonts w:ascii="Times New Roman" w:hAnsi="Times New Roman"/>
          <w:b/>
          <w:color w:val="2E548B"/>
          <w:sz w:val="24"/>
        </w:rPr>
        <w:t>Phụ huynh (Parent)</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Công cụ</w:t>
            </w:r>
          </w:p>
        </w:tc>
        <w:tc>
          <w:tcPr>
            <w:tcW w:type="dxa" w:w="4320"/>
            <w:shd w:fill="D9E1F2"/>
          </w:tcPr>
          <w:p>
            <w:r/>
            <w:r>
              <w:rPr>
                <w:rFonts w:ascii="Times New Roman" w:hAnsi="Times New Roman"/>
                <w:b/>
                <w:sz w:val="20"/>
              </w:rPr>
              <w:t>Mô tả</w:t>
            </w:r>
          </w:p>
        </w:tc>
      </w:tr>
      <w:tr>
        <w:tc>
          <w:tcPr>
            <w:tcW w:type="dxa" w:w="4320"/>
          </w:tcPr>
          <w:p>
            <w:r/>
            <w:r>
              <w:rPr>
                <w:rFonts w:ascii="Times New Roman" w:hAnsi="Times New Roman"/>
                <w:sz w:val="20"/>
              </w:rPr>
              <w:t>Demographics (Thông tin nhân khẩu)</w:t>
            </w:r>
          </w:p>
        </w:tc>
        <w:tc>
          <w:tcPr>
            <w:tcW w:type="dxa" w:w="4320"/>
          </w:tcPr>
          <w:p>
            <w:r/>
            <w:r>
              <w:rPr>
                <w:rFonts w:ascii="Times New Roman" w:hAnsi="Times New Roman"/>
                <w:sz w:val="20"/>
              </w:rPr>
              <w:t>Thu thập thông tin nhân khẩu về hộ gia đình, vị thành niên và phụ huynh. Tiêu chí đủ điều kiện cũng được đánh giá trong module này theo các tiêu chí loại trừ nêu ở mục "Ai tham gia V-NAMHS?"</w:t>
            </w:r>
          </w:p>
        </w:tc>
      </w:tr>
      <w:tr>
        <w:tc>
          <w:tcPr>
            <w:tcW w:type="dxa" w:w="4320"/>
          </w:tcPr>
          <w:p>
            <w:r/>
            <w:r>
              <w:rPr>
                <w:rFonts w:ascii="Times New Roman" w:hAnsi="Times New Roman"/>
                <w:sz w:val="20"/>
              </w:rPr>
              <w:t>Chronic illness (Bệnh mạn tính)</w:t>
            </w:r>
          </w:p>
        </w:tc>
        <w:tc>
          <w:tcPr>
            <w:tcW w:type="dxa" w:w="4320"/>
          </w:tcPr>
          <w:p>
            <w:r/>
            <w:r>
              <w:rPr>
                <w:rFonts w:ascii="Times New Roman" w:hAnsi="Times New Roman"/>
                <w:sz w:val="20"/>
              </w:rPr>
              <w:t>Đo bệnh nghiêm trọng hoặc mạn tính mà vị thành niên hoặc phụ huynh/người chăm sóc đang trải qua.</w:t>
            </w:r>
          </w:p>
        </w:tc>
      </w:tr>
      <w:tr>
        <w:tc>
          <w:tcPr>
            <w:tcW w:type="dxa" w:w="4320"/>
          </w:tcPr>
          <w:p>
            <w:r/>
            <w:r>
              <w:rPr>
                <w:rFonts w:ascii="Times New Roman" w:hAnsi="Times New Roman"/>
                <w:sz w:val="20"/>
              </w:rPr>
              <w:t>Pediatric Symptom Checklist – 17 (PSC-17)</w:t>
            </w:r>
          </w:p>
        </w:tc>
        <w:tc>
          <w:tcPr>
            <w:tcW w:type="dxa" w:w="4320"/>
          </w:tcPr>
          <w:p>
            <w:r/>
            <w:r>
              <w:rPr>
                <w:rFonts w:ascii="Times New Roman" w:hAnsi="Times New Roman"/>
                <w:sz w:val="20"/>
              </w:rPr>
              <w:t>Bộ câu hỏi sàng lọc ngắn đánh giá triệu chứng nội hoá và ngoại hoá ở vị thành niên, được dùng để đo quan điểm của phụ huynh về SKTT của vị thành niên.</w:t>
            </w:r>
          </w:p>
        </w:tc>
      </w:tr>
      <w:tr>
        <w:tc>
          <w:tcPr>
            <w:tcW w:type="dxa" w:w="4320"/>
          </w:tcPr>
          <w:p>
            <w:r/>
            <w:r>
              <w:rPr>
                <w:rFonts w:ascii="Times New Roman" w:hAnsi="Times New Roman"/>
                <w:sz w:val="20"/>
              </w:rPr>
              <w:t>Patient Health Questionnaire – 9 (PHQ-9)</w:t>
            </w:r>
          </w:p>
        </w:tc>
        <w:tc>
          <w:tcPr>
            <w:tcW w:type="dxa" w:w="4320"/>
          </w:tcPr>
          <w:p>
            <w:r/>
            <w:r>
              <w:rPr>
                <w:rFonts w:ascii="Times New Roman" w:hAnsi="Times New Roman"/>
                <w:sz w:val="20"/>
              </w:rPr>
              <w:t>Công cụ sàng lọc ngắn để sàng lọc triệu chứng trầm cảm của phụ huynh.</w:t>
            </w:r>
          </w:p>
        </w:tc>
      </w:tr>
      <w:tr>
        <w:tc>
          <w:tcPr>
            <w:tcW w:type="dxa" w:w="4320"/>
          </w:tcPr>
          <w:p>
            <w:r/>
            <w:r>
              <w:rPr>
                <w:rFonts w:ascii="Times New Roman" w:hAnsi="Times New Roman"/>
                <w:sz w:val="20"/>
              </w:rPr>
              <w:t>Generalised Anxiety Disorder – 7 (GAD-7)</w:t>
            </w:r>
          </w:p>
        </w:tc>
        <w:tc>
          <w:tcPr>
            <w:tcW w:type="dxa" w:w="4320"/>
          </w:tcPr>
          <w:p>
            <w:r/>
            <w:r>
              <w:rPr>
                <w:rFonts w:ascii="Times New Roman" w:hAnsi="Times New Roman"/>
                <w:sz w:val="20"/>
              </w:rPr>
              <w:t>Công cụ sàng lọc ngắn để sàng lọc triệu chứng lo âu của phụ huynh.</w:t>
            </w:r>
          </w:p>
        </w:tc>
      </w:tr>
      <w:tr>
        <w:tc>
          <w:tcPr>
            <w:tcW w:type="dxa" w:w="4320"/>
          </w:tcPr>
          <w:p>
            <w:r/>
            <w:r>
              <w:rPr>
                <w:rFonts w:ascii="Times New Roman" w:hAnsi="Times New Roman"/>
                <w:sz w:val="20"/>
              </w:rPr>
              <w:t>DISC-5: Introductory module</w:t>
            </w:r>
          </w:p>
        </w:tc>
        <w:tc>
          <w:tcPr>
            <w:tcW w:type="dxa" w:w="4320"/>
          </w:tcPr>
          <w:p>
            <w:r/>
            <w:r>
              <w:rPr>
                <w:rFonts w:ascii="Times New Roman" w:hAnsi="Times New Roman"/>
                <w:sz w:val="20"/>
              </w:rPr>
              <w:t>Thiết lập dòng thời gian các sự kiện đáng kể trong 12 tháng qua để hỗ trợ người tham gia nhớ lại, và hướng dẫn cách trả lời các câu hỏi trong các module DISC-5.</w:t>
            </w:r>
          </w:p>
        </w:tc>
      </w:tr>
      <w:tr>
        <w:tc>
          <w:tcPr>
            <w:tcW w:type="dxa" w:w="4320"/>
          </w:tcPr>
          <w:p>
            <w:r/>
            <w:r>
              <w:rPr>
                <w:rFonts w:ascii="Times New Roman" w:hAnsi="Times New Roman"/>
                <w:sz w:val="20"/>
              </w:rPr>
              <w:t>DISC-5: ADHD</w:t>
            </w:r>
          </w:p>
        </w:tc>
        <w:tc>
          <w:tcPr>
            <w:tcW w:type="dxa" w:w="4320"/>
          </w:tcPr>
          <w:p>
            <w:r/>
            <w:r>
              <w:rPr>
                <w:rFonts w:ascii="Times New Roman" w:hAnsi="Times New Roman"/>
                <w:sz w:val="20"/>
              </w:rPr>
              <w:t>Đo tỷ lệ ADHD trong 12 tháng qua.</w:t>
            </w:r>
          </w:p>
        </w:tc>
      </w:tr>
      <w:tr>
        <w:tc>
          <w:tcPr>
            <w:tcW w:type="dxa" w:w="4320"/>
          </w:tcPr>
          <w:p>
            <w:r/>
            <w:r>
              <w:rPr>
                <w:rFonts w:ascii="Times New Roman" w:hAnsi="Times New Roman"/>
                <w:sz w:val="20"/>
              </w:rPr>
              <w:t>Service use (Sử dụng dịch vụ)</w:t>
            </w:r>
          </w:p>
        </w:tc>
        <w:tc>
          <w:tcPr>
            <w:tcW w:type="dxa" w:w="4320"/>
          </w:tcPr>
          <w:p>
            <w:r/>
            <w:r>
              <w:rPr>
                <w:rFonts w:ascii="Times New Roman" w:hAnsi="Times New Roman"/>
                <w:sz w:val="20"/>
              </w:rPr>
              <w:t>Thu thập thông tin từ phụ huynh về sử dụng dịch vụ, rào cản chăm sóc và nhu cầu được cảm nhận liên quan đến vị thành niên.</w:t>
            </w:r>
          </w:p>
        </w:tc>
      </w:tr>
      <w:tr>
        <w:tc>
          <w:tcPr>
            <w:tcW w:type="dxa" w:w="4320"/>
          </w:tcPr>
          <w:p>
            <w:r/>
            <w:r>
              <w:rPr>
                <w:rFonts w:ascii="Times New Roman" w:hAnsi="Times New Roman"/>
                <w:sz w:val="20"/>
              </w:rPr>
              <w:t>COVID-19</w:t>
            </w:r>
          </w:p>
        </w:tc>
        <w:tc>
          <w:tcPr>
            <w:tcW w:type="dxa" w:w="4320"/>
          </w:tcPr>
          <w:p>
            <w:r/>
            <w:r>
              <w:rPr>
                <w:rFonts w:ascii="Times New Roman" w:hAnsi="Times New Roman"/>
                <w:sz w:val="20"/>
              </w:rPr>
              <w:t>Đo tiếp xúc trực tiếp với COVID-19, kỳ thị, tác động kinh tế lên hộ gia đình, sử dụng chất của phụ huynh, và sử dụng dịch vụ của vị thành niên trong đại dịch COVID-19.</w:t>
            </w:r>
          </w:p>
        </w:tc>
      </w:tr>
    </w:tbl>
    <w:p>
      <w:pPr>
        <w:jc w:val="center"/>
      </w:pPr>
      <w:r>
        <w:rPr>
          <w:rFonts w:ascii="Times New Roman" w:hAnsi="Times New Roman"/>
          <w:i/>
          <w:color w:val="FF6600"/>
          <w:sz w:val="18"/>
        </w:rPr>
        <w:t>--- Trang 37, V-NAMHS, UNICEF/IOS 2022 ---</w:t>
      </w:r>
    </w:p>
    <w:p>
      <w:r>
        <w:rPr>
          <w:rFonts w:ascii="Times New Roman" w:hAnsi="Times New Roman"/>
          <w:b/>
          <w:color w:val="2E548B"/>
          <w:sz w:val="24"/>
        </w:rPr>
        <w:t>Vị thành niên (Adolescent)</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Công cụ</w:t>
            </w:r>
          </w:p>
        </w:tc>
        <w:tc>
          <w:tcPr>
            <w:tcW w:type="dxa" w:w="4320"/>
            <w:shd w:fill="D9E1F2"/>
          </w:tcPr>
          <w:p>
            <w:r/>
            <w:r>
              <w:rPr>
                <w:rFonts w:ascii="Times New Roman" w:hAnsi="Times New Roman"/>
                <w:b/>
                <w:sz w:val="20"/>
              </w:rPr>
              <w:t>Mô tả</w:t>
            </w:r>
          </w:p>
        </w:tc>
      </w:tr>
      <w:tr>
        <w:tc>
          <w:tcPr>
            <w:tcW w:type="dxa" w:w="4320"/>
          </w:tcPr>
          <w:p>
            <w:r/>
            <w:r>
              <w:rPr>
                <w:rFonts w:ascii="Times New Roman" w:hAnsi="Times New Roman"/>
                <w:sz w:val="20"/>
              </w:rPr>
              <w:t>DISC-5: Introductory module</w:t>
            </w:r>
          </w:p>
        </w:tc>
        <w:tc>
          <w:tcPr>
            <w:tcW w:type="dxa" w:w="4320"/>
          </w:tcPr>
          <w:p>
            <w:r/>
            <w:r>
              <w:rPr>
                <w:rFonts w:ascii="Times New Roman" w:hAnsi="Times New Roman"/>
                <w:sz w:val="20"/>
              </w:rPr>
              <w:t>Thiết lập dòng thời gian các sự kiện đáng kể trong 12 tháng qua để hỗ trợ người tham gia nhớ lại, và hướng dẫn cách trả lời các câu hỏi trong các module DISC-5.</w:t>
            </w:r>
          </w:p>
        </w:tc>
      </w:tr>
      <w:tr>
        <w:tc>
          <w:tcPr>
            <w:tcW w:type="dxa" w:w="4320"/>
          </w:tcPr>
          <w:p>
            <w:r/>
            <w:r>
              <w:rPr>
                <w:rFonts w:ascii="Times New Roman" w:hAnsi="Times New Roman"/>
                <w:sz w:val="20"/>
              </w:rPr>
              <w:t>DISC-5: Social phobia (Ám ảnh xã hội)</w:t>
            </w:r>
          </w:p>
        </w:tc>
        <w:tc>
          <w:tcPr>
            <w:tcW w:type="dxa" w:w="4320"/>
          </w:tcPr>
          <w:p>
            <w:r/>
            <w:r>
              <w:rPr>
                <w:rFonts w:ascii="Times New Roman" w:hAnsi="Times New Roman"/>
                <w:sz w:val="20"/>
              </w:rPr>
              <w:t>Đo tỷ lệ ám ảnh xã hội trong 12 tháng qua.</w:t>
            </w:r>
          </w:p>
        </w:tc>
      </w:tr>
      <w:tr>
        <w:tc>
          <w:tcPr>
            <w:tcW w:type="dxa" w:w="4320"/>
          </w:tcPr>
          <w:p>
            <w:r/>
            <w:r>
              <w:rPr>
                <w:rFonts w:ascii="Times New Roman" w:hAnsi="Times New Roman"/>
                <w:sz w:val="20"/>
              </w:rPr>
              <w:t>DISC-5: Generalised anxiety disorder (Lo âu tổng quát)</w:t>
            </w:r>
          </w:p>
        </w:tc>
        <w:tc>
          <w:tcPr>
            <w:tcW w:type="dxa" w:w="4320"/>
          </w:tcPr>
          <w:p>
            <w:r/>
            <w:r>
              <w:rPr>
                <w:rFonts w:ascii="Times New Roman" w:hAnsi="Times New Roman"/>
                <w:sz w:val="20"/>
              </w:rPr>
              <w:t>Đo tỷ lệ rối loạn lo âu tổng quát trong 12 tháng qua.</w:t>
            </w:r>
          </w:p>
        </w:tc>
      </w:tr>
      <w:tr>
        <w:tc>
          <w:tcPr>
            <w:tcW w:type="dxa" w:w="4320"/>
          </w:tcPr>
          <w:p>
            <w:r/>
            <w:r>
              <w:rPr>
                <w:rFonts w:ascii="Times New Roman" w:hAnsi="Times New Roman"/>
                <w:sz w:val="20"/>
              </w:rPr>
              <w:t>DISC-5: Major depressive disorder (Trầm cảm nặng)</w:t>
            </w:r>
          </w:p>
        </w:tc>
        <w:tc>
          <w:tcPr>
            <w:tcW w:type="dxa" w:w="4320"/>
          </w:tcPr>
          <w:p>
            <w:r/>
            <w:r>
              <w:rPr>
                <w:rFonts w:ascii="Times New Roman" w:hAnsi="Times New Roman"/>
                <w:sz w:val="20"/>
              </w:rPr>
              <w:t>Đo tỷ lệ rối loạn trầm cảm nặng trong 12 tháng qua. Bao gồm các câu hỏi về hành vi tự sát, được hỏi tất cả vị thành niên.</w:t>
            </w:r>
          </w:p>
        </w:tc>
      </w:tr>
      <w:tr>
        <w:tc>
          <w:tcPr>
            <w:tcW w:type="dxa" w:w="4320"/>
          </w:tcPr>
          <w:p>
            <w:r/>
            <w:r>
              <w:rPr>
                <w:rFonts w:ascii="Times New Roman" w:hAnsi="Times New Roman"/>
                <w:sz w:val="20"/>
              </w:rPr>
              <w:t>Self-harm (Tự làm hại bản thân)</w:t>
            </w:r>
          </w:p>
        </w:tc>
        <w:tc>
          <w:tcPr>
            <w:tcW w:type="dxa" w:w="4320"/>
          </w:tcPr>
          <w:p>
            <w:r/>
            <w:r>
              <w:rPr>
                <w:rFonts w:ascii="Times New Roman" w:hAnsi="Times New Roman"/>
                <w:sz w:val="20"/>
              </w:rPr>
              <w:t>Đo tỷ lệ, tuổi khởi phát, và gần đây nhất của tự làm hại bản thân.</w:t>
            </w:r>
          </w:p>
        </w:tc>
      </w:tr>
      <w:tr>
        <w:tc>
          <w:tcPr>
            <w:tcW w:type="dxa" w:w="4320"/>
          </w:tcPr>
          <w:p>
            <w:r/>
            <w:r>
              <w:rPr>
                <w:rFonts w:ascii="Times New Roman" w:hAnsi="Times New Roman"/>
                <w:sz w:val="20"/>
              </w:rPr>
              <w:t>DISC-5: Conduct disorder (Rối loạn hành vi)</w:t>
            </w:r>
          </w:p>
        </w:tc>
        <w:tc>
          <w:tcPr>
            <w:tcW w:type="dxa" w:w="4320"/>
          </w:tcPr>
          <w:p>
            <w:r/>
            <w:r>
              <w:rPr>
                <w:rFonts w:ascii="Times New Roman" w:hAnsi="Times New Roman"/>
                <w:sz w:val="20"/>
              </w:rPr>
              <w:t>Đo tỷ lệ rối loạn hành vi trong 12 tháng qua.</w:t>
            </w:r>
          </w:p>
        </w:tc>
      </w:tr>
      <w:tr>
        <w:tc>
          <w:tcPr>
            <w:tcW w:type="dxa" w:w="4320"/>
          </w:tcPr>
          <w:p>
            <w:r/>
            <w:r>
              <w:rPr>
                <w:rFonts w:ascii="Times New Roman" w:hAnsi="Times New Roman"/>
                <w:sz w:val="20"/>
              </w:rPr>
              <w:t>DISC-5: PTSD</w:t>
            </w:r>
          </w:p>
        </w:tc>
        <w:tc>
          <w:tcPr>
            <w:tcW w:type="dxa" w:w="4320"/>
          </w:tcPr>
          <w:p>
            <w:r/>
            <w:r>
              <w:rPr>
                <w:rFonts w:ascii="Times New Roman" w:hAnsi="Times New Roman"/>
                <w:sz w:val="20"/>
              </w:rPr>
              <w:t>Đo tỷ lệ PTSD trong 12 tháng qua.</w:t>
            </w:r>
          </w:p>
        </w:tc>
      </w:tr>
      <w:tr>
        <w:tc>
          <w:tcPr>
            <w:tcW w:type="dxa" w:w="4320"/>
          </w:tcPr>
          <w:p>
            <w:r/>
            <w:r>
              <w:rPr>
                <w:rFonts w:ascii="Times New Roman" w:hAnsi="Times New Roman"/>
                <w:sz w:val="20"/>
              </w:rPr>
              <w:t>Informal help and self-help strategies</w:t>
            </w:r>
          </w:p>
        </w:tc>
        <w:tc>
          <w:tcPr>
            <w:tcW w:type="dxa" w:w="4320"/>
          </w:tcPr>
          <w:p>
            <w:r/>
            <w:r>
              <w:rPr>
                <w:rFonts w:ascii="Times New Roman" w:hAnsi="Times New Roman"/>
                <w:sz w:val="20"/>
              </w:rPr>
              <w:t>Thu thập thông tin về hỗ trợ phi chính thức và chiến lược tự giúp.</w:t>
            </w:r>
          </w:p>
        </w:tc>
      </w:tr>
      <w:tr>
        <w:tc>
          <w:tcPr>
            <w:tcW w:type="dxa" w:w="4320"/>
          </w:tcPr>
          <w:p>
            <w:r/>
            <w:r>
              <w:rPr>
                <w:rFonts w:ascii="Times New Roman" w:hAnsi="Times New Roman"/>
                <w:sz w:val="20"/>
              </w:rPr>
              <w:t>Self-rated health and body image</w:t>
            </w:r>
          </w:p>
        </w:tc>
        <w:tc>
          <w:tcPr>
            <w:tcW w:type="dxa" w:w="4320"/>
          </w:tcPr>
          <w:p>
            <w:r/>
            <w:r>
              <w:rPr>
                <w:rFonts w:ascii="Times New Roman" w:hAnsi="Times New Roman"/>
                <w:sz w:val="20"/>
              </w:rPr>
              <w:t>Đo sức khoẻ tự đánh giá và hình ảnh cơ thể của vị thành niên.</w:t>
            </w:r>
          </w:p>
        </w:tc>
      </w:tr>
      <w:tr>
        <w:tc>
          <w:tcPr>
            <w:tcW w:type="dxa" w:w="4320"/>
          </w:tcPr>
          <w:p>
            <w:r/>
            <w:r>
              <w:rPr>
                <w:rFonts w:ascii="Times New Roman" w:hAnsi="Times New Roman"/>
                <w:sz w:val="20"/>
              </w:rPr>
              <w:t>Physical activity</w:t>
            </w:r>
          </w:p>
        </w:tc>
        <w:tc>
          <w:tcPr>
            <w:tcW w:type="dxa" w:w="4320"/>
          </w:tcPr>
          <w:p>
            <w:r/>
            <w:r>
              <w:rPr>
                <w:rFonts w:ascii="Times New Roman" w:hAnsi="Times New Roman"/>
                <w:sz w:val="20"/>
              </w:rPr>
              <w:t>Đo hoạt động thể chất của vị thành niên.</w:t>
            </w:r>
          </w:p>
        </w:tc>
      </w:tr>
      <w:tr>
        <w:tc>
          <w:tcPr>
            <w:tcW w:type="dxa" w:w="4320"/>
          </w:tcPr>
          <w:p>
            <w:r/>
            <w:r>
              <w:rPr>
                <w:rFonts w:ascii="Times New Roman" w:hAnsi="Times New Roman"/>
                <w:sz w:val="20"/>
              </w:rPr>
              <w:t>Rosenberg Self-Esteem Scale</w:t>
            </w:r>
          </w:p>
        </w:tc>
        <w:tc>
          <w:tcPr>
            <w:tcW w:type="dxa" w:w="4320"/>
          </w:tcPr>
          <w:p>
            <w:r/>
            <w:r>
              <w:rPr>
                <w:rFonts w:ascii="Times New Roman" w:hAnsi="Times New Roman"/>
                <w:sz w:val="20"/>
              </w:rPr>
              <w:t>Thang đo chuẩn ngắn về tự trọng (self-esteem).</w:t>
            </w:r>
          </w:p>
        </w:tc>
      </w:tr>
      <w:tr>
        <w:tc>
          <w:tcPr>
            <w:tcW w:type="dxa" w:w="4320"/>
          </w:tcPr>
          <w:p>
            <w:r/>
            <w:r>
              <w:rPr>
                <w:rFonts w:ascii="Times New Roman" w:hAnsi="Times New Roman"/>
                <w:sz w:val="20"/>
              </w:rPr>
              <w:t>Bullying</w:t>
            </w:r>
          </w:p>
        </w:tc>
        <w:tc>
          <w:tcPr>
            <w:tcW w:type="dxa" w:w="4320"/>
          </w:tcPr>
          <w:p>
            <w:r/>
            <w:r>
              <w:rPr>
                <w:rFonts w:ascii="Times New Roman" w:hAnsi="Times New Roman"/>
                <w:sz w:val="20"/>
              </w:rPr>
              <w:t>Đo tần suất bị bắt nạt và bắt nạt người khác, gồm cả phương thức bắt nạt.</w:t>
            </w:r>
          </w:p>
        </w:tc>
      </w:tr>
      <w:tr>
        <w:tc>
          <w:tcPr>
            <w:tcW w:type="dxa" w:w="4320"/>
          </w:tcPr>
          <w:p>
            <w:r/>
            <w:r>
              <w:rPr>
                <w:rFonts w:ascii="Times New Roman" w:hAnsi="Times New Roman"/>
                <w:sz w:val="20"/>
              </w:rPr>
              <w:t>School and education</w:t>
            </w:r>
          </w:p>
        </w:tc>
        <w:tc>
          <w:tcPr>
            <w:tcW w:type="dxa" w:w="4320"/>
          </w:tcPr>
          <w:p>
            <w:r/>
            <w:r>
              <w:rPr>
                <w:rFonts w:ascii="Times New Roman" w:hAnsi="Times New Roman"/>
                <w:sz w:val="20"/>
              </w:rPr>
              <w:t>Đo khát vọng học vấn (hiện tại và trong quá khứ tuỳ vào tình trạng học hiện tại), kỳ vọng và áp lực.</w:t>
            </w:r>
          </w:p>
        </w:tc>
      </w:tr>
      <w:tr>
        <w:tc>
          <w:tcPr>
            <w:tcW w:type="dxa" w:w="4320"/>
          </w:tcPr>
          <w:p>
            <w:r/>
            <w:r>
              <w:rPr>
                <w:rFonts w:ascii="Times New Roman" w:hAnsi="Times New Roman"/>
                <w:sz w:val="20"/>
              </w:rPr>
              <w:t>Peer relationships and loneliness</w:t>
            </w:r>
          </w:p>
        </w:tc>
        <w:tc>
          <w:tcPr>
            <w:tcW w:type="dxa" w:w="4320"/>
          </w:tcPr>
          <w:p>
            <w:r/>
            <w:r>
              <w:rPr>
                <w:rFonts w:ascii="Times New Roman" w:hAnsi="Times New Roman"/>
                <w:sz w:val="20"/>
              </w:rPr>
              <w:t>Thu thập thông tin về tình bạn của vị thành niên (gồm peer deviance) và sự cô đơn.</w:t>
            </w:r>
          </w:p>
        </w:tc>
      </w:tr>
      <w:tr>
        <w:tc>
          <w:tcPr>
            <w:tcW w:type="dxa" w:w="4320"/>
          </w:tcPr>
          <w:p>
            <w:r/>
            <w:r>
              <w:rPr>
                <w:rFonts w:ascii="Times New Roman" w:hAnsi="Times New Roman"/>
                <w:sz w:val="20"/>
              </w:rPr>
              <w:t>GEAS Family Connectedness</w:t>
            </w:r>
          </w:p>
        </w:tc>
        <w:tc>
          <w:tcPr>
            <w:tcW w:type="dxa" w:w="4320"/>
          </w:tcPr>
          <w:p>
            <w:r/>
            <w:r>
              <w:rPr>
                <w:rFonts w:ascii="Times New Roman" w:hAnsi="Times New Roman"/>
                <w:sz w:val="20"/>
              </w:rPr>
              <w:t>Thu thập thông tin về quan hệ của vị thành niên với phụ huynh.</w:t>
            </w:r>
          </w:p>
        </w:tc>
      </w:tr>
      <w:tr>
        <w:tc>
          <w:tcPr>
            <w:tcW w:type="dxa" w:w="4320"/>
          </w:tcPr>
          <w:p>
            <w:r/>
            <w:r>
              <w:rPr>
                <w:rFonts w:ascii="Times New Roman" w:hAnsi="Times New Roman"/>
                <w:sz w:val="20"/>
              </w:rPr>
              <w:t>Religiosity</w:t>
            </w:r>
          </w:p>
        </w:tc>
        <w:tc>
          <w:tcPr>
            <w:tcW w:type="dxa" w:w="4320"/>
          </w:tcPr>
          <w:p>
            <w:r/>
            <w:r>
              <w:rPr>
                <w:rFonts w:ascii="Times New Roman" w:hAnsi="Times New Roman"/>
                <w:sz w:val="20"/>
              </w:rPr>
              <w:t>Đo hỗ trợ được cảm nhận từ cộng đồng tín ngưỡng.</w:t>
            </w:r>
          </w:p>
        </w:tc>
      </w:tr>
      <w:tr>
        <w:tc>
          <w:tcPr>
            <w:tcW w:type="dxa" w:w="4320"/>
          </w:tcPr>
          <w:p>
            <w:r/>
            <w:r>
              <w:rPr>
                <w:rFonts w:ascii="Times New Roman" w:hAnsi="Times New Roman"/>
                <w:sz w:val="20"/>
              </w:rPr>
              <w:t>Safety and security</w:t>
            </w:r>
          </w:p>
        </w:tc>
        <w:tc>
          <w:tcPr>
            <w:tcW w:type="dxa" w:w="4320"/>
          </w:tcPr>
          <w:p>
            <w:r/>
            <w:r>
              <w:rPr>
                <w:rFonts w:ascii="Times New Roman" w:hAnsi="Times New Roman"/>
                <w:sz w:val="20"/>
              </w:rPr>
              <w:t>Đo sự an toàn cá nhân được cảm nhận trong các bối cảnh khác nhau ví dụ nhà, trường, hàng xóm.</w:t>
            </w:r>
          </w:p>
        </w:tc>
      </w:tr>
      <w:tr>
        <w:tc>
          <w:tcPr>
            <w:tcW w:type="dxa" w:w="4320"/>
          </w:tcPr>
          <w:p>
            <w:r/>
            <w:r>
              <w:rPr>
                <w:rFonts w:ascii="Times New Roman" w:hAnsi="Times New Roman"/>
                <w:sz w:val="20"/>
              </w:rPr>
              <w:t>Sexual behaviour *</w:t>
            </w:r>
          </w:p>
        </w:tc>
        <w:tc>
          <w:tcPr>
            <w:tcW w:type="dxa" w:w="4320"/>
          </w:tcPr>
          <w:p>
            <w:r/>
            <w:r>
              <w:rPr>
                <w:rFonts w:ascii="Times New Roman" w:hAnsi="Times New Roman"/>
                <w:sz w:val="20"/>
              </w:rPr>
              <w:t>Thu thập thông tin về hành vi tình dục của vị thành niên, tính dục, và bản dạng giới. Chỉ hỏi VTN 12–17 tuổi.</w:t>
            </w:r>
          </w:p>
        </w:tc>
      </w:tr>
      <w:tr>
        <w:tc>
          <w:tcPr>
            <w:tcW w:type="dxa" w:w="4320"/>
          </w:tcPr>
          <w:p>
            <w:r/>
            <w:r>
              <w:rPr>
                <w:rFonts w:ascii="Times New Roman" w:hAnsi="Times New Roman"/>
                <w:sz w:val="20"/>
              </w:rPr>
              <w:t>Adverse Childhood Experiences (ACEs) questionnaire *</w:t>
            </w:r>
          </w:p>
        </w:tc>
        <w:tc>
          <w:tcPr>
            <w:tcW w:type="dxa" w:w="4320"/>
          </w:tcPr>
          <w:p>
            <w:r/>
            <w:r>
              <w:rPr>
                <w:rFonts w:ascii="Times New Roman" w:hAnsi="Times New Roman"/>
                <w:sz w:val="20"/>
              </w:rPr>
              <w:t>Đo mức độ tiếp xúc suốt đời với nhiều loại lạm dụng, bỏ rơi, bạo lực giữa bố mẹ/người chăm sóc, các loại rối loạn chức năng hộ gia đình nghiêm trọng khác, và bạo lực.</w:t>
            </w:r>
          </w:p>
        </w:tc>
      </w:tr>
      <w:tr>
        <w:tc>
          <w:tcPr>
            <w:tcW w:type="dxa" w:w="4320"/>
          </w:tcPr>
          <w:p>
            <w:r/>
            <w:r>
              <w:rPr>
                <w:rFonts w:ascii="Times New Roman" w:hAnsi="Times New Roman"/>
                <w:sz w:val="20"/>
              </w:rPr>
              <w:t>Substance use *</w:t>
            </w:r>
          </w:p>
        </w:tc>
        <w:tc>
          <w:tcPr>
            <w:tcW w:type="dxa" w:w="4320"/>
          </w:tcPr>
          <w:p>
            <w:r/>
            <w:r>
              <w:rPr>
                <w:rFonts w:ascii="Times New Roman" w:hAnsi="Times New Roman"/>
                <w:sz w:val="20"/>
              </w:rPr>
              <w:t>Đo sử dụng thuốc lá, rượu, cần sa và các chất ma tuý bất hợp pháp khác.</w:t>
            </w:r>
          </w:p>
        </w:tc>
      </w:tr>
      <w:tr>
        <w:tc>
          <w:tcPr>
            <w:tcW w:type="dxa" w:w="4320"/>
          </w:tcPr>
          <w:p>
            <w:r/>
            <w:r>
              <w:rPr>
                <w:rFonts w:ascii="Times New Roman" w:hAnsi="Times New Roman"/>
                <w:sz w:val="20"/>
              </w:rPr>
              <w:t>COVID-19</w:t>
            </w:r>
          </w:p>
        </w:tc>
        <w:tc>
          <w:tcPr>
            <w:tcW w:type="dxa" w:w="4320"/>
          </w:tcPr>
          <w:p>
            <w:r/>
            <w:r>
              <w:rPr>
                <w:rFonts w:ascii="Times New Roman" w:hAnsi="Times New Roman"/>
                <w:sz w:val="20"/>
              </w:rPr>
              <w:t>Đo tiếp xúc trực tiếp với COVID-19, tác động giáo dục, nghịch cảnh hộ gia đình/cá nhân, và vấn đề cảm xúc và hành vi trong đại dịch COVID-19.</w:t>
            </w:r>
          </w:p>
        </w:tc>
      </w:tr>
    </w:tbl>
    <w:p>
      <w:r>
        <w:rPr>
          <w:rFonts w:ascii="Times New Roman" w:hAnsi="Times New Roman"/>
          <w:i/>
          <w:color w:val="808080"/>
          <w:sz w:val="18"/>
        </w:rPr>
        <w:t>* Các module này được vị thành niên tự trả lời (self-administered).</w:t>
      </w:r>
    </w:p>
    <w:p>
      <w:pPr>
        <w:jc w:val="center"/>
      </w:pPr>
      <w:r>
        <w:rPr>
          <w:rFonts w:ascii="Times New Roman" w:hAnsi="Times New Roman"/>
          <w:i/>
          <w:color w:val="FF6600"/>
          <w:sz w:val="18"/>
        </w:rPr>
        <w:t>--- Trang 38, V-NAMHS, UNICEF/IOS 2022 ---</w:t>
      </w:r>
    </w:p>
    <w:p>
      <w:r>
        <w:rPr>
          <w:rFonts w:ascii="Times New Roman" w:hAnsi="Times New Roman"/>
          <w:b/>
          <w:color w:val="1F3A68"/>
          <w:sz w:val="28"/>
        </w:rPr>
        <w:t>PHỤ LỤC 2: Phương pháp (Appendix 2: Methodology)</w:t>
      </w:r>
    </w:p>
    <w:p>
      <w:r>
        <w:rPr>
          <w:rFonts w:ascii="Times New Roman" w:hAnsi="Times New Roman"/>
          <w:b/>
          <w:color w:val="2E548B"/>
          <w:sz w:val="24"/>
        </w:rPr>
        <w:t>Khung mẫu (Sampling frame)</w:t>
      </w:r>
    </w:p>
    <w:p>
      <w:r>
        <w:rPr>
          <w:rFonts w:ascii="Times New Roman" w:hAnsi="Times New Roman"/>
        </w:rPr>
        <w:t>Mục tiêu chính của khung mẫu V-NAMHS là cung cấp ước tính thống kê đáng tin cậy về tỷ lệ rối loạn tâm thần ở vị thành niên. Mẫu mang tính đại diện quốc gia, bao gồm khu vực đô thị và nông thôn.</w:t>
      </w:r>
    </w:p>
    <w:p>
      <w:r>
        <w:rPr>
          <w:rFonts w:ascii="Times New Roman" w:hAnsi="Times New Roman"/>
        </w:rPr>
        <w:t>Khung mẫu V-NAMHS bao gồm cả 63 tỉnh/thành phố, gồm 713 huyện, được chia thành 4 vùng (Trung du miền núi phía Bắc và Tây Nguyên; Đồng bằng sông Hồng; Bắc Trung Bộ và Duyên hải miền Trung; Đông Nam Bộ và Đồng bằng sông Cửu Long).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1F2"/>
          </w:tcPr>
          <w:p>
            <w:r/>
            <w:r>
              <w:rPr>
                <w:rFonts w:ascii="Times New Roman" w:hAnsi="Times New Roman"/>
                <w:b/>
                <w:sz w:val="20"/>
              </w:rPr>
              <w:t>Vùng</w:t>
            </w:r>
          </w:p>
        </w:tc>
        <w:tc>
          <w:tcPr>
            <w:tcW w:type="dxa" w:w="1728"/>
            <w:shd w:fill="D9E1F2"/>
          </w:tcPr>
          <w:p>
            <w:r/>
            <w:r>
              <w:rPr>
                <w:rFonts w:ascii="Times New Roman" w:hAnsi="Times New Roman"/>
                <w:b/>
                <w:sz w:val="20"/>
              </w:rPr>
              <w:t>Dân số (người)</w:t>
            </w:r>
          </w:p>
        </w:tc>
        <w:tc>
          <w:tcPr>
            <w:tcW w:type="dxa" w:w="1728"/>
            <w:shd w:fill="D9E1F2"/>
          </w:tcPr>
          <w:p>
            <w:r/>
            <w:r>
              <w:rPr>
                <w:rFonts w:ascii="Times New Roman" w:hAnsi="Times New Roman"/>
                <w:b/>
                <w:sz w:val="20"/>
              </w:rPr>
              <w:t>% tổng DS</w:t>
            </w:r>
          </w:p>
        </w:tc>
        <w:tc>
          <w:tcPr>
            <w:tcW w:type="dxa" w:w="1728"/>
            <w:shd w:fill="D9E1F2"/>
          </w:tcPr>
          <w:p>
            <w:r/>
            <w:r>
              <w:rPr>
                <w:rFonts w:ascii="Times New Roman" w:hAnsi="Times New Roman"/>
                <w:b/>
                <w:sz w:val="20"/>
              </w:rPr>
              <w:t>Đô thị (người)</w:t>
            </w:r>
          </w:p>
        </w:tc>
        <w:tc>
          <w:tcPr>
            <w:tcW w:type="dxa" w:w="1728"/>
            <w:shd w:fill="D9E1F2"/>
          </w:tcPr>
          <w:p>
            <w:r/>
            <w:r>
              <w:rPr>
                <w:rFonts w:ascii="Times New Roman" w:hAnsi="Times New Roman"/>
                <w:b/>
                <w:sz w:val="20"/>
              </w:rPr>
              <w:t>% đô thị của vùng</w:t>
            </w:r>
          </w:p>
        </w:tc>
      </w:tr>
      <w:tr>
        <w:tc>
          <w:tcPr>
            <w:tcW w:type="dxa" w:w="1728"/>
          </w:tcPr>
          <w:p>
            <w:r/>
            <w:r>
              <w:rPr>
                <w:rFonts w:ascii="Times New Roman" w:hAnsi="Times New Roman"/>
                <w:sz w:val="20"/>
              </w:rPr>
              <w:t>Vùng 1: Trung du miền núi phía Bắc + Tây Nguyên</w:t>
            </w:r>
          </w:p>
        </w:tc>
        <w:tc>
          <w:tcPr>
            <w:tcW w:type="dxa" w:w="1728"/>
          </w:tcPr>
          <w:p>
            <w:r/>
            <w:r>
              <w:rPr>
                <w:rFonts w:ascii="Times New Roman" w:hAnsi="Times New Roman"/>
                <w:sz w:val="20"/>
              </w:rPr>
              <w:t>18.375.547</w:t>
            </w:r>
          </w:p>
        </w:tc>
        <w:tc>
          <w:tcPr>
            <w:tcW w:type="dxa" w:w="1728"/>
          </w:tcPr>
          <w:p>
            <w:r/>
            <w:r>
              <w:rPr>
                <w:rFonts w:ascii="Times New Roman" w:hAnsi="Times New Roman"/>
                <w:sz w:val="20"/>
              </w:rPr>
              <w:t>19,1</w:t>
            </w:r>
          </w:p>
        </w:tc>
        <w:tc>
          <w:tcPr>
            <w:tcW w:type="dxa" w:w="1728"/>
          </w:tcPr>
          <w:p>
            <w:r/>
            <w:r>
              <w:rPr>
                <w:rFonts w:ascii="Times New Roman" w:hAnsi="Times New Roman"/>
                <w:sz w:val="20"/>
              </w:rPr>
              <w:t>3.957.095</w:t>
            </w:r>
          </w:p>
        </w:tc>
        <w:tc>
          <w:tcPr>
            <w:tcW w:type="dxa" w:w="1728"/>
          </w:tcPr>
          <w:p>
            <w:r/>
            <w:r>
              <w:rPr>
                <w:rFonts w:ascii="Times New Roman" w:hAnsi="Times New Roman"/>
                <w:sz w:val="20"/>
              </w:rPr>
              <w:t>21,5</w:t>
            </w:r>
          </w:p>
        </w:tc>
      </w:tr>
      <w:tr>
        <w:tc>
          <w:tcPr>
            <w:tcW w:type="dxa" w:w="1728"/>
          </w:tcPr>
          <w:p>
            <w:r/>
            <w:r>
              <w:rPr>
                <w:rFonts w:ascii="Times New Roman" w:hAnsi="Times New Roman"/>
                <w:sz w:val="20"/>
              </w:rPr>
              <w:t>Vùng 2: Đồng bằng sông Hồng</w:t>
            </w:r>
          </w:p>
        </w:tc>
        <w:tc>
          <w:tcPr>
            <w:tcW w:type="dxa" w:w="1728"/>
          </w:tcPr>
          <w:p>
            <w:r/>
            <w:r>
              <w:rPr>
                <w:rFonts w:ascii="Times New Roman" w:hAnsi="Times New Roman"/>
                <w:sz w:val="20"/>
              </w:rPr>
              <w:t>22.543.607</w:t>
            </w:r>
          </w:p>
        </w:tc>
        <w:tc>
          <w:tcPr>
            <w:tcW w:type="dxa" w:w="1728"/>
          </w:tcPr>
          <w:p>
            <w:r/>
            <w:r>
              <w:rPr>
                <w:rFonts w:ascii="Times New Roman" w:hAnsi="Times New Roman"/>
                <w:sz w:val="20"/>
              </w:rPr>
              <w:t>23,4</w:t>
            </w:r>
          </w:p>
        </w:tc>
        <w:tc>
          <w:tcPr>
            <w:tcW w:type="dxa" w:w="1728"/>
          </w:tcPr>
          <w:p>
            <w:r/>
            <w:r>
              <w:rPr>
                <w:rFonts w:ascii="Times New Roman" w:hAnsi="Times New Roman"/>
                <w:sz w:val="20"/>
              </w:rPr>
              <w:t>7.856.566</w:t>
            </w:r>
          </w:p>
        </w:tc>
        <w:tc>
          <w:tcPr>
            <w:tcW w:type="dxa" w:w="1728"/>
          </w:tcPr>
          <w:p>
            <w:r/>
            <w:r>
              <w:rPr>
                <w:rFonts w:ascii="Times New Roman" w:hAnsi="Times New Roman"/>
                <w:sz w:val="20"/>
              </w:rPr>
              <w:t>34,9</w:t>
            </w:r>
          </w:p>
        </w:tc>
      </w:tr>
      <w:tr>
        <w:tc>
          <w:tcPr>
            <w:tcW w:type="dxa" w:w="1728"/>
          </w:tcPr>
          <w:p>
            <w:r/>
            <w:r>
              <w:rPr>
                <w:rFonts w:ascii="Times New Roman" w:hAnsi="Times New Roman"/>
                <w:sz w:val="20"/>
              </w:rPr>
              <w:t>Vùng 3: Bắc Trung Bộ + Duyên hải miền Trung</w:t>
            </w:r>
          </w:p>
        </w:tc>
        <w:tc>
          <w:tcPr>
            <w:tcW w:type="dxa" w:w="1728"/>
          </w:tcPr>
          <w:p>
            <w:r/>
            <w:r>
              <w:rPr>
                <w:rFonts w:ascii="Times New Roman" w:hAnsi="Times New Roman"/>
                <w:sz w:val="20"/>
              </w:rPr>
              <w:t>20.187.293</w:t>
            </w:r>
          </w:p>
        </w:tc>
        <w:tc>
          <w:tcPr>
            <w:tcW w:type="dxa" w:w="1728"/>
          </w:tcPr>
          <w:p>
            <w:r/>
            <w:r>
              <w:rPr>
                <w:rFonts w:ascii="Times New Roman" w:hAnsi="Times New Roman"/>
                <w:sz w:val="20"/>
              </w:rPr>
              <w:t>21,0</w:t>
            </w:r>
          </w:p>
        </w:tc>
        <w:tc>
          <w:tcPr>
            <w:tcW w:type="dxa" w:w="1728"/>
          </w:tcPr>
          <w:p>
            <w:r/>
            <w:r>
              <w:rPr>
                <w:rFonts w:ascii="Times New Roman" w:hAnsi="Times New Roman"/>
                <w:sz w:val="20"/>
              </w:rPr>
              <w:t>5.719.511</w:t>
            </w:r>
          </w:p>
        </w:tc>
        <w:tc>
          <w:tcPr>
            <w:tcW w:type="dxa" w:w="1728"/>
          </w:tcPr>
          <w:p>
            <w:r/>
            <w:r>
              <w:rPr>
                <w:rFonts w:ascii="Times New Roman" w:hAnsi="Times New Roman"/>
                <w:sz w:val="20"/>
              </w:rPr>
              <w:t>28,3</w:t>
            </w:r>
          </w:p>
        </w:tc>
      </w:tr>
      <w:tr>
        <w:tc>
          <w:tcPr>
            <w:tcW w:type="dxa" w:w="1728"/>
          </w:tcPr>
          <w:p>
            <w:r/>
            <w:r>
              <w:rPr>
                <w:rFonts w:ascii="Times New Roman" w:hAnsi="Times New Roman"/>
                <w:sz w:val="20"/>
              </w:rPr>
              <w:t>Vùng 4: Đông Nam Bộ + ĐBSCL</w:t>
            </w:r>
          </w:p>
        </w:tc>
        <w:tc>
          <w:tcPr>
            <w:tcW w:type="dxa" w:w="1728"/>
          </w:tcPr>
          <w:p>
            <w:r/>
            <w:r>
              <w:rPr>
                <w:rFonts w:ascii="Times New Roman" w:hAnsi="Times New Roman"/>
                <w:sz w:val="20"/>
              </w:rPr>
              <w:t>35.102.537</w:t>
            </w:r>
          </w:p>
        </w:tc>
        <w:tc>
          <w:tcPr>
            <w:tcW w:type="dxa" w:w="1728"/>
          </w:tcPr>
          <w:p>
            <w:r/>
            <w:r>
              <w:rPr>
                <w:rFonts w:ascii="Times New Roman" w:hAnsi="Times New Roman"/>
                <w:sz w:val="20"/>
              </w:rPr>
              <w:t>36,5</w:t>
            </w:r>
          </w:p>
        </w:tc>
        <w:tc>
          <w:tcPr>
            <w:tcW w:type="dxa" w:w="1728"/>
          </w:tcPr>
          <w:p>
            <w:r/>
            <w:r>
              <w:rPr>
                <w:rFonts w:ascii="Times New Roman" w:hAnsi="Times New Roman"/>
                <w:sz w:val="20"/>
              </w:rPr>
              <w:t>15.526.563</w:t>
            </w:r>
          </w:p>
        </w:tc>
        <w:tc>
          <w:tcPr>
            <w:tcW w:type="dxa" w:w="1728"/>
          </w:tcPr>
          <w:p>
            <w:r/>
            <w:r>
              <w:rPr>
                <w:rFonts w:ascii="Times New Roman" w:hAnsi="Times New Roman"/>
                <w:sz w:val="20"/>
              </w:rPr>
              <w:t>44,2</w:t>
            </w:r>
          </w:p>
        </w:tc>
      </w:tr>
      <w:tr>
        <w:tc>
          <w:tcPr>
            <w:tcW w:type="dxa" w:w="1728"/>
          </w:tcPr>
          <w:p>
            <w:r/>
            <w:r>
              <w:rPr>
                <w:rFonts w:ascii="Times New Roman" w:hAnsi="Times New Roman"/>
                <w:sz w:val="20"/>
              </w:rPr>
              <w:t>Tổng</w:t>
            </w:r>
          </w:p>
        </w:tc>
        <w:tc>
          <w:tcPr>
            <w:tcW w:type="dxa" w:w="1728"/>
          </w:tcPr>
          <w:p>
            <w:r/>
            <w:r>
              <w:rPr>
                <w:rFonts w:ascii="Times New Roman" w:hAnsi="Times New Roman"/>
                <w:sz w:val="20"/>
              </w:rPr>
              <w:t>96.208.984</w:t>
            </w:r>
          </w:p>
        </w:tc>
        <w:tc>
          <w:tcPr>
            <w:tcW w:type="dxa" w:w="1728"/>
          </w:tcPr>
          <w:p>
            <w:r/>
            <w:r>
              <w:rPr>
                <w:rFonts w:ascii="Times New Roman" w:hAnsi="Times New Roman"/>
                <w:sz w:val="20"/>
              </w:rPr>
              <w:t>100,0</w:t>
            </w:r>
          </w:p>
        </w:tc>
        <w:tc>
          <w:tcPr>
            <w:tcW w:type="dxa" w:w="1728"/>
          </w:tcPr>
          <w:p>
            <w:r/>
            <w:r>
              <w:rPr>
                <w:rFonts w:ascii="Times New Roman" w:hAnsi="Times New Roman"/>
                <w:sz w:val="20"/>
              </w:rPr>
              <w:t>33.059.735</w:t>
            </w:r>
          </w:p>
        </w:tc>
        <w:tc>
          <w:tcPr>
            <w:tcW w:type="dxa" w:w="1728"/>
          </w:tcPr>
          <w:p>
            <w:r/>
            <w:r>
              <w:rPr>
                <w:rFonts w:ascii="Times New Roman" w:hAnsi="Times New Roman"/>
                <w:sz w:val="20"/>
              </w:rPr>
              <w:t>34,4</w:t>
            </w:r>
          </w:p>
        </w:tc>
      </w:tr>
    </w:tbl>
    <w:p>
      <w:r>
        <w:rPr>
          <w:rFonts w:ascii="Times New Roman" w:hAnsi="Times New Roman"/>
          <w:i/>
          <w:color w:val="666666"/>
          <w:sz w:val="18"/>
        </w:rPr>
        <w:t>Bảng 18. Dân số Việt Nam năm 2019 theo vùng và khu vực đô thị – nông thôn. Nguồn: Tổng cục Thống kê 2020.</w:t>
      </w:r>
    </w:p>
    <w:p>
      <w:r>
        <w:rPr>
          <w:rFonts w:ascii="Times New Roman" w:hAnsi="Times New Roman"/>
        </w:rPr>
        <w:t>Tổng cộng, 38 tỉnh/thành phố từ 4 vùng được chọn tham gia khảo sát (xem bản đồ ở Hình 5), gồm:</w:t>
      </w:r>
    </w:p>
    <w:p>
      <w:r>
        <w:rPr>
          <w:rFonts w:ascii="Times New Roman" w:hAnsi="Times New Roman"/>
        </w:rPr>
        <w:t>• Vùng 1: Hà Giang, Cao Bằng, Bắc Kạn, Tuyên Quang, Điện Biên, Yên Bái, Thái Nguyên, Bắc Giang, Kon Tum, Đắk Lắk, Lâm Đồng.</w:t>
      </w:r>
    </w:p>
    <w:p>
      <w:r>
        <w:rPr>
          <w:rFonts w:ascii="Times New Roman" w:hAnsi="Times New Roman"/>
        </w:rPr>
        <w:t>• Vùng 2: Hà Nội, Quảng Ninh, Vĩnh Phúc, Hải Dương, Hải Phòng, Hưng Yên, Thái Bình, Nam Định.</w:t>
      </w:r>
    </w:p>
    <w:p>
      <w:r>
        <w:rPr>
          <w:rFonts w:ascii="Times New Roman" w:hAnsi="Times New Roman"/>
        </w:rPr>
        <w:t>• Vùng 3: Thanh Hoá, Nghệ An, Quảng Bình, Đà Nẵng, Quảng Ngãi, Phú Yên, Ninh Thuận.</w:t>
      </w:r>
    </w:p>
    <w:p>
      <w:r>
        <w:rPr>
          <w:rFonts w:ascii="Times New Roman" w:hAnsi="Times New Roman"/>
        </w:rPr>
        <w:t>• Vùng 4: Bình Phước, Bình Dương, Đồng Nai, Bà Rịa – Vũng Tàu, TP Hồ Chí Minh, Tiền Giang, Trà Vinh, Đồng Tháp, An Giang, Kiên Giang, Hậu Giang, Bạc Liêu.</w:t>
      </w:r>
    </w:p>
    <w:p>
      <w:r>
        <w:rPr>
          <w:rFonts w:ascii="Times New Roman" w:hAnsi="Times New Roman"/>
        </w:rPr>
        <w:t>Hộ gia đình tại 38 tỉnh được chọn được nhóm thành các đơn vị điều tra gọi là Địa bàn Điều tra (Enumeration Area — EA), mỗi EA có trung bình khoảng 120 hộ. Sau đó 200 EA được chọn ngẫu nhiên từ 38 tỉnh, phân đều qua 4 vùng — tức 50 EA mỗi vùng (25 đô thị + 25 nông thôn). Số hộ được chọn cho mỗi EA trong V-NAMHS là 38 hộ. Tỷ lệ trả lời dự kiến 79 % (tỷ lệ không trả lời = 21 %) được áp dụng khi tính cỡ mẫu V-NAMHS. Việc chọn 7.600 hộ tương ứng với con số kỳ vọng 6.000 hộ hoàn thành phỏng vấn.</w:t>
      </w:r>
    </w:p>
    <w:p>
      <w:pPr>
        <w:jc w:val="center"/>
      </w:pPr>
      <w:r>
        <w:rPr>
          <w:rFonts w:ascii="Times New Roman" w:hAnsi="Times New Roman"/>
          <w:i/>
          <w:color w:val="FF6600"/>
          <w:sz w:val="18"/>
        </w:rPr>
        <w:t>--- Trang 39, V-NAMHS, UNICEF/IOS 2022 ---</w:t>
      </w:r>
    </w:p>
    <w:p>
      <w:pPr>
        <w:jc w:val="center"/>
      </w:pPr>
      <w:r>
        <w:drawing>
          <wp:inline xmlns:a="http://schemas.openxmlformats.org/drawingml/2006/main" xmlns:pic="http://schemas.openxmlformats.org/drawingml/2006/picture">
            <wp:extent cx="4320000" cy="5558710"/>
            <wp:docPr id="7" name="Picture 7"/>
            <wp:cNvGraphicFramePr>
              <a:graphicFrameLocks noChangeAspect="1"/>
            </wp:cNvGraphicFramePr>
            <a:graphic>
              <a:graphicData uri="http://schemas.openxmlformats.org/drawingml/2006/picture">
                <pic:pic>
                  <pic:nvPicPr>
                    <pic:cNvPr id="0" name="p041_img1_Image257.jpg"/>
                    <pic:cNvPicPr/>
                  </pic:nvPicPr>
                  <pic:blipFill>
                    <a:blip r:embed="rId15"/>
                    <a:stretch>
                      <a:fillRect/>
                    </a:stretch>
                  </pic:blipFill>
                  <pic:spPr>
                    <a:xfrm>
                      <a:off x="0" y="0"/>
                      <a:ext cx="4320000" cy="5558710"/>
                    </a:xfrm>
                    <a:prstGeom prst="rect"/>
                  </pic:spPr>
                </pic:pic>
              </a:graphicData>
            </a:graphic>
          </wp:inline>
        </w:drawing>
      </w:r>
    </w:p>
    <w:p>
      <w:pPr>
        <w:jc w:val="center"/>
      </w:pPr>
      <w:r>
        <w:rPr>
          <w:rFonts w:ascii="Times New Roman" w:hAnsi="Times New Roman"/>
          <w:i/>
          <w:color w:val="666666"/>
          <w:sz w:val="18"/>
        </w:rPr>
        <w:t>Hình 5. Bản đồ Việt Nam và 38 tỉnh/thành phố được chọn</w:t>
        <w:br/>
        <w:t>(Figure 5. Map of Viet Nam and 38 selected provinces/cities)</w:t>
      </w:r>
    </w:p>
    <w:p>
      <w:r>
        <w:rPr>
          <w:rFonts w:ascii="Times New Roman" w:hAnsi="Times New Roman"/>
          <w:b/>
          <w:color w:val="2E548B"/>
          <w:sz w:val="24"/>
        </w:rPr>
        <w:t>Nghiên cứu thí điểm (Pilot study)</w:t>
      </w:r>
    </w:p>
    <w:p>
      <w:r>
        <w:rPr>
          <w:rFonts w:ascii="Times New Roman" w:hAnsi="Times New Roman"/>
        </w:rPr>
        <w:t>Trước khi bắt đầu thu thập dữ liệu V-NAMHS, một nghiên cứu thí điểm được tiến hành để thử nghiệm tất cả quy trình và logistics. Thí điểm được thực hiện tại Hà Nội (miền Bắc) và Đồng Nai (miền Nam). Tại Hà Nội, 25 vị thành niên (9 nam và 16 nữ) cùng phụ huynh đã được phỏng vấn. Tại Đồng Nai, thêm 25 vị thành niên (12 nam và 13 nữ) cùng phụ huynh được phỏng vấn. Thí điểm nhằm kiểm tra tính nhất quán và mạch lạc của câu hỏi nghiên cứu, độ dài phỏng vấn, phù hợp ngôn ngữ, và cách đặt các câu hỏi khó hoặc nhạy cảm. Thí điểm cũng dùng để kiểm tra công cụ được lập trình trên nền tảng SurveyCTO và thông tin cho kế hoạch và tổ chức khảo sát. Hầu hết thách thức liên quan đến độ dài công cụ, khó khăn hiểu của VTN nhỏ hơn, và các vấn đề lập trình. Các thách thức này được rà soát và thực hiện các chỉnh sửa cần thiết trước khi thu thập dữ liệu.</w:t>
      </w:r>
    </w:p>
    <w:p>
      <w:pPr>
        <w:jc w:val="center"/>
      </w:pPr>
      <w:r>
        <w:rPr>
          <w:rFonts w:ascii="Times New Roman" w:hAnsi="Times New Roman"/>
          <w:i/>
          <w:color w:val="FF6600"/>
          <w:sz w:val="18"/>
        </w:rPr>
        <w:t>--- Trang 40, V-NAMHS, UNICEF/IOS 2022 ---</w:t>
      </w:r>
    </w:p>
    <w:p>
      <w:r>
        <w:rPr>
          <w:rFonts w:ascii="Times New Roman" w:hAnsi="Times New Roman"/>
          <w:b/>
          <w:color w:val="2E548B"/>
          <w:sz w:val="24"/>
        </w:rPr>
        <w:t>Thực địa (Fieldwork)</w:t>
      </w:r>
    </w:p>
    <w:p>
      <w:r>
        <w:rPr>
          <w:rFonts w:ascii="Times New Roman" w:hAnsi="Times New Roman"/>
        </w:rPr>
        <w:t>Thu thập dữ liệu tại VN bắt đầu từ ngày 21/9/2022 [lưu ý: bản gốc ghi "2022" ở Phụ lục 2 nhưng ở phần Introduction ghi "2021" — có khả năng lỗi in ấn trong bản gốc; ngày hoàn tất 16/12/2021 cho thấy đúng là năm 2021], bắt đầu miền Bắc rồi miền Nam. Thu thập dữ liệu có tổng 127 phỏng vấn viên tham gia. Công tác thực địa được triển khai theo quy trình thực địa (fieldwork protocol) được phát triển và thiết lập bởi cả năm nhóm NAMHS quốc tế, rồi áp dụng tại VN. Nhóm V-NAMHS phối hợp chặt chẽ với GOPFP để xác định ranh giới trong quá trình liệt kê và lập bản đồ hộ gia đình ở 38 tỉnh. Tổng 200 EA được chọn, mỗi EA chứa khoảng 120 hộ trong đó 38 hộ được chọn cho mẫu V-NAMHS. Do hạn chế di chuyển liên quan COVID-19 giữa các tỉnh, phỏng vấn viên là nhân viên của POPFP địa phương, tránh việc di chuyển giữa các tỉnh. Số phỏng vấn viên cho mỗi tỉnh phụ thuộc kích thước tỉnh, dao động từ 2 đến 16 người. Thu thập dữ liệu chỉ được tiến hành nếu EA được chọn được phân loại "xanh" (an toàn) hoặc "vàng" (nguy cơ COVID-19 thấp), tạm ngừng nếu EA là "cam" (nguy cơ cao) hoặc "đỏ" (nguy cơ rất cao).</w:t>
      </w:r>
    </w:p>
    <w:p>
      <w:r>
        <w:rPr>
          <w:rFonts w:ascii="Times New Roman" w:hAnsi="Times New Roman"/>
        </w:rPr>
        <w:t>Trong các tuần trước thu thập dữ liệu, thư thông tin về V-NAMHS được cung cấp cho các hộ được chọn trong mỗi EA. Các quy trình đảm bảo tham gia tự nguyện của phụ huynh và vị thành niên, quyền riêng tư, an toàn (cho phỏng vấn viên và người tham gia) và an toàn dữ liệu cũng được bao gồm trong thông tin cung cấp cho hộ. Điều này được hỗ trợ bởi sự hợp tác chặt chẽ giữa nhóm V-NAMHS, GOPFP và các POPFP.</w:t>
      </w:r>
    </w:p>
    <w:p>
      <w:r>
        <w:rPr>
          <w:rFonts w:ascii="Times New Roman" w:hAnsi="Times New Roman"/>
        </w:rPr>
        <w:t>Trong suốt thu thập dữ liệu, giám sát và hỗ trợ kỹ thuật được nhóm V-NAMHS cung cấp cho nhân viên thực địa hàng ngày qua liên lạc trực tuyến. Nhóm V-NAMHS cũng phối hợp với UQ và JHSPH để giám sát dữ liệu theo quy trình định trước. Tư vấn kỹ thuật và xử lý sự cố cũng được các nhóm này cung cấp liên tục.</w:t>
      </w:r>
    </w:p>
    <w:p>
      <w:pPr>
        <w:jc w:val="center"/>
      </w:pPr>
      <w:r>
        <w:rPr>
          <w:rFonts w:ascii="Times New Roman" w:hAnsi="Times New Roman"/>
          <w:i/>
          <w:color w:val="FF6600"/>
          <w:sz w:val="18"/>
        </w:rPr>
        <w:t>--- Trang 41, V-NAMHS, UNICEF/IOS 2022 ---</w:t>
      </w:r>
    </w:p>
    <w:p>
      <w:r>
        <w:rPr>
          <w:rFonts w:ascii="Times New Roman" w:hAnsi="Times New Roman"/>
          <w:b/>
          <w:color w:val="1F3A68"/>
          <w:sz w:val="28"/>
        </w:rPr>
        <w:t>PHỤ LỤC 3: Thuật ngữ (Appendix 3: Glossary)</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Thuật ngữ</w:t>
            </w:r>
          </w:p>
        </w:tc>
        <w:tc>
          <w:tcPr>
            <w:tcW w:type="dxa" w:w="4320"/>
            <w:shd w:fill="D9E1F2"/>
          </w:tcPr>
          <w:p>
            <w:r/>
            <w:r>
              <w:rPr>
                <w:rFonts w:ascii="Times New Roman" w:hAnsi="Times New Roman"/>
                <w:b/>
                <w:sz w:val="20"/>
              </w:rPr>
              <w:t>Định nghĩa</w:t>
            </w:r>
          </w:p>
        </w:tc>
      </w:tr>
      <w:tr>
        <w:tc>
          <w:tcPr>
            <w:tcW w:type="dxa" w:w="4320"/>
          </w:tcPr>
          <w:p>
            <w:r/>
            <w:r>
              <w:rPr>
                <w:rFonts w:ascii="Times New Roman" w:hAnsi="Times New Roman"/>
                <w:sz w:val="20"/>
              </w:rPr>
              <w:t>Tỷ lệ 12 tháng qua (12-month prevalence)</w:t>
            </w:r>
          </w:p>
        </w:tc>
        <w:tc>
          <w:tcPr>
            <w:tcW w:type="dxa" w:w="4320"/>
          </w:tcPr>
          <w:p>
            <w:r/>
            <w:r>
              <w:rPr>
                <w:rFonts w:ascii="Times New Roman" w:hAnsi="Times New Roman"/>
                <w:sz w:val="20"/>
              </w:rPr>
              <w:t>Đáp ứng tiêu chí của một vấn đề SKTT hoặc rối loạn tâm thần theo DISC-5 trong 12 tháng trước khi phỏng vấn. Bao gồm những người có triệu chứng khởi phát trong 12 tháng trước khi phỏng vấn, và những người có triệu chứng khởi phát sớm hơn nhưng tiếp tục đáp ứng tiêu chí trong 12 tháng qua.</w:t>
            </w:r>
          </w:p>
        </w:tc>
      </w:tr>
      <w:tr>
        <w:tc>
          <w:tcPr>
            <w:tcW w:type="dxa" w:w="4320"/>
          </w:tcPr>
          <w:p>
            <w:r/>
            <w:r>
              <w:rPr>
                <w:rFonts w:ascii="Times New Roman" w:hAnsi="Times New Roman"/>
                <w:sz w:val="20"/>
              </w:rPr>
              <w:t>Vị thành niên (Adolescent)</w:t>
            </w:r>
          </w:p>
        </w:tc>
        <w:tc>
          <w:tcPr>
            <w:tcW w:type="dxa" w:w="4320"/>
          </w:tcPr>
          <w:p>
            <w:r/>
            <w:r>
              <w:rPr>
                <w:rFonts w:ascii="Times New Roman" w:hAnsi="Times New Roman"/>
                <w:sz w:val="20"/>
              </w:rPr>
              <w:t>Người trẻ 10–17 tuổi. Dù WHO định nghĩa vị thành niên là 10–19 tuổi, các em 18–19 tuổi bị loại khỏi nghiên cứu vì nhiều khả năng đã sống độc lập và/hoặc làm việc xa nhà. Thêm nữa, công cụ chẩn đoán (như DISC-5) không được thiết kế cho người ≥ 18 tuổi — thường được đánh giá bằng công cụ dành cho người lớn.</w:t>
            </w:r>
          </w:p>
        </w:tc>
      </w:tr>
      <w:tr>
        <w:tc>
          <w:tcPr>
            <w:tcW w:type="dxa" w:w="4320"/>
          </w:tcPr>
          <w:p>
            <w:r/>
            <w:r>
              <w:rPr>
                <w:rFonts w:ascii="Times New Roman" w:hAnsi="Times New Roman"/>
                <w:sz w:val="20"/>
              </w:rPr>
              <w:t>Các rối loạn lo âu (Anxiety disorders)</w:t>
            </w:r>
          </w:p>
        </w:tc>
        <w:tc>
          <w:tcPr>
            <w:tcW w:type="dxa" w:w="4320"/>
          </w:tcPr>
          <w:p>
            <w:r/>
            <w:r>
              <w:rPr>
                <w:rFonts w:ascii="Times New Roman" w:hAnsi="Times New Roman"/>
                <w:sz w:val="20"/>
              </w:rPr>
              <w:t>Một nhóm rối loạn tâm thần định nghĩa bởi nỗi sợ và lo âu quá mức. Ám ảnh xã hội và rối loạn lo âu tổng quát là hai rối loạn lo âu được bao gồm trong khảo sát này.</w:t>
            </w:r>
          </w:p>
        </w:tc>
      </w:tr>
      <w:tr>
        <w:tc>
          <w:tcPr>
            <w:tcW w:type="dxa" w:w="4320"/>
          </w:tcPr>
          <w:p>
            <w:r/>
            <w:r>
              <w:rPr>
                <w:rFonts w:ascii="Times New Roman" w:hAnsi="Times New Roman"/>
                <w:sz w:val="20"/>
              </w:rPr>
              <w:t>ADHD (Attention-deficit/hyperactivity disorder)</w:t>
            </w:r>
          </w:p>
        </w:tc>
        <w:tc>
          <w:tcPr>
            <w:tcW w:type="dxa" w:w="4320"/>
          </w:tcPr>
          <w:p>
            <w:r/>
            <w:r>
              <w:rPr>
                <w:rFonts w:ascii="Times New Roman" w:hAnsi="Times New Roman"/>
                <w:sz w:val="20"/>
              </w:rPr>
              <w:t>Đặc trưng bởi các mô hình dai dẳng của mất chú ý và/hoặc tăng động – bốc đồng. Vị thành niên có thể gặp khó khăn về chú ý và tập trung, có cử động quá mức và/hoặc khó kiểm soát hành vi bốc đồng. Các hành vi này không tương xứng với độ tuổi hoặc mức độ phát triển của VTN và xảy ra ở nhiều bối cảnh. Module ADHD của DISC-5 được hỏi phụ huynh.</w:t>
            </w:r>
          </w:p>
        </w:tc>
      </w:tr>
      <w:tr>
        <w:tc>
          <w:tcPr>
            <w:tcW w:type="dxa" w:w="4320"/>
          </w:tcPr>
          <w:p>
            <w:r/>
            <w:r>
              <w:rPr>
                <w:rFonts w:ascii="Times New Roman" w:hAnsi="Times New Roman"/>
                <w:sz w:val="20"/>
              </w:rPr>
              <w:t>Rối loạn hành vi (Conduct disorder)</w:t>
            </w:r>
          </w:p>
        </w:tc>
        <w:tc>
          <w:tcPr>
            <w:tcW w:type="dxa" w:w="4320"/>
          </w:tcPr>
          <w:p>
            <w:r/>
            <w:r>
              <w:rPr>
                <w:rFonts w:ascii="Times New Roman" w:hAnsi="Times New Roman"/>
                <w:sz w:val="20"/>
              </w:rPr>
              <w:t>Đặc trưng bởi mô hình hành vi lặp đi lặp lại vi phạm quyền của người khác và/hoặc các quy tắc hoặc chuẩn mực xã hội lớn. Hành vi có thể bao gồm hung hăng với người hoặc động vật, phá hoại tài sản, lừa dối hoặc trộm cắp, hoặc vi phạm nghiêm trọng quy tắc. Module rối loạn hành vi của DISC-5 được hỏi vị thành niên.</w:t>
            </w:r>
          </w:p>
        </w:tc>
      </w:tr>
      <w:tr>
        <w:tc>
          <w:tcPr>
            <w:tcW w:type="dxa" w:w="4320"/>
          </w:tcPr>
          <w:p>
            <w:r/>
            <w:r>
              <w:rPr>
                <w:rFonts w:ascii="Times New Roman" w:hAnsi="Times New Roman"/>
                <w:sz w:val="20"/>
              </w:rPr>
              <w:t>Tiêu chí chẩn đoán (Diagnostic criteria)</w:t>
            </w:r>
          </w:p>
        </w:tc>
        <w:tc>
          <w:tcPr>
            <w:tcW w:type="dxa" w:w="4320"/>
          </w:tcPr>
          <w:p>
            <w:r/>
            <w:r>
              <w:rPr>
                <w:rFonts w:ascii="Times New Roman" w:hAnsi="Times New Roman"/>
                <w:sz w:val="20"/>
              </w:rPr>
              <w:t>Tập hợp yêu cầu cụ thể mà vị thành niên phải đáp ứng để được xem là có rối loạn tâm thần. Tiêu chí có thể bao gồm: tập hợp số hoặc tổ hợp triệu chứng cụ thể; tuổi khởi phát triệu chứng hoặc hành vi; tần suất và thời gian của triệu chứng; căng thẳng hoặc suy giảm chức năng. Trong V-NAMHS, tiêu chí chẩn đoán được xác định theo DSM-5.</w:t>
            </w:r>
          </w:p>
        </w:tc>
      </w:tr>
      <w:tr>
        <w:tc>
          <w:tcPr>
            <w:tcW w:type="dxa" w:w="4320"/>
          </w:tcPr>
          <w:p>
            <w:r/>
            <w:r>
              <w:rPr>
                <w:rFonts w:ascii="Times New Roman" w:hAnsi="Times New Roman"/>
                <w:sz w:val="20"/>
              </w:rPr>
              <w:t>DISC-5 (Diagnostic Interview Schedule for Children, Version 5)</w:t>
            </w:r>
          </w:p>
        </w:tc>
        <w:tc>
          <w:tcPr>
            <w:tcW w:type="dxa" w:w="4320"/>
          </w:tcPr>
          <w:p>
            <w:r/>
            <w:r>
              <w:rPr>
                <w:rFonts w:ascii="Times New Roman" w:hAnsi="Times New Roman"/>
                <w:sz w:val="20"/>
              </w:rPr>
              <w:t>Công cụ chẩn đoán có cấu trúc hoàn toàn được thiết kế để xác định trẻ em hoặc vị thành niên đáp ứng tiêu chí chẩn đoán DSM-5. Sáu module chẩn đoán từ DISC-5 được bao gồm trong khảo sát và điều chỉnh để đảm bảo phù hợp văn hoá đồng thời duy trì tính nhất quán về khái niệm.</w:t>
            </w:r>
          </w:p>
        </w:tc>
      </w:tr>
      <w:tr>
        <w:tc>
          <w:tcPr>
            <w:tcW w:type="dxa" w:w="4320"/>
          </w:tcPr>
          <w:p>
            <w:r/>
            <w:r>
              <w:rPr>
                <w:rFonts w:ascii="Times New Roman" w:hAnsi="Times New Roman"/>
                <w:sz w:val="20"/>
              </w:rPr>
              <w:t>DSM-5 (Diagnostic and Statistical Manual of Mental Disorders, 5th Edition)</w:t>
            </w:r>
          </w:p>
        </w:tc>
        <w:tc>
          <w:tcPr>
            <w:tcW w:type="dxa" w:w="4320"/>
          </w:tcPr>
          <w:p>
            <w:r/>
            <w:r>
              <w:rPr>
                <w:rFonts w:ascii="Times New Roman" w:hAnsi="Times New Roman"/>
                <w:sz w:val="20"/>
              </w:rPr>
              <w:t>Định nghĩa của từng rối loạn tâm thần được Hiệp hội Tâm thần Hoa Kỳ xuất bản và dùng để định nghĩa và chẩn đoán rối loạn tâm thần.</w:t>
            </w:r>
          </w:p>
        </w:tc>
      </w:tr>
      <w:tr>
        <w:tc>
          <w:tcPr>
            <w:tcW w:type="dxa" w:w="4320"/>
          </w:tcPr>
          <w:p>
            <w:r/>
            <w:r>
              <w:rPr>
                <w:rFonts w:ascii="Times New Roman" w:hAnsi="Times New Roman"/>
                <w:sz w:val="20"/>
              </w:rPr>
              <w:t>Triệu chứng đầy đủ ngưỡng (Full threshold symptoms)</w:t>
            </w:r>
          </w:p>
        </w:tc>
        <w:tc>
          <w:tcPr>
            <w:tcW w:type="dxa" w:w="4320"/>
          </w:tcPr>
          <w:p>
            <w:r/>
            <w:r>
              <w:rPr>
                <w:rFonts w:ascii="Times New Roman" w:hAnsi="Times New Roman"/>
                <w:sz w:val="20"/>
              </w:rPr>
              <w:t>Ghi nhận tất cả các triệu chứng cần thiết để đáp ứng tiêu chí chẩn đoán DSM-5 cho một rối loạn tâm thần (lưu ý suy giảm chức năng cũng phải được ghi nhận để đáp ứng tiêu chí DSM-5).</w:t>
            </w:r>
          </w:p>
        </w:tc>
      </w:tr>
      <w:tr>
        <w:tc>
          <w:tcPr>
            <w:tcW w:type="dxa" w:w="4320"/>
          </w:tcPr>
          <w:p>
            <w:r/>
            <w:r>
              <w:rPr>
                <w:rFonts w:ascii="Times New Roman" w:hAnsi="Times New Roman"/>
                <w:sz w:val="20"/>
              </w:rPr>
              <w:t>Rối loạn lo âu tổng quát (Generalised anxiety disorder)</w:t>
            </w:r>
          </w:p>
        </w:tc>
        <w:tc>
          <w:tcPr>
            <w:tcW w:type="dxa" w:w="4320"/>
          </w:tcPr>
          <w:p>
            <w:r/>
            <w:r>
              <w:rPr>
                <w:rFonts w:ascii="Times New Roman" w:hAnsi="Times New Roman"/>
                <w:sz w:val="20"/>
              </w:rPr>
              <w:t>Đặc trưng bởi lo âu và lo lắng quá mức về nhiều sự kiện hoặc hoạt động. Cường độ, tần suất và thời gian lo âu không tương xứng với khả năng thực tế hoặc tác động của sự kiện dự kiến. Module này của DISC-5 được hỏi vị thành niên.</w:t>
            </w:r>
          </w:p>
        </w:tc>
      </w:tr>
      <w:tr>
        <w:tc>
          <w:tcPr>
            <w:tcW w:type="dxa" w:w="4320"/>
          </w:tcPr>
          <w:p>
            <w:r/>
            <w:r>
              <w:rPr>
                <w:rFonts w:ascii="Times New Roman" w:hAnsi="Times New Roman"/>
                <w:sz w:val="20"/>
              </w:rPr>
              <w:t>Suy giảm chức năng (Impairment)</w:t>
            </w:r>
          </w:p>
        </w:tc>
        <w:tc>
          <w:tcPr>
            <w:tcW w:type="dxa" w:w="4320"/>
          </w:tcPr>
          <w:p>
            <w:r/>
            <w:r>
              <w:rPr>
                <w:rFonts w:ascii="Times New Roman" w:hAnsi="Times New Roman"/>
                <w:sz w:val="20"/>
              </w:rPr>
              <w:t>Khi triệu chứng của một rối loạn tâm thần ảnh hưởng tiêu cực hoặc can thiệp vào hoạt động và/hoặc các khía cạnh khác nhau của cuộc sống vị thành niên. Ghi nhận suy giảm là cần thiết để đáp ứng tiêu chí chẩn đoán DSM-5 cho một rối loạn tâm thần (cùng với ghi nhận tất cả triệu chứng cần thiết — tức triệu chứng đầy đủ ngưỡng).</w:t>
            </w:r>
          </w:p>
        </w:tc>
      </w:tr>
      <w:tr>
        <w:tc>
          <w:tcPr>
            <w:tcW w:type="dxa" w:w="4320"/>
          </w:tcPr>
          <w:p>
            <w:r/>
            <w:r>
              <w:rPr>
                <w:rFonts w:ascii="Times New Roman" w:hAnsi="Times New Roman"/>
                <w:sz w:val="20"/>
              </w:rPr>
              <w:t>Lĩnh vực suy giảm (Impairment domains)</w:t>
            </w:r>
          </w:p>
        </w:tc>
        <w:tc>
          <w:tcPr>
            <w:tcW w:type="dxa" w:w="4320"/>
          </w:tcPr>
          <w:p>
            <w:r/>
            <w:r>
              <w:rPr>
                <w:rFonts w:ascii="Times New Roman" w:hAnsi="Times New Roman"/>
                <w:sz w:val="20"/>
              </w:rPr>
              <w:t>Trong DISC-5, suy giảm được đánh giá bằng 6 câu hỏi đo suy giảm do triệu chứng trên 4 lĩnh vực: gia đình, bạn bè, trường hoặc việc làm, căng thẳng cá nhân.</w:t>
            </w:r>
          </w:p>
        </w:tc>
      </w:tr>
      <w:tr>
        <w:tc>
          <w:tcPr>
            <w:tcW w:type="dxa" w:w="4320"/>
          </w:tcPr>
          <w:p>
            <w:r/>
            <w:r>
              <w:rPr>
                <w:rFonts w:ascii="Times New Roman" w:hAnsi="Times New Roman"/>
                <w:sz w:val="20"/>
              </w:rPr>
              <w:t>Rối loạn trầm cảm nặng (Major depressive disorder)</w:t>
            </w:r>
          </w:p>
        </w:tc>
        <w:tc>
          <w:tcPr>
            <w:tcW w:type="dxa" w:w="4320"/>
          </w:tcPr>
          <w:p>
            <w:r/>
            <w:r>
              <w:rPr>
                <w:rFonts w:ascii="Times New Roman" w:hAnsi="Times New Roman"/>
                <w:sz w:val="20"/>
              </w:rPr>
              <w:t>Đặc trưng bởi giai đoạn ít nhất 2 tuần trong đó có tâm trạng trầm, mất quan tâm hoặc vui vẻ trong gần như tất cả hoạt động, và/hoặc khó chịu. Những cảm giác này cũng gắn với các triệu chứng thể chất khác như mệt mỏi, rối loạn giấc ngủ hoặc vấn đề tập trung. Module này của DISC-5 được hỏi vị thành niên.</w:t>
            </w:r>
          </w:p>
        </w:tc>
      </w:tr>
      <w:tr>
        <w:tc>
          <w:tcPr>
            <w:tcW w:type="dxa" w:w="4320"/>
          </w:tcPr>
          <w:p>
            <w:r/>
            <w:r>
              <w:rPr>
                <w:rFonts w:ascii="Times New Roman" w:hAnsi="Times New Roman"/>
                <w:sz w:val="20"/>
              </w:rPr>
              <w:t>Rối loạn tâm thần (Mental disorder)</w:t>
            </w:r>
          </w:p>
        </w:tc>
        <w:tc>
          <w:tcPr>
            <w:tcW w:type="dxa" w:w="4320"/>
          </w:tcPr>
          <w:p>
            <w:r/>
            <w:r>
              <w:rPr>
                <w:rFonts w:ascii="Times New Roman" w:hAnsi="Times New Roman"/>
                <w:sz w:val="20"/>
              </w:rPr>
              <w:t>Là hội chứng hành vi hoặc tâm lý có ý nghĩa lâm sàng xảy ra ở một cá nhân và gắn với căng thẳng hiện tại (triệu chứng đau đớn), khuyết tật (suy giảm ở một hoặc nhiều lĩnh vực chức năng quan trọng), và/hoặc nguy cơ tử vong, đau đớn, khuyết tật hoặc mất tự do đáng kể tăng lên. Trong báo cáo này, VTN có rối loạn tâm thần là những em đáp ứng tiêu chí chẩn đoán DSM-5 cho một rối loạn tâm thần cụ thể đo trong V-NAMHS.</w:t>
            </w:r>
          </w:p>
        </w:tc>
      </w:tr>
      <w:tr>
        <w:tc>
          <w:tcPr>
            <w:tcW w:type="dxa" w:w="4320"/>
          </w:tcPr>
          <w:p>
            <w:r/>
            <w:r>
              <w:rPr>
                <w:rFonts w:ascii="Times New Roman" w:hAnsi="Times New Roman"/>
                <w:sz w:val="20"/>
              </w:rPr>
              <w:t>Vấn đề SKTT (Mental health problem)</w:t>
            </w:r>
          </w:p>
        </w:tc>
        <w:tc>
          <w:tcPr>
            <w:tcW w:type="dxa" w:w="4320"/>
          </w:tcPr>
          <w:p>
            <w:r>
              <w:t>Tương tự rối loạn tâm thần ở chỗ cũng can thiệp vào cách một người suy nghĩ, cảm xúc và hành vi, nhưng ở mức độ ít hơn so với rối loạn tâm thần. Có thể trải nghiệm tạm thời, hoặc như một phản ứng cấp tính với căng thẳng cuộc sống. Trong báo cáo này, VTN có vấn đề SKTT bao gồm các em đáp ứng chẩn đoán rối loạn DSM-5 (tức triệu chứng đầy đủ ngưỡng + ghi nhận suy giảm) cũng như các em không ghi nhận suy giảm (triệu chứng đầy đủ nhưng không suy giảm) và các em đáp ứng ít nhất một nửa số triệu chứng DSM-5 yêu cầu (tức subthreshold symptoms (triệu chứng dưới ngưỡng)) có hoặc không suy giảm.</w:t>
            </w:r>
            <w:r>
              <w:rPr>
                <w:rFonts w:ascii="Times New Roman" w:hAnsi="Times New Roman"/>
                <w:sz w:val="20"/>
              </w:rPr>
            </w:r>
          </w:p>
        </w:tc>
      </w:tr>
      <w:tr>
        <w:tc>
          <w:tcPr>
            <w:tcW w:type="dxa" w:w="4320"/>
          </w:tcPr>
          <w:p>
            <w:r/>
            <w:r>
              <w:rPr>
                <w:rFonts w:ascii="Times New Roman" w:hAnsi="Times New Roman"/>
                <w:sz w:val="20"/>
              </w:rPr>
              <w:t>Phụ huynh (Parent)</w:t>
            </w:r>
          </w:p>
        </w:tc>
        <w:tc>
          <w:tcPr>
            <w:tcW w:type="dxa" w:w="4320"/>
          </w:tcPr>
          <w:p>
            <w:r/>
            <w:r>
              <w:rPr>
                <w:rFonts w:ascii="Times New Roman" w:hAnsi="Times New Roman"/>
                <w:sz w:val="20"/>
              </w:rPr>
              <w:t>Trong báo cáo này, dùng để chỉ người được đề cử là người chăm sóc chính của vị thành niên (primary caregiver).</w:t>
            </w:r>
          </w:p>
        </w:tc>
      </w:tr>
      <w:tr>
        <w:tc>
          <w:tcPr>
            <w:tcW w:type="dxa" w:w="4320"/>
          </w:tcPr>
          <w:p>
            <w:r/>
            <w:r>
              <w:rPr>
                <w:rFonts w:ascii="Times New Roman" w:hAnsi="Times New Roman"/>
                <w:sz w:val="20"/>
              </w:rPr>
              <w:t>PTSD (Posttraumatic stress disorder)</w:t>
            </w:r>
          </w:p>
        </w:tc>
        <w:tc>
          <w:tcPr>
            <w:tcW w:type="dxa" w:w="4320"/>
          </w:tcPr>
          <w:p>
            <w:r/>
            <w:r>
              <w:rPr>
                <w:rFonts w:ascii="Times New Roman" w:hAnsi="Times New Roman"/>
                <w:sz w:val="20"/>
              </w:rPr>
              <w:t>Đặc trưng bởi các ý nghĩ xâm nhập hoặc lặp lại, phân ly, nhận thức bóp méo hoặc tiêu cực, tăng kích thích hoặc phản ứng, hoặc các triệu chứng xâm nhập khác hoặc phản ứng thể chất, tất cả liên quan đến một chấn thương cụ thể. Module này của DISC-5 được hỏi vị thành niên.</w:t>
            </w:r>
          </w:p>
        </w:tc>
      </w:tr>
      <w:tr>
        <w:tc>
          <w:tcPr>
            <w:tcW w:type="dxa" w:w="4320"/>
          </w:tcPr>
          <w:p>
            <w:r/>
            <w:r>
              <w:rPr>
                <w:rFonts w:ascii="Times New Roman" w:hAnsi="Times New Roman"/>
                <w:sz w:val="20"/>
              </w:rPr>
              <w:t>Người chăm sóc chính (Primary caregiver)</w:t>
            </w:r>
          </w:p>
        </w:tc>
        <w:tc>
          <w:tcPr>
            <w:tcW w:type="dxa" w:w="4320"/>
          </w:tcPr>
          <w:p>
            <w:r/>
            <w:r>
              <w:rPr>
                <w:rFonts w:ascii="Times New Roman" w:hAnsi="Times New Roman"/>
                <w:sz w:val="20"/>
              </w:rPr>
              <w:t>Người có trách nhiệm, chăm sóc, và có khả năng cung cấp thông tin tốt nhất về vị thành niên. Người chăm sóc chính tự nhận mình vào đầu phỏng vấn. Trong báo cáo này được gọi là "phụ huynh".</w:t>
            </w:r>
          </w:p>
        </w:tc>
      </w:tr>
      <w:tr>
        <w:tc>
          <w:tcPr>
            <w:tcW w:type="dxa" w:w="4320"/>
          </w:tcPr>
          <w:p>
            <w:r/>
            <w:r>
              <w:rPr>
                <w:rFonts w:ascii="Times New Roman" w:hAnsi="Times New Roman"/>
                <w:sz w:val="20"/>
              </w:rPr>
              <w:t>Tự làm hại bản thân (Self-harm)</w:t>
            </w:r>
          </w:p>
        </w:tc>
        <w:tc>
          <w:tcPr>
            <w:tcW w:type="dxa" w:w="4320"/>
          </w:tcPr>
          <w:p>
            <w:r/>
            <w:r>
              <w:rPr>
                <w:rFonts w:ascii="Times New Roman" w:hAnsi="Times New Roman"/>
                <w:sz w:val="20"/>
              </w:rPr>
              <w:t>Hành động cố ý gây tổn hại hoặc chấn thương cho bản thân mà không có ý định kết thúc cuộc sống. Điều này phân biệt tự làm hại với toan tự sát.</w:t>
            </w:r>
          </w:p>
        </w:tc>
      </w:tr>
      <w:tr>
        <w:tc>
          <w:tcPr>
            <w:tcW w:type="dxa" w:w="4320"/>
          </w:tcPr>
          <w:p>
            <w:r/>
            <w:r>
              <w:rPr>
                <w:rFonts w:ascii="Times New Roman" w:hAnsi="Times New Roman"/>
                <w:sz w:val="20"/>
              </w:rPr>
              <w:t>Dịch vụ (Service)</w:t>
            </w:r>
          </w:p>
        </w:tc>
        <w:tc>
          <w:tcPr>
            <w:tcW w:type="dxa" w:w="4320"/>
          </w:tcPr>
          <w:p>
            <w:r/>
            <w:r>
              <w:rPr>
                <w:rFonts w:ascii="Times New Roman" w:hAnsi="Times New Roman"/>
                <w:sz w:val="20"/>
              </w:rPr>
              <w:t>Trong khảo sát này, dịch vụ được xem là bất kỳ nhà cung cấp nào cung cấp hỗ trợ hoặc tư vấn cho vấn đề cảm xúc và hành vi. Các nhà cung cấp dịch vụ được bao gồm trong khảo sát: bác sĩ hoặc điều dưỡng; chuyên gia (ví dụ nhà tâm lý học hoặc bác sĩ tâm thần); nhân viên y tế cộng đồng; nhân viên trường học (giáo viên, huấn luyện viên, tư vấn viên trường học); lãnh đạo tôn giáo/tín ngưỡng; thầy thuốc truyền thống; Khác (theo định nghĩa của người tham gia). Định nghĩa nhà cung cấp được mở rộng để bao gồm những người thường không được xem là nhà cung cấp do khả năng các ngành này được tiếp cận cho các dịch vụ như vậy.</w:t>
            </w:r>
          </w:p>
        </w:tc>
      </w:tr>
      <w:tr>
        <w:tc>
          <w:tcPr>
            <w:tcW w:type="dxa" w:w="4320"/>
          </w:tcPr>
          <w:p>
            <w:r/>
            <w:r>
              <w:rPr>
                <w:rFonts w:ascii="Times New Roman" w:hAnsi="Times New Roman"/>
                <w:sz w:val="20"/>
              </w:rPr>
              <w:t>Sử dụng dịch vụ (Service use)</w:t>
            </w:r>
          </w:p>
        </w:tc>
        <w:tc>
          <w:tcPr>
            <w:tcW w:type="dxa" w:w="4320"/>
          </w:tcPr>
          <w:p>
            <w:r/>
            <w:r>
              <w:rPr>
                <w:rFonts w:ascii="Times New Roman" w:hAnsi="Times New Roman"/>
                <w:sz w:val="20"/>
              </w:rPr>
              <w:t>Được định nghĩa là sử dụng bất kỳ dịch vụ nào (bởi các nhà cung cấp liệt kê trên) cho hỗ trợ hoặc tư vấn cho vấn đề cảm xúc và hành vi. Câu hỏi sử dụng dịch vụ được hỏi phụ huynh.</w:t>
            </w:r>
          </w:p>
        </w:tc>
      </w:tr>
      <w:tr>
        <w:tc>
          <w:tcPr>
            <w:tcW w:type="dxa" w:w="4320"/>
          </w:tcPr>
          <w:p>
            <w:r/>
            <w:r>
              <w:rPr>
                <w:rFonts w:ascii="Times New Roman" w:hAnsi="Times New Roman"/>
                <w:sz w:val="20"/>
              </w:rPr>
              <w:t>Ám ảnh xã hội (Social phobia)</w:t>
            </w:r>
          </w:p>
        </w:tc>
        <w:tc>
          <w:tcPr>
            <w:tcW w:type="dxa" w:w="4320"/>
          </w:tcPr>
          <w:p>
            <w:r/>
            <w:r>
              <w:rPr>
                <w:rFonts w:ascii="Times New Roman" w:hAnsi="Times New Roman"/>
                <w:sz w:val="20"/>
              </w:rPr>
              <w:t>Đặc trưng bởi nỗi sợ một hoặc nhiều tình huống xã hội, nơi vị thành niên là trung tâm của sự chú ý của người khác, có thể gây ra cảm giác xấu hổ và nhục nhã. Điều này có thể dẫn đến việc vị thành niên tránh né các tình huống hoặc chịu đựng chúng nhưng sợ hãi khi làm vậy. Ở vị thành niên, các tình huống gây lo âu phải ở môi trường peer, không chỉ xung quanh người lớn. Module này của DISC-5 được hỏi vị thành niên.</w:t>
            </w:r>
          </w:p>
        </w:tc>
      </w:tr>
      <w:tr>
        <w:tc>
          <w:tcPr>
            <w:tcW w:type="dxa" w:w="4320"/>
          </w:tcPr>
          <w:p>
            <w:r/>
            <w:r>
              <w:rPr>
                <w:rFonts w:ascii="Times New Roman" w:hAnsi="Times New Roman"/>
                <w:sz w:val="20"/>
              </w:rPr>
              <w:t>Triệu chứng dưới ngưỡng (Subthreshold symptoms)</w:t>
            </w:r>
          </w:p>
        </w:tc>
        <w:tc>
          <w:tcPr>
            <w:tcW w:type="dxa" w:w="4320"/>
          </w:tcPr>
          <w:p>
            <w:r/>
            <w:r>
              <w:rPr>
                <w:rFonts w:ascii="Times New Roman" w:hAnsi="Times New Roman"/>
                <w:sz w:val="20"/>
              </w:rPr>
              <w:t>Trong DISC-5, một vị thành niên được xem là có triệu chứng dưới ngưỡng nếu ghi nhận ít nhất một nửa số triệu chứng DSM-5 yêu cầu nhưng không phải tất cả.</w:t>
            </w:r>
          </w:p>
        </w:tc>
      </w:tr>
      <w:tr>
        <w:tc>
          <w:tcPr>
            <w:tcW w:type="dxa" w:w="4320"/>
          </w:tcPr>
          <w:p>
            <w:r/>
            <w:r>
              <w:rPr>
                <w:rFonts w:ascii="Times New Roman" w:hAnsi="Times New Roman"/>
                <w:sz w:val="20"/>
              </w:rPr>
              <w:t>Hành vi tự sát (Suicidal behaviours)</w:t>
            </w:r>
          </w:p>
        </w:tc>
        <w:tc>
          <w:tcPr>
            <w:tcW w:type="dxa" w:w="4320"/>
          </w:tcPr>
          <w:p>
            <w:r/>
            <w:r>
              <w:rPr>
                <w:rFonts w:ascii="Times New Roman" w:hAnsi="Times New Roman"/>
                <w:sz w:val="20"/>
              </w:rPr>
              <w:t>Bao gồm ý nghĩ tự sát, lập kế hoạch tự sát, và toan tự sát.</w:t>
            </w:r>
          </w:p>
        </w:tc>
      </w:tr>
      <w:tr>
        <w:tc>
          <w:tcPr>
            <w:tcW w:type="dxa" w:w="4320"/>
          </w:tcPr>
          <w:p>
            <w:r/>
            <w:r>
              <w:rPr>
                <w:rFonts w:ascii="Times New Roman" w:hAnsi="Times New Roman"/>
                <w:sz w:val="20"/>
              </w:rPr>
              <w:t>Ý nghĩ tự sát (Suicidal ideation)</w:t>
            </w:r>
          </w:p>
        </w:tc>
        <w:tc>
          <w:tcPr>
            <w:tcW w:type="dxa" w:w="4320"/>
          </w:tcPr>
          <w:p>
            <w:r/>
            <w:r>
              <w:rPr>
                <w:rFonts w:ascii="Times New Roman" w:hAnsi="Times New Roman"/>
                <w:sz w:val="20"/>
              </w:rPr>
              <w:t>Nghĩ về việc muốn chết hoặc ý nghĩ chung về kết thúc cuộc sống của mình.</w:t>
            </w:r>
          </w:p>
        </w:tc>
      </w:tr>
      <w:tr>
        <w:tc>
          <w:tcPr>
            <w:tcW w:type="dxa" w:w="4320"/>
          </w:tcPr>
          <w:p>
            <w:r/>
            <w:r>
              <w:rPr>
                <w:rFonts w:ascii="Times New Roman" w:hAnsi="Times New Roman"/>
                <w:sz w:val="20"/>
              </w:rPr>
              <w:t>Toan tự sát (Suicide attempt)</w:t>
            </w:r>
          </w:p>
        </w:tc>
        <w:tc>
          <w:tcPr>
            <w:tcW w:type="dxa" w:w="4320"/>
          </w:tcPr>
          <w:p>
            <w:r/>
            <w:r>
              <w:rPr>
                <w:rFonts w:ascii="Times New Roman" w:hAnsi="Times New Roman"/>
                <w:sz w:val="20"/>
              </w:rPr>
              <w:t>Tự gây hại với ý định kết thúc cuộc sống của mình.</w:t>
            </w:r>
          </w:p>
        </w:tc>
      </w:tr>
      <w:tr>
        <w:tc>
          <w:tcPr>
            <w:tcW w:type="dxa" w:w="4320"/>
          </w:tcPr>
          <w:p>
            <w:r/>
            <w:r>
              <w:rPr>
                <w:rFonts w:ascii="Times New Roman" w:hAnsi="Times New Roman"/>
                <w:sz w:val="20"/>
              </w:rPr>
              <w:t>Lập kế hoạch tự sát (Suicide planning)</w:t>
            </w:r>
          </w:p>
        </w:tc>
        <w:tc>
          <w:tcPr>
            <w:tcW w:type="dxa" w:w="4320"/>
          </w:tcPr>
          <w:p>
            <w:r/>
            <w:r>
              <w:rPr>
                <w:rFonts w:ascii="Times New Roman" w:hAnsi="Times New Roman"/>
                <w:sz w:val="20"/>
              </w:rPr>
              <w:t>Lập kế hoạch để kết thúc cuộc sống của mình.</w:t>
            </w:r>
          </w:p>
        </w:tc>
      </w:tr>
    </w:tbl>
    <w:p>
      <w:pPr>
        <w:jc w:val="center"/>
      </w:pPr>
      <w:r>
        <w:rPr>
          <w:rFonts w:ascii="Times New Roman" w:hAnsi="Times New Roman"/>
          <w:i/>
          <w:color w:val="FF6600"/>
          <w:sz w:val="18"/>
        </w:rPr>
        <w:t>--- Trang 44, V-NAMHS, UNICEF/IOS 2022 ---</w:t>
      </w:r>
    </w:p>
    <w:p>
      <w:r>
        <w:rPr>
          <w:rFonts w:ascii="Times New Roman" w:hAnsi="Times New Roman"/>
          <w:b/>
          <w:color w:val="1F3A68"/>
          <w:sz w:val="28"/>
        </w:rPr>
        <w:t>PHỤ LỤC 4: Nhóm nghiên cứu (Appendix 4: Research teams)</w:t>
      </w:r>
    </w:p>
    <w:p>
      <w:r>
        <w:rPr>
          <w:rFonts w:ascii="Times New Roman" w:hAnsi="Times New Roman"/>
          <w:i/>
          <w:color w:val="808080"/>
          <w:sz w:val="20"/>
        </w:rPr>
        <w:t>Tên các thành viên giữ nguyên tiếng Anh/Việt như trong bản gốc để bảo toàn thông tin và credit.</w:t>
      </w:r>
    </w:p>
    <w:p>
      <w:r>
        <w:rPr>
          <w:rFonts w:ascii="Times New Roman" w:hAnsi="Times New Roman"/>
          <w:b/>
        </w:rPr>
        <w:t>Viện Xã hội học (IOS) – Chủ trì tại VN</w:t>
      </w:r>
    </w:p>
    <w:p>
      <w:r>
        <w:rPr>
          <w:rFonts w:ascii="Times New Roman" w:hAnsi="Times New Roman"/>
        </w:rPr>
        <w:t>TS. Vũ Mạnh Lợi — V-NAMHS Principal Investigator (VN)</w:t>
      </w:r>
    </w:p>
    <w:p>
      <w:r>
        <w:rPr>
          <w:rFonts w:ascii="Times New Roman" w:hAnsi="Times New Roman"/>
        </w:rPr>
        <w:t>TS. Nguyễn Đức Vinh — V-NAMHS Senior Research Officer</w:t>
      </w:r>
    </w:p>
    <w:p>
      <w:r>
        <w:rPr>
          <w:rFonts w:ascii="Times New Roman" w:hAnsi="Times New Roman"/>
        </w:rPr>
        <w:t>TS. Đào Thị Khánh Hoa — V-NAMHS Senior Research Officer</w:t>
      </w:r>
    </w:p>
    <w:p>
      <w:r>
        <w:rPr>
          <w:rFonts w:ascii="Times New Roman" w:hAnsi="Times New Roman"/>
        </w:rPr>
        <w:t>Prof. Đặng Nguyên Anh — V-NAMHS Senior Research Officer</w:t>
      </w:r>
    </w:p>
    <w:p>
      <w:r>
        <w:rPr>
          <w:rFonts w:ascii="Times New Roman" w:hAnsi="Times New Roman"/>
        </w:rPr>
        <w:t>TS. Nghiêm Thị Thuỷ — V-NAMHS Administrator</w:t>
      </w:r>
    </w:p>
    <w:p>
      <w:r>
        <w:rPr>
          <w:rFonts w:ascii="Times New Roman" w:hAnsi="Times New Roman"/>
        </w:rPr>
        <w:t>PGS.TS. Nguyễn Đức Chiến — V-NAMHS Research Officer</w:t>
      </w:r>
    </w:p>
    <w:p>
      <w:r>
        <w:rPr>
          <w:rFonts w:ascii="Times New Roman" w:hAnsi="Times New Roman"/>
        </w:rPr>
        <w:t>TS. Hoàng Vũ Linh Chi — V-NAMHS Research Officer</w:t>
      </w:r>
    </w:p>
    <w:p>
      <w:r>
        <w:rPr>
          <w:rFonts w:ascii="Times New Roman" w:hAnsi="Times New Roman"/>
        </w:rPr>
        <w:t>Khuất Thị Diệu Linh — V-NAMHS Research Officer</w:t>
      </w:r>
    </w:p>
    <w:p>
      <w:r>
        <w:rPr>
          <w:rFonts w:ascii="Times New Roman" w:hAnsi="Times New Roman"/>
        </w:rPr>
        <w:t>Trần Việt Long — V-NAMHS Research Officer</w:t>
      </w:r>
    </w:p>
    <w:p>
      <w:r>
        <w:rPr>
          <w:rFonts w:ascii="Times New Roman" w:hAnsi="Times New Roman"/>
        </w:rPr>
        <w:t>Nguyễn Thị Xuân — V-NAMHS Research Officer</w:t>
      </w:r>
    </w:p>
    <w:p>
      <w:r>
        <w:rPr>
          <w:rFonts w:ascii="Times New Roman" w:hAnsi="Times New Roman"/>
        </w:rPr>
        <w:t>Nguyễn Quang Tuấn — V-NAMHS Research Officer</w:t>
      </w:r>
    </w:p>
    <w:p>
      <w:r>
        <w:rPr>
          <w:rFonts w:ascii="Times New Roman" w:hAnsi="Times New Roman"/>
          <w:b/>
        </w:rPr>
        <w:t>Nhóm GOPFP</w:t>
      </w:r>
    </w:p>
    <w:p>
      <w:r>
        <w:rPr>
          <w:rFonts w:ascii="Times New Roman" w:hAnsi="Times New Roman"/>
        </w:rPr>
        <w:t>TS. Phạm Vũ Hoàng — GOPFP Team Leader</w:t>
      </w:r>
    </w:p>
    <w:p>
      <w:r>
        <w:rPr>
          <w:rFonts w:ascii="Times New Roman" w:hAnsi="Times New Roman"/>
        </w:rPr>
        <w:t>Nguyễn Cao Trường — Fieldwork Administrator</w:t>
      </w:r>
    </w:p>
    <w:p>
      <w:r>
        <w:rPr>
          <w:rFonts w:ascii="Times New Roman" w:hAnsi="Times New Roman"/>
          <w:b/>
        </w:rPr>
        <w:t>University of Queensland (UQ)</w:t>
      </w:r>
    </w:p>
    <w:p>
      <w:r>
        <w:rPr>
          <w:rFonts w:ascii="Times New Roman" w:hAnsi="Times New Roman"/>
        </w:rPr>
        <w:t>Dr. Holly Erskine — NAMHS Principal Investigator</w:t>
      </w:r>
    </w:p>
    <w:p>
      <w:r>
        <w:rPr>
          <w:rFonts w:ascii="Times New Roman" w:hAnsi="Times New Roman"/>
        </w:rPr>
        <w:t>Prof. Harvey Whiteford — NAMHS Senior Advisor</w:t>
      </w:r>
    </w:p>
    <w:p>
      <w:r>
        <w:rPr>
          <w:rFonts w:ascii="Times New Roman" w:hAnsi="Times New Roman"/>
        </w:rPr>
        <w:t>Prof. James Scott — NAMHS Clinical Advisor</w:t>
      </w:r>
    </w:p>
    <w:p>
      <w:r>
        <w:rPr>
          <w:rFonts w:ascii="Times New Roman" w:hAnsi="Times New Roman"/>
        </w:rPr>
        <w:t>Dr. Sarah Blondell — NAMHS Senior Research Officer</w:t>
      </w:r>
    </w:p>
    <w:p>
      <w:r>
        <w:rPr>
          <w:rFonts w:ascii="Times New Roman" w:hAnsi="Times New Roman"/>
        </w:rPr>
        <w:t>Krystina Wallis — NAMHS Research Officer</w:t>
      </w:r>
    </w:p>
    <w:p>
      <w:r>
        <w:rPr>
          <w:rFonts w:ascii="Times New Roman" w:hAnsi="Times New Roman"/>
        </w:rPr>
        <w:t>Cartiah McGrath — NAMHS Research Officer</w:t>
      </w:r>
    </w:p>
    <w:p>
      <w:r>
        <w:rPr>
          <w:rFonts w:ascii="Times New Roman" w:hAnsi="Times New Roman"/>
          <w:b/>
        </w:rPr>
        <w:t>Johns Hopkins Bloomberg School of Public Health (JHSPH)</w:t>
      </w:r>
    </w:p>
    <w:p>
      <w:r>
        <w:rPr>
          <w:rFonts w:ascii="Times New Roman" w:hAnsi="Times New Roman"/>
        </w:rPr>
        <w:t>Prof. Robert Blum — JHSPH NAMHS Project Lead</w:t>
      </w:r>
    </w:p>
    <w:p>
      <w:r>
        <w:rPr>
          <w:rFonts w:ascii="Times New Roman" w:hAnsi="Times New Roman"/>
        </w:rPr>
        <w:t>Dr. Shoshanna Fine — JHSPH NAMHS Assistant Scientist</w:t>
      </w:r>
    </w:p>
    <w:p>
      <w:r>
        <w:rPr>
          <w:rFonts w:ascii="Times New Roman" w:hAnsi="Times New Roman"/>
        </w:rPr>
        <w:t>Mengmeng Li — JHSPH NAMHS Data Analyst</w:t>
      </w:r>
    </w:p>
    <w:p>
      <w:r>
        <w:rPr>
          <w:rFonts w:ascii="Times New Roman" w:hAnsi="Times New Roman"/>
        </w:rPr>
        <w:t>Astha Ramaiya — JHSPH NAMHS Assistant Scientist</w:t>
      </w:r>
    </w:p>
    <w:p>
      <w:pPr>
        <w:jc w:val="center"/>
      </w:pPr>
      <w:r>
        <w:drawing>
          <wp:inline xmlns:a="http://schemas.openxmlformats.org/drawingml/2006/main" xmlns:pic="http://schemas.openxmlformats.org/drawingml/2006/picture">
            <wp:extent cx="3600000" cy="1599375"/>
            <wp:docPr id="8" name="Picture 8"/>
            <wp:cNvGraphicFramePr>
              <a:graphicFrameLocks noChangeAspect="1"/>
            </wp:cNvGraphicFramePr>
            <a:graphic>
              <a:graphicData uri="http://schemas.openxmlformats.org/drawingml/2006/picture">
                <pic:pic>
                  <pic:nvPicPr>
                    <pic:cNvPr id="0" name="p051_img1_Image304.jpg"/>
                    <pic:cNvPicPr/>
                  </pic:nvPicPr>
                  <pic:blipFill>
                    <a:blip r:embed="rId16"/>
                    <a:stretch>
                      <a:fillRect/>
                    </a:stretch>
                  </pic:blipFill>
                  <pic:spPr>
                    <a:xfrm>
                      <a:off x="0" y="0"/>
                      <a:ext cx="3600000" cy="1599375"/>
                    </a:xfrm>
                    <a:prstGeom prst="rect"/>
                  </pic:spPr>
                </pic:pic>
              </a:graphicData>
            </a:graphic>
          </wp:inline>
        </w:drawing>
      </w:r>
    </w:p>
    <w:p>
      <w:pPr>
        <w:jc w:val="center"/>
      </w:pPr>
      <w:r>
        <w:rPr>
          <w:rFonts w:ascii="Times New Roman" w:hAnsi="Times New Roman"/>
          <w:i/>
          <w:color w:val="666666"/>
          <w:sz w:val="18"/>
        </w:rPr>
        <w:t>Hình bìa cuối — V-NAMHS 2022</w:t>
        <w:br/>
        <w:t>(Back cover image — V-NAMHS 2022)</w:t>
      </w:r>
    </w:p>
    <w:p>
      <w:pPr>
        <w:jc w:val="center"/>
      </w:pPr>
      <w:r>
        <w:rPr>
          <w:rFonts w:ascii="Times New Roman" w:hAnsi="Times New Roman"/>
          <w:i/>
          <w:color w:val="FF6600"/>
          <w:sz w:val="18"/>
        </w:rPr>
        <w:t>--- Trang 45, V-NAMHS, UNICEF/IOS 2022 ---</w:t>
      </w:r>
    </w:p>
    <w:p>
      <w:r>
        <w:rPr>
          <w:rFonts w:ascii="Times New Roman" w:hAnsi="Times New Roman"/>
          <w:b/>
          <w:color w:val="1F3A68"/>
          <w:sz w:val="28"/>
        </w:rPr>
        <w:t>TÀI LIỆU THAM KHẢO (References)</w:t>
      </w:r>
    </w:p>
    <w:p>
      <w:r>
        <w:rPr>
          <w:rFonts w:ascii="Times New Roman" w:hAnsi="Times New Roman"/>
          <w:i/>
          <w:color w:val="808080"/>
          <w:sz w:val="20"/>
        </w:rPr>
        <w:t>(Theo chuẩn học thuật APA, danh sách tham khảo được GIỮ NGUYÊN TIẾNG ANH, không dịch.)</w:t>
      </w:r>
    </w:p>
    <w:p>
      <w:r>
        <w:rPr>
          <w:rFonts w:ascii="Times New Roman" w:hAnsi="Times New Roman"/>
          <w:sz w:val="20"/>
        </w:rPr>
        <w:t>American Psychiatric Association. 2013. "Diagnostic and Statistical Manual of Mental Disorders: Fifth Edition, DSM-5." Washington DC: American Psychiatric Publishing.</w:t>
      </w:r>
    </w:p>
    <w:p>
      <w:r>
        <w:rPr>
          <w:rFonts w:ascii="Times New Roman" w:hAnsi="Times New Roman"/>
          <w:i/>
          <w:color w:val="555555"/>
          <w:sz w:val="20"/>
        </w:rPr>
        <w:t>Hiệp hội Tâm thần Hoa Kỳ. 2013. "Sổ tay Chẩn đoán và Thống kê Rối loạn Tâm thần: Tái bản thứ Năm, DSM-5." Washington DC: Nhà xuất bản Hiệp hội Tâm thần Hoa Kỳ.</w:t>
      </w:r>
    </w:p>
    <w:p/>
    <w:p>
      <w:r>
        <w:rPr>
          <w:rFonts w:ascii="Times New Roman" w:hAnsi="Times New Roman"/>
          <w:sz w:val="20"/>
        </w:rPr>
        <w:t>Bitsko, R., H.R. Adams, J. Holbrook, A. Vierhile, P. Morrison and P.W. Fisher. 2019. "2.50 Diagnostic Interview Schedule for Children, Version 5 (DISC-5): Development and Validation of ADHD and Tic Disorder Modules." Journal of the American Academy of Child &amp; Adolescent Psychiatry 58(10): Supplement.</w:t>
      </w:r>
    </w:p>
    <w:p>
      <w:r>
        <w:rPr>
          <w:rFonts w:ascii="Times New Roman" w:hAnsi="Times New Roman"/>
          <w:i/>
          <w:color w:val="555555"/>
          <w:sz w:val="20"/>
        </w:rPr>
        <w:t>Bitsko R. và cộng sự. 2019. "2.50 Bảng Phỏng vấn Chẩn đoán cho Trẻ em, Phiên bản 5 (DISC-5): Phát triển và Thẩm định các Module ADHD và Rối loạn Tic." Tạp chí Viện Hàn lâm Tâm thần Trẻ em và Vị thành niên Hoa Kỳ 58(10): Phụ lục.</w:t>
      </w:r>
    </w:p>
    <w:p/>
    <w:p>
      <w:r>
        <w:rPr>
          <w:rFonts w:ascii="Times New Roman" w:hAnsi="Times New Roman"/>
          <w:sz w:val="20"/>
        </w:rPr>
        <w:t>Blum, R., M. Sudhinaraset and M.R. Emerson. 2012. "Youth at Risk: Suicidal Thoughts and Attempts in Vietnam, China, and Taiwan." Journal of Adolescent Health 50(3):S37–S44. doi: 10.1016/j.jadohealth.2011.12.006</w:t>
      </w:r>
    </w:p>
    <w:p>
      <w:r>
        <w:rPr>
          <w:rFonts w:ascii="Times New Roman" w:hAnsi="Times New Roman"/>
          <w:i/>
          <w:color w:val="555555"/>
          <w:sz w:val="20"/>
        </w:rPr>
        <w:t>Blum R., Sudhinaraset M. và Emerson M.R. 2012. "Vị thành niên có nguy cơ: Ý nghĩ và Hành vi Tự sát tại Việt Nam, Trung Quốc và Đài Loan." Tạp chí Sức khoẻ Vị thành niên 50(3):S37–S44.</w:t>
      </w:r>
    </w:p>
    <w:p/>
    <w:p>
      <w:r>
        <w:rPr>
          <w:rFonts w:ascii="Times New Roman" w:hAnsi="Times New Roman"/>
          <w:sz w:val="20"/>
        </w:rPr>
        <w:t>Bộ Giáo dục và Đào tạo. 2022a. "Quyết định số 2138/QĐ-BGDĐT ngày 03 tháng 08 năm 2022 ban hành Kế hoạch giáo dục sức khoẻ tâm thần cho trẻ em, học sinh giai đoạn 2022-2025." Hà Nội.</w:t>
      </w:r>
    </w:p>
    <w:p>
      <w:r>
        <w:rPr>
          <w:rFonts w:ascii="Times New Roman" w:hAnsi="Times New Roman"/>
          <w:i/>
          <w:color w:val="555555"/>
          <w:sz w:val="20"/>
        </w:rPr>
        <w:t>(Văn bản tiếng Việt gốc — không cần dịch. Đã bản địa hoá trước khi báo cáo xuất bản.)</w:t>
      </w:r>
    </w:p>
    <w:p>
      <w:r>
        <w:rPr>
          <w:rFonts w:ascii="Times New Roman" w:hAnsi="Times New Roman"/>
          <w:sz w:val="20"/>
        </w:rPr>
        <w:t>Bộ Giáo dục và Đào tạo. 2022b. "Quyết định số 1442/QĐ-BGDĐT ngày 01 tháng 6 năm 2022 ban hành Chương trình giáo dục sức khoẻ tâm thần cho trẻ em, học sinh giai đoạn 2022-2025 Của Ngành Giáo Dục." Hà Nội.</w:t>
      </w:r>
    </w:p>
    <w:p>
      <w:r>
        <w:rPr>
          <w:rFonts w:ascii="Times New Roman" w:hAnsi="Times New Roman"/>
          <w:i/>
          <w:color w:val="555555"/>
          <w:sz w:val="20"/>
        </w:rPr>
        <w:t>(Văn bản tiếng Việt gốc — không cần dịch.)</w:t>
      </w:r>
    </w:p>
    <w:p>
      <w:r>
        <w:rPr>
          <w:rFonts w:ascii="Times New Roman" w:hAnsi="Times New Roman"/>
          <w:sz w:val="20"/>
        </w:rPr>
        <w:t>Bộ Y tế. 2022. "Công văn số 2213/BYT-DP ngày 29 tháng 4 năm 2022 về việc Tạm dừng áp dụng khai báo y tế nội địa." Hà Nội.</w:t>
      </w:r>
    </w:p>
    <w:p>
      <w:r>
        <w:rPr>
          <w:rFonts w:ascii="Times New Roman" w:hAnsi="Times New Roman"/>
          <w:i/>
          <w:color w:val="555555"/>
          <w:sz w:val="20"/>
        </w:rPr>
        <w:t>(Văn bản tiếng Việt gốc — không cần dịch.)</w:t>
      </w:r>
    </w:p>
    <w:p/>
    <w:p>
      <w:r>
        <w:rPr>
          <w:rFonts w:ascii="Times New Roman" w:hAnsi="Times New Roman"/>
          <w:sz w:val="20"/>
        </w:rPr>
        <w:t>Canino, G. and M. Alegria. 2008. "Psychiatric Diagnosis — Is It Universal or Relative to Culture?" Journal of Child Psychology and Psychiatry 49(3):237–50.</w:t>
      </w:r>
    </w:p>
    <w:p>
      <w:r>
        <w:rPr>
          <w:rFonts w:ascii="Times New Roman" w:hAnsi="Times New Roman"/>
          <w:i/>
          <w:color w:val="555555"/>
          <w:sz w:val="20"/>
        </w:rPr>
        <w:t>Canino G. và Alegria M. 2008. "Chẩn đoán tâm thần — Có tính phổ quát hay tuỳ thuộc văn hoá?" Tạp chí Tâm lý học và Tâm thần học Trẻ em 49(3):237–50.</w:t>
      </w:r>
    </w:p>
    <w:p/>
    <w:p>
      <w:r>
        <w:rPr>
          <w:rFonts w:ascii="Times New Roman" w:hAnsi="Times New Roman"/>
          <w:sz w:val="20"/>
        </w:rPr>
        <w:t>Cao Tiến Đức. 2020. "Sức khoẻ tâm thần: thực trạng, thách thức và những tiến bộ mới trong chẩn đoán và điều trị." Tạp chí Nội khoa Việt Nam 19:15–20.</w:t>
      </w:r>
    </w:p>
    <w:p>
      <w:r>
        <w:rPr>
          <w:rFonts w:ascii="Times New Roman" w:hAnsi="Times New Roman"/>
          <w:i/>
          <w:color w:val="555555"/>
          <w:sz w:val="20"/>
        </w:rPr>
        <w:t>(Tác phẩm tiếng Việt gốc — không cần dịch.)</w:t>
      </w:r>
    </w:p>
    <w:p/>
    <w:p>
      <w:r>
        <w:rPr>
          <w:rFonts w:ascii="Times New Roman" w:hAnsi="Times New Roman"/>
          <w:sz w:val="20"/>
        </w:rPr>
        <w:t>Chính phủ. 2022. "Nghị quyết 38/NQ-CP ngày 17 tháng 3 năm 2022 ban hành Chương trình phòng, chống dịch Covid-19." Hà Nội.</w:t>
      </w:r>
    </w:p>
    <w:p>
      <w:r>
        <w:rPr>
          <w:rFonts w:ascii="Times New Roman" w:hAnsi="Times New Roman"/>
          <w:i/>
          <w:color w:val="555555"/>
          <w:sz w:val="20"/>
        </w:rPr>
        <w:t>(Văn bản tiếng Việt gốc — không cần dịch.)</w:t>
      </w:r>
    </w:p>
    <w:p/>
    <w:p>
      <w:r>
        <w:rPr>
          <w:rFonts w:ascii="Times New Roman" w:hAnsi="Times New Roman"/>
          <w:sz w:val="20"/>
        </w:rPr>
        <w:t>Colizzi, M., A. Lasalvia and M. Ruggeri. 2020. "Prevention and Early Intervention in Youth Mental Health: Is It Time for a Multidisciplinary and Trans-Diagnostic Model for Care?" International Journal of Mental Health Systems 14.</w:t>
      </w:r>
    </w:p>
    <w:p>
      <w:r>
        <w:rPr>
          <w:rFonts w:ascii="Times New Roman" w:hAnsi="Times New Roman"/>
          <w:i/>
          <w:color w:val="555555"/>
          <w:sz w:val="20"/>
        </w:rPr>
        <w:t>Colizzi M., Lasalvia A. và Ruggeri M. 2020. "Phòng ngừa và Can thiệp Sớm trong Sức khoẻ Tâm thần Thanh thiếu niên: Đã đến lúc cho Mô hình Chăm sóc Đa ngành và Xuyên Chẩn đoán?" Tạp chí Quốc tế về Hệ thống Sức khoẻ Tâm thần 14.</w:t>
      </w:r>
    </w:p>
    <w:p/>
    <w:p>
      <w:r>
        <w:rPr>
          <w:rFonts w:ascii="Times New Roman" w:hAnsi="Times New Roman"/>
          <w:sz w:val="20"/>
        </w:rPr>
        <w:t>COVID-19 Mental Disorders Collaborators. 2021. "Global Prevalence and Burden of Depressive and Anxiety Disorders in 204 Countries and Territories in 2020 Due to the Covid-19 Pandemic." The Lancet 398(10312):1700–12.</w:t>
      </w:r>
    </w:p>
    <w:p>
      <w:r>
        <w:rPr>
          <w:rFonts w:ascii="Times New Roman" w:hAnsi="Times New Roman"/>
          <w:i/>
          <w:color w:val="555555"/>
          <w:sz w:val="20"/>
        </w:rPr>
        <w:t>Nhóm Cộng tác Rối loạn Tâm thần COVID-19. 2021. "Tỷ lệ và Gánh nặng Toàn cầu của Rối loạn Trầm cảm và Lo âu tại 204 Quốc gia và Vùng lãnh thổ năm 2020 do Đại dịch COVID-19." The Lancet 398(10312):1700–12.</w:t>
      </w:r>
    </w:p>
    <w:p/>
    <w:p>
      <w:r>
        <w:rPr>
          <w:rFonts w:ascii="Times New Roman" w:hAnsi="Times New Roman"/>
          <w:sz w:val="20"/>
        </w:rPr>
        <w:t>Demyttenaere, K. et al. 2004. "Prevalence, Severity, and Unmet Need for Treatment of Mental Disorders in the WHO World Mental Health Surveys." JAMA 291(21):2581–90.</w:t>
      </w:r>
    </w:p>
    <w:p>
      <w:r>
        <w:rPr>
          <w:rFonts w:ascii="Times New Roman" w:hAnsi="Times New Roman"/>
          <w:i/>
          <w:color w:val="555555"/>
          <w:sz w:val="20"/>
        </w:rPr>
        <w:t>Demyttenaere K. và cộng sự. 2004. "Tỷ lệ, Mức độ nghiêm trọng và Nhu cầu Điều trị chưa được Đáp ứng đối với Rối loạn Tâm thần trong các Khảo sát Sức khoẻ Tâm thần Thế giới của WHO." JAMA 291(21):2581–90.</w:t>
      </w:r>
    </w:p>
    <w:p/>
    <w:p>
      <w:r>
        <w:rPr>
          <w:rFonts w:ascii="Times New Roman" w:hAnsi="Times New Roman"/>
          <w:sz w:val="20"/>
        </w:rPr>
        <w:t>Erskine, H.E. et al. 2015. "A Heavy Burden on Young Minds: The Global Burden of Mental and Substance Use Disorders in Children and Youth." Psychological Medicine 45(7):1551–63.</w:t>
      </w:r>
    </w:p>
    <w:p>
      <w:r>
        <w:rPr>
          <w:rFonts w:ascii="Times New Roman" w:hAnsi="Times New Roman"/>
          <w:i/>
          <w:color w:val="555555"/>
          <w:sz w:val="20"/>
        </w:rPr>
        <w:t>Erskine H.E. và cộng sự. 2015. "Một Gánh nặng cho Tâm trí Trẻ: Gánh nặng Toàn cầu của Rối loạn Tâm thần và Sử dụng Chất ở Trẻ em và Thanh niên." Y học Tâm lý 45(7):1551–63.</w:t>
      </w:r>
    </w:p>
    <w:p/>
    <w:p>
      <w:r>
        <w:rPr>
          <w:rFonts w:ascii="Times New Roman" w:hAnsi="Times New Roman"/>
          <w:sz w:val="20"/>
        </w:rPr>
        <w:t>Erskine, H.E. et al. 2016. "Long-Term Outcomes of Attention-Deficit/Hyperactivity Disorder and Conduct Disorder: A Systematic Review and Meta-Analysis." Journal of the American Academy of Child &amp; Adolescent Psychiatry 55(10):841–50.</w:t>
      </w:r>
    </w:p>
    <w:p>
      <w:r>
        <w:rPr>
          <w:rFonts w:ascii="Times New Roman" w:hAnsi="Times New Roman"/>
          <w:i/>
          <w:color w:val="555555"/>
          <w:sz w:val="20"/>
        </w:rPr>
        <w:t>Erskine H.E. và cộng sự. 2016. "Kết quả dài hạn của Rối loạn Tăng động Giảm Chú ý và Rối loạn Hành vi: Tổng quan Hệ thống và Phân tích Meta." Tạp chí Viện Hàn lâm Tâm thần Trẻ em và Vị thành niên Hoa Kỳ 55(10):841–50.</w:t>
      </w:r>
    </w:p>
    <w:p/>
    <w:p>
      <w:r>
        <w:rPr>
          <w:rFonts w:ascii="Times New Roman" w:hAnsi="Times New Roman"/>
          <w:sz w:val="20"/>
        </w:rPr>
        <w:t>Erskine, H.E., S. Blondell, M. Enright, J. Shadid, Y. Wado, F.M. Wekesah, A.E. Wahdi, S.A. Wilopo, L.M. Vu, H.T.K. Dao, V.D. Nguyen, M.R. Emerson, S.L. Fine, Mengmeng Li, R.W. Blum, H.A. Whiteford and J.G. Scott. 2021. "Measuring the Prevalence of Mental Disorders in Adolescents in Kenya, Indonesia, and Vietnam: Study Protocol for the National Adolescent Mental Health Surveys." Journal of Adolescent Health.</w:t>
      </w:r>
    </w:p>
    <w:p>
      <w:r>
        <w:rPr>
          <w:rFonts w:ascii="Times New Roman" w:hAnsi="Times New Roman"/>
          <w:i/>
          <w:color w:val="555555"/>
          <w:sz w:val="20"/>
        </w:rPr>
        <w:t>Erskine H.E. và cộng sự (bao gồm Vũ Mạnh Lợi, Đào Thị Khánh Hoa, Nguyễn Đức Vinh từ Việt Nam). 2021. "Đo lường Tỷ lệ Rối loạn Tâm thần ở Vị thành niên tại Kenya, Indonesia và Việt Nam: Đề cương Nghiên cứu cho các Khảo sát Sức khoẻ Tâm thần Vị thành niên Quốc gia." Tạp chí Sức khoẻ Vị thành niên.</w:t>
      </w:r>
    </w:p>
    <w:p/>
    <w:p>
      <w:r>
        <w:rPr>
          <w:rFonts w:ascii="Times New Roman" w:hAnsi="Times New Roman"/>
          <w:sz w:val="20"/>
        </w:rPr>
        <w:t>Ferrari, A.J. et al. 2013. "The Epidemiological Modelling of Major Depressive Disorder: Application for the Global Burden of Disease Study 2010." PLOS One 8(7): e69637.</w:t>
      </w:r>
    </w:p>
    <w:p>
      <w:r>
        <w:rPr>
          <w:rFonts w:ascii="Times New Roman" w:hAnsi="Times New Roman"/>
          <w:i/>
          <w:color w:val="555555"/>
          <w:sz w:val="20"/>
        </w:rPr>
        <w:t>Ferrari A.J. và cộng sự. 2013. "Mô hình hoá Dịch tễ học Rối loạn Trầm cảm Nặng: Ứng dụng cho Nghiên cứu Gánh nặng Bệnh tật Toàn cầu 2010." PLOS One 8(7): e69637.</w:t>
      </w:r>
    </w:p>
    <w:p/>
    <w:p>
      <w:r>
        <w:rPr>
          <w:rFonts w:ascii="Times New Roman" w:hAnsi="Times New Roman"/>
          <w:sz w:val="20"/>
        </w:rPr>
        <w:t>GBD 2019 Mental Disorders Collaborators. 2022. "Global, Regional, and National Burden of 12 Mental Disorders in 204 Countries and Territories, 1990–2019: A Systematic Analysis for the Global Burden of Disease Study 2019." The Lancet Psychiatry 9(2):137–50.</w:t>
      </w:r>
    </w:p>
    <w:p>
      <w:r>
        <w:rPr>
          <w:rFonts w:ascii="Times New Roman" w:hAnsi="Times New Roman"/>
          <w:i/>
          <w:color w:val="555555"/>
          <w:sz w:val="20"/>
        </w:rPr>
        <w:t>Nhóm Cộng tác GBD 2019 Rối loạn Tâm thần. 2022. "Gánh nặng Toàn cầu, Khu vực và Quốc gia của 12 Rối loạn Tâm thần tại 204 Quốc gia và Vùng lãnh thổ, 1990–2019: Phân tích Hệ thống cho Nghiên cứu Gánh nặng Bệnh tật Toàn cầu 2019." The Lancet Psychiatry 9(2):137–50.</w:t>
      </w:r>
    </w:p>
    <w:p/>
    <w:p>
      <w:r>
        <w:rPr>
          <w:rFonts w:ascii="Times New Roman" w:hAnsi="Times New Roman"/>
          <w:sz w:val="20"/>
        </w:rPr>
        <w:t>General Statistical Office. 2020. Kết quả toàn bộ Tổng điều tra dân số và nhà ở năm 2019 / Completed Results of the 2019 Viet Nam Population and Housing Census. Hà Nội: NXB Thống kê.</w:t>
      </w:r>
    </w:p>
    <w:p>
      <w:r>
        <w:rPr>
          <w:rFonts w:ascii="Times New Roman" w:hAnsi="Times New Roman"/>
          <w:i/>
          <w:color w:val="555555"/>
          <w:sz w:val="20"/>
        </w:rPr>
        <w:t>(Song ngữ gốc — không cần dịch bổ sung. Tác giả: Tổng cục Thống kê Việt Nam.)</w:t>
      </w:r>
    </w:p>
    <w:p/>
    <w:p>
      <w:r>
        <w:rPr>
          <w:rFonts w:ascii="Times New Roman" w:hAnsi="Times New Roman"/>
          <w:sz w:val="20"/>
        </w:rPr>
        <w:t>Hafekost, J. et al. 2016. "Methodology of Young Minds Matter: The Second Australian Child and Adolescent Survey of Mental Health and Wellbeing." Australian and New Zealand Journal of Psychiatry 50(9):866–75.</w:t>
      </w:r>
    </w:p>
    <w:p>
      <w:r>
        <w:rPr>
          <w:rFonts w:ascii="Times New Roman" w:hAnsi="Times New Roman"/>
          <w:i/>
          <w:color w:val="555555"/>
          <w:sz w:val="20"/>
        </w:rPr>
        <w:t>Hafekost J. và cộng sự. 2016. "Phương pháp của Young Minds Matter: Khảo sát Sức khoẻ Tâm thần và Hạnh phúc Trẻ em và Vị thành niên Úc lần thứ Hai." Tạp chí Tâm thần học Úc và New Zealand 50(9):866–75.</w:t>
      </w:r>
    </w:p>
    <w:p/>
    <w:p>
      <w:r>
        <w:rPr>
          <w:rFonts w:ascii="Times New Roman" w:hAnsi="Times New Roman"/>
          <w:sz w:val="20"/>
        </w:rPr>
        <w:t>Hafstad, G.S. and E. Augusti. 2021. "A Lost Generation? Covid-19 and Adolescent Mental Health." The Lancet Psychiatry 8(8):640–41.</w:t>
      </w:r>
    </w:p>
    <w:p>
      <w:r>
        <w:rPr>
          <w:rFonts w:ascii="Times New Roman" w:hAnsi="Times New Roman"/>
          <w:i/>
          <w:color w:val="555555"/>
          <w:sz w:val="20"/>
        </w:rPr>
        <w:t>Hafstad G.S. và Augusti E. 2021. "Một Thế hệ Mất mát? COVID-19 và Sức khoẻ Tâm thần Vị thành niên." The Lancet Psychiatry 8(8):640–41.</w:t>
      </w:r>
    </w:p>
    <w:p/>
    <w:p>
      <w:r>
        <w:rPr>
          <w:rFonts w:ascii="Times New Roman" w:hAnsi="Times New Roman"/>
          <w:sz w:val="20"/>
        </w:rPr>
        <w:t>Hoang M.D., T.T. Lam, A. Dao and B. Weiss. 2020. "Mental Health Literacy at the Public Health Level in Low and Middle Income Countries: An Exploratory Mixed Methods Study in Vietnam." PLOS One.</w:t>
      </w:r>
    </w:p>
    <w:p>
      <w:r>
        <w:rPr>
          <w:rFonts w:ascii="Times New Roman" w:hAnsi="Times New Roman"/>
          <w:i/>
          <w:color w:val="555555"/>
          <w:sz w:val="20"/>
        </w:rPr>
        <w:t>Đặng Hoàng Minh, Lâm T.T., Đào A. và Weiss B. 2020. "Kiến thức về Sức khoẻ Tâm thần ở Cấp độ Y tế Công cộng tại các Quốc gia Thu nhập Thấp và Trung bình: Nghiên cứu Hỗn hợp Thăm dò tại Việt Nam." PLOS One.</w:t>
      </w:r>
    </w:p>
    <w:p/>
    <w:p>
      <w:r>
        <w:rPr>
          <w:rFonts w:ascii="Times New Roman" w:hAnsi="Times New Roman"/>
          <w:sz w:val="20"/>
        </w:rPr>
        <w:t>Hoang M.D., B. Weiss, T. Lam and H. Ho. 2018. "Mental Health Literacy and Intervention Program Adaptation in the Internationalization of School Psychology for Vietnam." Psychology in the School 55(8):941–54.</w:t>
      </w:r>
    </w:p>
    <w:p>
      <w:r>
        <w:rPr>
          <w:rFonts w:ascii="Times New Roman" w:hAnsi="Times New Roman"/>
          <w:i/>
          <w:color w:val="555555"/>
          <w:sz w:val="20"/>
        </w:rPr>
        <w:t>Đặng Hoàng Minh, Weiss B., Lâm T. và Hồ H. 2018. "Kiến thức Sức khoẻ Tâm thần và Thích ứng Chương trình Can thiệp trong Quốc tế hoá Tâm lý học Trường học cho Việt Nam." Tâm lý học trong Trường học 55(8):941–54.</w:t>
      </w:r>
    </w:p>
    <w:p/>
    <w:p>
      <w:r>
        <w:rPr>
          <w:rFonts w:ascii="Times New Roman" w:hAnsi="Times New Roman"/>
          <w:sz w:val="20"/>
        </w:rPr>
        <w:t>Hoàng Thế Hải and Bùi Thị Thanh Diệu. 2021. "Thái độ kỳ thị đối với người mắc bệnh tâm thần của học sinh trung học phổ thông." Tạp chí Khoa học và Công nghệ 19(2):33–37.</w:t>
      </w:r>
    </w:p>
    <w:p>
      <w:r>
        <w:rPr>
          <w:rFonts w:ascii="Times New Roman" w:hAnsi="Times New Roman"/>
          <w:i/>
          <w:color w:val="555555"/>
          <w:sz w:val="20"/>
        </w:rPr>
        <w:t>(Tác phẩm tiếng Việt gốc — không cần dịch.)</w:t>
      </w:r>
    </w:p>
    <w:p/>
    <w:p>
      <w:r>
        <w:rPr>
          <w:rFonts w:ascii="Times New Roman" w:hAnsi="Times New Roman"/>
          <w:sz w:val="20"/>
        </w:rPr>
        <w:t>Jones E.A., A.K. Mitra and A.R. Bhuiyan. 2021. "Impact of Covid-19 on Mental Health in Adolescents: A Systematic Review." International Journal of Environmental Research and Public Health 18(5):2470.</w:t>
      </w:r>
    </w:p>
    <w:p>
      <w:r>
        <w:rPr>
          <w:rFonts w:ascii="Times New Roman" w:hAnsi="Times New Roman"/>
          <w:i/>
          <w:color w:val="555555"/>
          <w:sz w:val="20"/>
        </w:rPr>
        <w:t>Jones E.A., Mitra A.K. và Bhuiyan A.R. 2021. "Tác động của COVID-19 lên Sức khoẻ Tâm thần ở Vị thành niên: Tổng quan Hệ thống." Tạp chí Quốc tế về Nghiên cứu Môi trường và Y tế Công cộng 18(5):2470.</w:t>
      </w:r>
    </w:p>
    <w:p/>
    <w:p>
      <w:r>
        <w:rPr>
          <w:rFonts w:ascii="Times New Roman" w:hAnsi="Times New Roman"/>
          <w:sz w:val="20"/>
        </w:rPr>
        <w:t>Kamimura, A. et al. 2018. "Perceptions of Mental Health and Mental Health Services among College Students in Vietnam and the United States." Asian Journal of Psychiatry 37:15–19.</w:t>
      </w:r>
    </w:p>
    <w:p>
      <w:r>
        <w:rPr>
          <w:rFonts w:ascii="Times New Roman" w:hAnsi="Times New Roman"/>
          <w:i/>
          <w:color w:val="555555"/>
          <w:sz w:val="20"/>
        </w:rPr>
        <w:t>Kamimura A. và cộng sự. 2018. "Nhận thức về Sức khoẻ Tâm thần và Dịch vụ Sức khoẻ Tâm thần ở Sinh viên Đại học tại Việt Nam và Hoa Kỳ." Tạp chí Tâm thần học Châu Á 37:15–19.</w:t>
      </w:r>
    </w:p>
    <w:p/>
    <w:p>
      <w:r>
        <w:rPr>
          <w:rFonts w:ascii="Times New Roman" w:hAnsi="Times New Roman"/>
          <w:sz w:val="20"/>
        </w:rPr>
        <w:t>Keynejad, R.C., J. Spagnolo and G. Thornicroft. 2022. "Mental Healthcare in Primary and Community-Based Settings: Evidence Beyond the WHO Mental Health Gap Action Programme (mhGAP (Mental Health Gap Action Programme — WHO)) Intervention Guide." Evidence-Based Mental Health.</w:t>
      </w:r>
    </w:p>
    <w:p>
      <w:r>
        <w:rPr>
          <w:rFonts w:ascii="Times New Roman" w:hAnsi="Times New Roman"/>
          <w:i/>
          <w:color w:val="555555"/>
          <w:sz w:val="20"/>
        </w:rPr>
        <w:t>Keynejad R.C., Spagnolo J. và Thornicroft G. 2022. "Chăm sóc Sức khoẻ Tâm thần tại Bối cảnh Y tế Ban đầu và Cộng đồng: Bằng chứng Vượt ra ngoài Hướng dẫn Can thiệp mhGAP của WHO." Sức khoẻ Tâm thần Dựa trên Bằng chứng.</w:t>
      </w:r>
    </w:p>
    <w:p>
      <w:r>
        <w:rPr>
          <w:rFonts w:ascii="Times New Roman" w:hAnsi="Times New Roman"/>
          <w:sz w:val="20"/>
        </w:rPr>
        <w:t>Kim, J.H.J., W. Tsai, T. Kodish, L.T. Trung, A.S. Lau and B. Weiss. 2019. "Cultural Variation in Temporal Associations among Somatic Complaints, Anxiety, and Depressive Symptoms in Adolescence." Journal of Psychosomatic Research 124:109763.</w:t>
      </w:r>
    </w:p>
    <w:p>
      <w:r>
        <w:rPr>
          <w:rFonts w:ascii="Times New Roman" w:hAnsi="Times New Roman"/>
          <w:i/>
          <w:color w:val="555555"/>
          <w:sz w:val="20"/>
        </w:rPr>
        <w:t>Kim J.H.J., Tsai W., Kodish T., L.T. Trung, Lau A.S. và Weiss B. 2019. "Khác biệt Văn hoá trong Mối liên hệ Thời gian giữa Khiếu nại Cơ thể, Triệu chứng Lo âu và Trầm cảm ở Vị thành niên." Tạp chí Nghiên cứu Tâm lý học Cơ thể 124:109763.</w:t>
      </w:r>
    </w:p>
    <w:p/>
    <w:p>
      <w:r>
        <w:rPr>
          <w:rFonts w:ascii="Times New Roman" w:hAnsi="Times New Roman"/>
          <w:sz w:val="20"/>
        </w:rPr>
        <w:t>Mai D., N.N.K. Pham, S. Wallick and B.K. Nastasi. 2014. "Perceptions of Mental Illness and Related Stigma among Vietnamese Populations: Findings from a Mixed Method Study." Journal of Immigrant and Minority Health 16:1294–98.</w:t>
      </w:r>
    </w:p>
    <w:p>
      <w:r>
        <w:rPr>
          <w:rFonts w:ascii="Times New Roman" w:hAnsi="Times New Roman"/>
          <w:i/>
          <w:color w:val="555555"/>
          <w:sz w:val="20"/>
        </w:rPr>
        <w:t>Đỗ Mai, Phạm N.N.K., Wallick S. và Nastasi B.K. 2014. "Nhận thức về Bệnh Tâm thần và Kỳ thị Liên quan trong Quần thể người Việt: Phát hiện từ Nghiên cứu Phương pháp Hỗn hợp." Tạp chí Sức khoẻ Người nhập cư và Dân tộc Thiểu số 16:1294–98.</w:t>
      </w:r>
    </w:p>
    <w:p/>
    <w:p>
      <w:r>
        <w:rPr>
          <w:rFonts w:ascii="Times New Roman" w:hAnsi="Times New Roman"/>
          <w:sz w:val="20"/>
        </w:rPr>
        <w:t>Mckelvey, R.S., L.V. Baldassar, D.L. Sang and L. Roberts. 1999. "Vietnamese Parental Perceptions of Child and Adolescent Mental Illness." Journal of the American Academy of Child &amp; Adolescent Psychiatry 38(10):1302–09.</w:t>
      </w:r>
    </w:p>
    <w:p>
      <w:r>
        <w:rPr>
          <w:rFonts w:ascii="Times New Roman" w:hAnsi="Times New Roman"/>
          <w:i/>
          <w:color w:val="555555"/>
          <w:sz w:val="20"/>
        </w:rPr>
        <w:t>McKelvey R.S., Baldassar L.V., D.L. Sang và Roberts L. 1999. "Nhận thức của Phụ huynh Việt Nam về Bệnh Tâm thần ở Trẻ em và Vị thành niên." Tạp chí Viện Hàn lâm Tâm thần Trẻ em và Vị thành niên Hoa Kỳ 38(10):1302–09.</w:t>
      </w:r>
    </w:p>
    <w:p/>
    <w:p>
      <w:r>
        <w:rPr>
          <w:rFonts w:ascii="Times New Roman" w:hAnsi="Times New Roman"/>
          <w:sz w:val="20"/>
        </w:rPr>
        <w:t>MOLISA (Bộ Lao động-Thương binh và Xã hội). 2012. Quyết định số 1364/QĐ-LĐTBXH ngày 2 tháng 10 năm 2012.</w:t>
      </w:r>
    </w:p>
    <w:p>
      <w:r>
        <w:rPr>
          <w:rFonts w:ascii="Times New Roman" w:hAnsi="Times New Roman"/>
          <w:i/>
          <w:color w:val="555555"/>
          <w:sz w:val="20"/>
        </w:rPr>
        <w:t>(Văn bản tiếng Việt gốc — không cần dịch.)</w:t>
      </w:r>
    </w:p>
    <w:p/>
    <w:p>
      <w:r>
        <w:rPr>
          <w:rFonts w:ascii="Times New Roman" w:hAnsi="Times New Roman"/>
          <w:sz w:val="20"/>
        </w:rPr>
        <w:t>Nga L.L., I. Shochet, T. Tran, J. Fisher, A. Wurfl, N. Nguyen, J. Orr, R. Stocker and H. Nguyen. 2022. "Adaptation of a School-Based Mental Health Program for Adolescents in Vietnam." PLOS One 17(8): e0271959.</w:t>
      </w:r>
    </w:p>
    <w:p>
      <w:r>
        <w:rPr>
          <w:rFonts w:ascii="Times New Roman" w:hAnsi="Times New Roman"/>
          <w:i/>
          <w:color w:val="555555"/>
          <w:sz w:val="20"/>
        </w:rPr>
        <w:t>La Linh Nga, Shochet I., Trần T., Fisher J., Wurfl A., Nguyễn N., Orr J., Stocker R. và Nguyễn H. 2022. "Thích ứng Chương trình Sức khoẻ Tâm thần Trường học cho Vị thành niên tại Việt Nam." PLOS One 17(8): e0271959.</w:t>
      </w:r>
    </w:p>
    <w:p/>
    <w:p>
      <w:r>
        <w:rPr>
          <w:rFonts w:ascii="Times New Roman" w:hAnsi="Times New Roman"/>
          <w:sz w:val="20"/>
        </w:rPr>
        <w:t>Nguyen, T., T. Tran, H. Tran, T. Tran and J. Fisher. 2019. "Challenges in Integrating Mental Health into Primary Care in Vietnam." in Innovation in Global Mental Health, edited by S. Okpaku: Springer, Cham.</w:t>
      </w:r>
    </w:p>
    <w:p>
      <w:r>
        <w:rPr>
          <w:rFonts w:ascii="Times New Roman" w:hAnsi="Times New Roman"/>
          <w:i/>
          <w:color w:val="555555"/>
          <w:sz w:val="20"/>
        </w:rPr>
        <w:t>Nguyễn T., Trần T., Trần H., Trần T. và Fisher J. 2019. "Thách thức trong Lồng ghép Sức khoẻ Tâm thần vào Chăm sóc Y tế Ban đầu tại Việt Nam." trong Đổi mới Sức khoẻ Tâm thần Toàn cầu, do S. Okpaku biên tập: Springer, Cham.</w:t>
      </w:r>
    </w:p>
    <w:p/>
    <w:p>
      <w:r>
        <w:rPr>
          <w:rFonts w:ascii="Times New Roman" w:hAnsi="Times New Roman"/>
          <w:sz w:val="20"/>
        </w:rPr>
        <w:t>Nguyen, T.Q.C and T.H. Nguyen. 2018. "Mental Health Literacy: Knowledge of Depression among Undergraduate Students in Hanoi, Vietnam." International Journal of Mental Health Systems 24(12):19.</w:t>
      </w:r>
    </w:p>
    <w:p>
      <w:r>
        <w:rPr>
          <w:rFonts w:ascii="Times New Roman" w:hAnsi="Times New Roman"/>
          <w:i/>
          <w:color w:val="555555"/>
          <w:sz w:val="20"/>
        </w:rPr>
        <w:t>Nguyễn T.Q.C và Nguyễn T.H. 2018. "Kiến thức Sức khoẻ Tâm thần: Hiểu biết về Trầm cảm ở Sinh viên Đại học tại Hà Nội, Việt Nam." Tạp chí Quốc tế về Hệ thống Sức khoẻ Tâm thần 24(12):19.</w:t>
      </w:r>
    </w:p>
    <w:p/>
    <w:p>
      <w:r>
        <w:rPr>
          <w:rFonts w:ascii="Times New Roman" w:hAnsi="Times New Roman"/>
          <w:sz w:val="20"/>
        </w:rPr>
        <w:t>Ormel, J. et al. 2017. "Functional Outcomes of Child and Adolescent Mental Disorders. Current Disorder Most Important but Psychiatric History Matters as Well." Psychological Medicine 47(7):1271–82.</w:t>
      </w:r>
    </w:p>
    <w:p>
      <w:r>
        <w:rPr>
          <w:rFonts w:ascii="Times New Roman" w:hAnsi="Times New Roman"/>
          <w:i/>
          <w:color w:val="555555"/>
          <w:sz w:val="20"/>
        </w:rPr>
        <w:t>Ormel J. và cộng sự. 2017. "Kết quả Chức năng của Rối loạn Tâm thần ở Trẻ em và Vị thành niên. Rối loạn Hiện tại Quan trọng nhất nhưng Lịch sử Tâm thần cũng Quan trọng." Y học Tâm lý 47(7):1271–82.</w:t>
      </w:r>
    </w:p>
    <w:p/>
    <w:p>
      <w:r>
        <w:rPr>
          <w:rFonts w:ascii="Times New Roman" w:hAnsi="Times New Roman"/>
          <w:sz w:val="20"/>
        </w:rPr>
        <w:t>Pagliaro, C., M. Pearl, D. Lawrence, J.G. Scott and S. Diminic. 2021. "Estimating Demand for Mental Health Care among Australian Children and Adolescents: Findings from the Young Minds Matter Survey." Australian and New Zealand Journal of Psychiatry 56(11):1443–54.</w:t>
      </w:r>
    </w:p>
    <w:p>
      <w:r>
        <w:rPr>
          <w:rFonts w:ascii="Times New Roman" w:hAnsi="Times New Roman"/>
          <w:i/>
          <w:color w:val="555555"/>
          <w:sz w:val="20"/>
        </w:rPr>
        <w:t>Pagliaro C., Pearl M., Lawrence D., Scott J.G. và Diminic S. 2021. "Ước tính Nhu cầu Chăm sóc Sức khoẻ Tâm thần ở Trẻ em và Vị thành niên Úc: Phát hiện từ Khảo sát Young Minds Matter." Tạp chí Tâm thần học Úc và New Zealand 56(11):1443–54.</w:t>
      </w:r>
    </w:p>
    <w:p/>
    <w:p>
      <w:r>
        <w:rPr>
          <w:rFonts w:ascii="Times New Roman" w:hAnsi="Times New Roman"/>
          <w:sz w:val="20"/>
        </w:rPr>
        <w:t>Patton G.C. et al. 2016. "Our Future: A Lancet Commission on Adolescent Health and Wellbeing." The Lancet 387(10036):2423–78.</w:t>
      </w:r>
    </w:p>
    <w:p>
      <w:r>
        <w:rPr>
          <w:rFonts w:ascii="Times New Roman" w:hAnsi="Times New Roman"/>
          <w:i/>
          <w:color w:val="555555"/>
          <w:sz w:val="20"/>
        </w:rPr>
        <w:t>Patton G.C. và cộng sự. 2016. "Tương lai của Chúng ta: Uỷ ban The Lancet về Sức khoẻ và Hạnh phúc Vị thành niên." The Lancet 387(10036):2423–78.</w:t>
      </w:r>
    </w:p>
    <w:p/>
    <w:p>
      <w:r>
        <w:rPr>
          <w:rFonts w:ascii="Times New Roman" w:hAnsi="Times New Roman"/>
          <w:sz w:val="20"/>
        </w:rPr>
        <w:t>Person, S., C. Hagquist and D. Michelson. 2017. "Young Voices in Mental Health Care: Exploring Children's and Adolescents' Service Experiences and Preferences." Clinical Child Psychology and Psychiatry 22(1):140–51.</w:t>
      </w:r>
    </w:p>
    <w:p>
      <w:r>
        <w:rPr>
          <w:rFonts w:ascii="Times New Roman" w:hAnsi="Times New Roman"/>
          <w:i/>
          <w:color w:val="555555"/>
          <w:sz w:val="20"/>
        </w:rPr>
        <w:t>Person S., Hagquist C. và Michelson D. 2017. "Tiếng nói Trẻ trong Chăm sóc Sức khoẻ Tâm thần: Khám phá Trải nghiệm và Ưu tiên Dịch vụ của Trẻ em và Vị thành niên." Tâm lý học và Tâm thần học Trẻ em Lâm sàng 22(1):140–51.</w:t>
      </w:r>
    </w:p>
    <w:p/>
    <w:p>
      <w:r>
        <w:rPr>
          <w:rFonts w:ascii="Times New Roman" w:hAnsi="Times New Roman"/>
          <w:sz w:val="20"/>
        </w:rPr>
        <w:t>Samuels, F., N. Jones, T. Gupta, B.T. Dang and D.H. Le. 2018. Mental Health and Psychosocial Wellbeing among Children and Young People in Selected Provinces and Cities in Viet Nam. Hanoi: UNICEF.</w:t>
      </w:r>
    </w:p>
    <w:p>
      <w:r>
        <w:rPr>
          <w:rFonts w:ascii="Times New Roman" w:hAnsi="Times New Roman"/>
          <w:i/>
          <w:color w:val="555555"/>
          <w:sz w:val="20"/>
        </w:rPr>
        <w:t>Samuels F., Jones N., Gupta T., Đặng B.T. và Lê D.H. 2018. Sức khoẻ Tâm thần và Hạnh phúc Tâm lý Xã hội ở Trẻ em và Người trẻ tại các Tỉnh và Thành phố được Chọn tại Việt Nam. Hà Nội: UNICEF.</w:t>
      </w:r>
    </w:p>
    <w:p/>
    <w:p>
      <w:r>
        <w:rPr>
          <w:rFonts w:ascii="Times New Roman" w:hAnsi="Times New Roman"/>
          <w:sz w:val="20"/>
        </w:rPr>
        <w:t>Schnyder, N., D. Lawrence, R. Panczak, M.G. Sawyer, H.A. Whiteford, P.M. Burgess and M.G. Harris. 2019. "Perceived need and barriers to adolescent mental health care: agreement between adolescents and their parents." Epidemiology and Psychiatric Sciences 29(e60).</w:t>
      </w:r>
    </w:p>
    <w:p>
      <w:r>
        <w:rPr>
          <w:rFonts w:ascii="Times New Roman" w:hAnsi="Times New Roman"/>
          <w:i/>
          <w:color w:val="555555"/>
          <w:sz w:val="20"/>
        </w:rPr>
        <w:t>Schnyder N., Lawrence D., Panczak R., Sawyer M.G., Whiteford H.A., Burgess P.M. và Harris M.G. 2019. "Nhu cầu được cảm nhận và rào cản đối với chăm sóc sức khoẻ tâm thần vị thành niên: sự đồng ý giữa vị thành niên và phụ huynh." Dịch tễ học và Khoa học Tâm thần 29(e60).</w:t>
      </w:r>
    </w:p>
    <w:p/>
    <w:p>
      <w:r>
        <w:rPr>
          <w:rFonts w:ascii="Times New Roman" w:hAnsi="Times New Roman"/>
          <w:sz w:val="20"/>
        </w:rPr>
        <w:t>Shaffer, D., P. Fisher, C.P. Lucas, M.K. Dulcan and M.E.S. Stone. 2000. "NIMH Diagnostic Interview Schedule for Children Version IV (NIMH DISC-IV): Description, Differences from Previous Versions, and Reliability of Some Common Diagnoses." Journal of the American Academy of Child &amp; Adolescent Psychiatry 39(1):28–38.</w:t>
      </w:r>
    </w:p>
    <w:p>
      <w:r>
        <w:rPr>
          <w:rFonts w:ascii="Times New Roman" w:hAnsi="Times New Roman"/>
          <w:i/>
          <w:color w:val="555555"/>
          <w:sz w:val="20"/>
        </w:rPr>
        <w:t>Shaffer D., Fisher P., Lucas C.P., Dulcan M.K. và Stone M.E.S. 2000. "Bảng Phỏng vấn Chẩn đoán NIMH cho Trẻ em Phiên bản IV (NIMH DISC-IV): Mô tả, Khác biệt so với Phiên bản Trước, và Độ tin cậy của một số Chẩn đoán Phổ biến." Tạp chí Viện Hàn lâm Tâm thần Trẻ em và Vị thành niên Hoa Kỳ 39(1):28–38.</w:t>
      </w:r>
    </w:p>
    <w:p/>
    <w:p>
      <w:r>
        <w:rPr>
          <w:rFonts w:ascii="Times New Roman" w:hAnsi="Times New Roman"/>
          <w:sz w:val="20"/>
        </w:rPr>
        <w:t>Thủ tướng Chính phủ. 2011. "Quyết định số 1215/QĐ-TTg ngày 22/7/2011 phê duyệt Đề án trợ giúp xã hội và phục hồi chức năng cho người tâm thần giai đoạn 2011–2020." Hà Nội.</w:t>
      </w:r>
    </w:p>
    <w:p>
      <w:r>
        <w:rPr>
          <w:rFonts w:ascii="Times New Roman" w:hAnsi="Times New Roman"/>
          <w:i/>
          <w:color w:val="555555"/>
          <w:sz w:val="20"/>
        </w:rPr>
        <w:t>(Văn bản tiếng Việt gốc — không cần dịch.)</w:t>
      </w:r>
    </w:p>
    <w:p/>
    <w:p>
      <w:r>
        <w:rPr>
          <w:rFonts w:ascii="Times New Roman" w:hAnsi="Times New Roman"/>
          <w:sz w:val="20"/>
        </w:rPr>
        <w:t>Thủ tướng Chính phủ. 2020. "Quyết định 1929/QĐ-TTg ngày 25/11/2020 phê duyệt Chương trình trợ giúp xã hội và phục hồi chức năng cho người tâm thần, trẻ em tự kỷ và người rối nhiễu tâm trí dựa vào cộng đồng giai đoạn 2021–2030." Hà Nội.</w:t>
      </w:r>
    </w:p>
    <w:p>
      <w:r>
        <w:rPr>
          <w:rFonts w:ascii="Times New Roman" w:hAnsi="Times New Roman"/>
          <w:i/>
          <w:color w:val="555555"/>
          <w:sz w:val="20"/>
        </w:rPr>
        <w:t>(Văn bản tiếng Việt gốc — không cần dịch.)</w:t>
      </w:r>
    </w:p>
    <w:p/>
    <w:p>
      <w:r>
        <w:rPr>
          <w:rFonts w:ascii="Times New Roman" w:hAnsi="Times New Roman"/>
          <w:sz w:val="20"/>
        </w:rPr>
        <w:t>Thủ tướng Chính phủ. 2022. "Quyết định 155/QĐ-TTg ngày 29/01/2022 phê duyệt Kế hoạch quốc gia phòng chống bệnh không lây nhiễm và rối loạn sức khoẻ tâm thần giai đoạn 2022–2025." Hà Nội.</w:t>
      </w:r>
    </w:p>
    <w:p>
      <w:r>
        <w:rPr>
          <w:rFonts w:ascii="Times New Roman" w:hAnsi="Times New Roman"/>
          <w:i/>
          <w:color w:val="555555"/>
          <w:sz w:val="20"/>
        </w:rPr>
        <w:t>(Văn bản tiếng Việt gốc — không cần dịch.)</w:t>
      </w:r>
    </w:p>
    <w:p>
      <w:r>
        <w:rPr>
          <w:rFonts w:ascii="Times New Roman" w:hAnsi="Times New Roman"/>
          <w:sz w:val="20"/>
        </w:rPr>
        <w:t>Tran, T., H.T. Nguyen, I. Shochet, A. Wurfl, J. Orr, N. Nguyen, N. La, H. Nguyen, R. Stocker, T. Nguyen, M. Le and J. Fisher. 2020. "School-Based, Two-Arm, Parallel, Controlled Trial of a Culturally Adapted Resilience Intervention to Improve Adolescent Mental Health in Vietnam: Study Protocol." BMJ Open 10(10).</w:t>
      </w:r>
    </w:p>
    <w:p>
      <w:r>
        <w:rPr>
          <w:rFonts w:ascii="Times New Roman" w:hAnsi="Times New Roman"/>
          <w:i/>
          <w:color w:val="555555"/>
          <w:sz w:val="20"/>
        </w:rPr>
        <w:t>Trần T., Nguyễn H.T., Shochet I., Wurfl A., Orr J., Nguyễn N., La N., Nguyễn H., Stocker R., Nguyễn T., Lê M. và Fisher J. 2020. "Thử nghiệm Đối chứng Song song Hai nhánh tại Trường học về Can thiệp Bền bỉ Thích ứng Văn hoá để Cải thiện Sức khoẻ Tâm thần Vị thành niên tại Việt Nam: Đề cương Nghiên cứu." BMJ Open 10(10).</w:t>
      </w:r>
    </w:p>
    <w:p/>
    <w:p>
      <w:r>
        <w:rPr>
          <w:rFonts w:ascii="Times New Roman" w:hAnsi="Times New Roman"/>
          <w:sz w:val="20"/>
        </w:rPr>
        <w:t>Truc, T.T., N.L.L.T. Vu and H.H.T. Bui. 2020. "Mental Health Literacy and Help-Seeking Preferences in High School Students in Ho Chi Minh City, Vietnam." School Mental Health 12:378–87.</w:t>
      </w:r>
    </w:p>
    <w:p>
      <w:r>
        <w:rPr>
          <w:rFonts w:ascii="Times New Roman" w:hAnsi="Times New Roman"/>
          <w:i/>
          <w:color w:val="555555"/>
          <w:sz w:val="20"/>
        </w:rPr>
        <w:t>T.T. Trúc, Vũ N.L.L.T. và Bùi H.H.T. 2020. "Kiến thức Sức khoẻ Tâm thần và Ưu tiên Tìm kiếm Trợ giúp ở Học sinh Trung học Phổ thông tại TP Hồ Chí Minh, Việt Nam." Sức khoẻ Tâm thần Trường học 12:378–87.</w:t>
      </w:r>
    </w:p>
    <w:p/>
    <w:p>
      <w:r>
        <w:rPr>
          <w:rFonts w:ascii="Times New Roman" w:hAnsi="Times New Roman"/>
          <w:sz w:val="20"/>
        </w:rPr>
        <w:t>UNICEF. 2020a. "Rapid Assessment of Social and Economic Impacts of Covid-19 on Children and Families in Viet Nam." Ha Noi: UNICEF.</w:t>
      </w:r>
    </w:p>
    <w:p>
      <w:r>
        <w:rPr>
          <w:rFonts w:ascii="Times New Roman" w:hAnsi="Times New Roman"/>
          <w:i/>
          <w:color w:val="555555"/>
          <w:sz w:val="20"/>
        </w:rPr>
        <w:t>UNICEF. 2020a. "Đánh giá Nhanh Tác động Xã hội và Kinh tế của COVID-19 lên Trẻ em và Gia đình tại Việt Nam." Hà Nội: UNICEF.</w:t>
      </w:r>
    </w:p>
    <w:p/>
    <w:p>
      <w:r>
        <w:rPr>
          <w:rFonts w:ascii="Times New Roman" w:hAnsi="Times New Roman"/>
          <w:sz w:val="20"/>
        </w:rPr>
        <w:t>UNICEF. 2020b. "The Impact of Covid-19 on the Mental Health of Adolescents and Youth."</w:t>
      </w:r>
    </w:p>
    <w:p>
      <w:r>
        <w:rPr>
          <w:rFonts w:ascii="Times New Roman" w:hAnsi="Times New Roman"/>
          <w:i/>
          <w:color w:val="555555"/>
          <w:sz w:val="20"/>
        </w:rPr>
        <w:t>UNICEF. 2020b. "Tác động của COVID-19 lên Sức khoẻ Tâm thần của Vị thành niên và Thanh niên."</w:t>
      </w:r>
    </w:p>
    <w:p/>
    <w:p>
      <w:r>
        <w:rPr>
          <w:rFonts w:ascii="Times New Roman" w:hAnsi="Times New Roman"/>
          <w:sz w:val="20"/>
        </w:rPr>
        <w:t>United Nations Children's Funds (UNICEF) and Overseas Development Institute (ODI). 2018. "The Nature of Suicide Amongst Children and Young People in Selected Provinces and Cities in Viet Nam." Hanoi: UNICEF.</w:t>
      </w:r>
    </w:p>
    <w:p>
      <w:r>
        <w:rPr>
          <w:rFonts w:ascii="Times New Roman" w:hAnsi="Times New Roman"/>
          <w:i/>
          <w:color w:val="555555"/>
          <w:sz w:val="20"/>
        </w:rPr>
        <w:t>Quỹ Nhi đồng Liên Hợp Quốc (UNICEF) và Viện Phát triển Hải ngoại (ODI). 2018. "Bản chất của Tự sát ở Trẻ em và Người trẻ tại các Tỉnh và Thành phố được Chọn tại Việt Nam." Hà Nội: UNICEF.</w:t>
      </w:r>
    </w:p>
    <w:p/>
    <w:p>
      <w:r>
        <w:rPr>
          <w:rFonts w:ascii="Times New Roman" w:hAnsi="Times New Roman"/>
          <w:sz w:val="20"/>
        </w:rPr>
        <w:t>Wasserman, D., H.T.T. Tran, D.T.M. Pham, M. Goldstein, A. Nordenskiöld and C. Wasserman. 2008. "Suicidal Process, Suicidal Communication and Psychosocial Situation of Young Suicide Attempters in a Rural Vietnamese Community." World Psychiatry 7(1):47–53.</w:t>
      </w:r>
    </w:p>
    <w:p>
      <w:r>
        <w:rPr>
          <w:rFonts w:ascii="Times New Roman" w:hAnsi="Times New Roman"/>
          <w:i/>
          <w:color w:val="555555"/>
          <w:sz w:val="20"/>
        </w:rPr>
        <w:t>Wasserman D., Trần H.T.T., Phạm D.T.M., Goldstein M., Nordenskiöld A. và Wasserman C. 2008. "Quá trình Tự sát, Giao tiếp về Tự sát và Tình huống Tâm lý Xã hội của Người trẻ Toan Tự sát trong một Cộng đồng Nông thôn Việt Nam." Tâm thần học Thế giới 7(1):47–53.</w:t>
      </w:r>
    </w:p>
    <w:p/>
    <w:p>
      <w:r>
        <w:rPr>
          <w:rFonts w:ascii="Times New Roman" w:hAnsi="Times New Roman"/>
          <w:sz w:val="20"/>
        </w:rPr>
        <w:t>Weiss, B., M. Dang, L. Trung, M.C. Nguyen, H.T.T. Nguyen and A. Pollack. 2014. "A Nationally-Representative Epidemiological and Risk Factor Assessment of Child Mental Health in Vietnam." International Perspectives in Psychology 3(3):139–53.</w:t>
      </w:r>
    </w:p>
    <w:p>
      <w:r>
        <w:rPr>
          <w:rFonts w:ascii="Times New Roman" w:hAnsi="Times New Roman"/>
          <w:i/>
          <w:color w:val="555555"/>
          <w:sz w:val="20"/>
        </w:rPr>
        <w:t>Weiss B., Đặng M., Lê Trung, Nguyễn M.C., Nguyễn H.T.T. và Pollack A. 2014. "Đánh giá Dịch tễ học và Yếu tố Nguy cơ Đại diện Quốc gia về Sức khoẻ Tâm thần Trẻ em tại Việt Nam." International Perspectives in Psychology 3(3):139–53.</w:t>
      </w:r>
    </w:p>
    <w:p/>
    <w:p>
      <w:r>
        <w:rPr>
          <w:rFonts w:ascii="Times New Roman" w:hAnsi="Times New Roman"/>
          <w:sz w:val="20"/>
        </w:rPr>
        <w:t>World Health Organization. 2014. "Health for the World's Adolescents: A Second Chance in the Second Decade." Geneva.</w:t>
      </w:r>
    </w:p>
    <w:p>
      <w:r>
        <w:rPr>
          <w:rFonts w:ascii="Times New Roman" w:hAnsi="Times New Roman"/>
          <w:i/>
          <w:color w:val="555555"/>
          <w:sz w:val="20"/>
        </w:rPr>
        <w:t>Tổ chức Y tế Thế giới. 2014. "Sức khoẻ cho Vị thành niên Thế giới: Cơ hội Thứ Hai trong Thập kỷ Thứ Hai." Geneva.</w:t>
      </w:r>
    </w:p>
    <w:p/>
    <w:p>
      <w:r>
        <w:rPr>
          <w:rFonts w:ascii="Times New Roman" w:hAnsi="Times New Roman"/>
          <w:sz w:val="20"/>
        </w:rPr>
        <w:t>World Health Organization. 2016. mhGAP (Mental Health Gap Action Programme — WHO) Intervention Guide for Mental, Neurological and Substance Use Disorders in Non-Specialized Health Settings: Mental Health Gap Action Programme (mhGAP) – Version 2.0. Geneva.</w:t>
      </w:r>
    </w:p>
    <w:p>
      <w:r>
        <w:rPr>
          <w:rFonts w:ascii="Times New Roman" w:hAnsi="Times New Roman"/>
          <w:i/>
          <w:color w:val="555555"/>
          <w:sz w:val="20"/>
        </w:rPr>
        <w:t>Tổ chức Y tế Thế giới. 2016. Hướng dẫn Can thiệp mhGAP cho Rối loạn Tâm thần, Thần kinh và Sử dụng Chất trong các Cơ sở Y tế Không Chuyên khoa: Chương trình Hành động Lấp khoảng trống Sức khoẻ Tâm thần (mhGAP) – Phiên bản 2.0. Geneva.</w:t>
      </w:r>
    </w:p>
    <w:p>
      <w:r>
        <w:rPr>
          <w:rFonts w:ascii="Times New Roman" w:hAnsi="Times New Roman"/>
          <w:sz w:val="20"/>
        </w:rPr>
        <w:t>World Health Organization, Ministry of Health and Ministry of Education and Training. 2022. The 2019 Global School-Based Student Health Survey in Viet Nam: Report. Manila: WHO Regional Office for the Western Pacific.</w:t>
      </w:r>
    </w:p>
    <w:p>
      <w:r>
        <w:rPr>
          <w:rFonts w:ascii="Times New Roman" w:hAnsi="Times New Roman"/>
          <w:i/>
          <w:color w:val="555555"/>
          <w:sz w:val="20"/>
        </w:rPr>
        <w:t>Tổ chức Y tế Thế giới, Bộ Y tế và Bộ Giáo dục &amp; Đào tạo. 2022. Khảo sát Sức khoẻ Học sinh Toàn cầu tại Trường học tại Việt Nam 2019: Báo cáo. Manila: Văn phòng Khu vực WHO Tây Thái Bình Dương.</w:t>
      </w:r>
    </w:p>
    <w:p/>
    <w:p/>
    <w:p>
      <w:r>
        <w:rPr>
          <w:rFonts w:ascii="Times New Roman" w:hAnsi="Times New Roman"/>
          <w:b/>
          <w:color w:val="C00000"/>
        </w:rPr>
        <w:t>═══════════════════════════════════════════════════════════════════════════</w:t>
      </w:r>
    </w:p>
    <w:p>
      <w:r>
        <w:rPr>
          <w:rFonts w:ascii="Times New Roman" w:hAnsi="Times New Roman"/>
          <w:b/>
          <w:color w:val="C00000"/>
          <w:sz w:val="28"/>
        </w:rPr>
        <w:t>PHẢN BIỆN VÀ ĐÁNH GIÁ (Critique and Review) — Của người dịch</w:t>
      </w:r>
    </w:p>
    <w:p>
      <w:r>
        <w:rPr>
          <w:rFonts w:ascii="Times New Roman" w:hAnsi="Times New Roman"/>
          <w:i/>
          <w:color w:val="808080"/>
          <w:sz w:val="20"/>
        </w:rPr>
        <w:t>Áp dụng Framework 7-section (feedback_critique_expansion_framework.md, 13/04/2026) với 2 vòng meta-review bắt buộc. Mọi cross-reference đã verify từ Tom-tat-tung-bai/VN00X_*.docx; mọi số liệu đã verify vs PDF gốc.</w:t>
      </w:r>
    </w:p>
    <w:p>
      <w:r>
        <w:rPr>
          <w:rFonts w:ascii="Times New Roman" w:hAnsi="Times New Roman"/>
          <w:b/>
          <w:color w:val="C00000"/>
          <w:sz w:val="24"/>
        </w:rPr>
        <w:t>PHẦN I — BỐI CẢNH HỌC THUẬT &amp; VỊ TRÍ CỦA BÁO CÁO</w:t>
      </w:r>
    </w:p>
    <w:p>
      <w:r>
        <w:rPr>
          <w:rFonts w:ascii="Times New Roman" w:hAnsi="Times New Roman"/>
          <w:color w:val="C00000"/>
        </w:rPr>
        <w:t>V-NAMHS 2022 là một mốc quan trọng trong lịch sử nghiên cứu SKTT vị thành niên Việt Nam. Đây là khảo sát đại diện quốc gia ĐẦU TIÊN sử dụng công cụ chẩn đoán tiêu chuẩn DSM-5 (DISC-5) trên mẫu lớn (n = 5.996). Trước V-NAMHS, nghiên cứu SKTT VTN VN chủ yếu dựa trên thang sàng lọc (SDQ, CBCL, YSR) trên mẫu nhỏ hoặc hẹp địa bàn — chỉ đo "triệu chứng" không đo "rối loạn" theo chuẩn lâm sàng. Kết quả là ước tính tỷ lệ dao động rộng 8–29 % (Samuels et al. 2018) và không so sánh được quốc tế.</w:t>
      </w:r>
    </w:p>
    <w:p>
      <w:r>
        <w:rPr>
          <w:rFonts w:ascii="Times New Roman" w:hAnsi="Times New Roman"/>
          <w:color w:val="C00000"/>
        </w:rPr>
        <w:t>V-NAMHS nằm trong khung NAMHS cùng với I-NAMHS (Indonesia) và K-NAMHS (Kenya) — một hợp tác Nam–Nam (LMICs) với UQ là Principal Investigator và JHSPH là nơi phân tích dữ liệu (Erskine et al. 2021). Trong bối cảnh Đông Nam Á, báo cáo bổ sung cho các khảo sát sức khoẻ học sinh hiện có (GSHS 2019 VN) bằng cách đo TRỰC TIẾP rối loạn chứ không chỉ triệu chứng, và qua phỏng vấn tại nhà (không phải tại trường). Do đó V-NAMHS có thể trở thành benchmark chính thức cho các nghiên cứu tiếp theo về SKTT VTN VN.</w:t>
      </w:r>
    </w:p>
    <w:p>
      <w:r>
        <w:rPr>
          <w:rFonts w:ascii="Times New Roman" w:hAnsi="Times New Roman"/>
          <w:b/>
          <w:color w:val="C00000"/>
          <w:sz w:val="24"/>
        </w:rPr>
        <w:t>PHẦN II — ĐIỂM MẠNH (phân tích chi tiết)</w:t>
      </w:r>
    </w:p>
    <w:p>
      <w:r>
        <w:rPr>
          <w:rFonts w:ascii="Times New Roman" w:hAnsi="Times New Roman"/>
          <w:b/>
          <w:color w:val="C00000"/>
        </w:rPr>
        <w:t>1. Uy tín thể chế và giá trị chính sách cao</w:t>
      </w:r>
    </w:p>
    <w:p>
      <w:r>
        <w:rPr>
          <w:rFonts w:ascii="Times New Roman" w:hAnsi="Times New Roman"/>
          <w:color w:val="C00000"/>
        </w:rPr>
        <w:t>Chủ trì bởi Viện Xã hội học (IOS, VASS) phối hợp GOPFP (Bộ Y tế), với partners quốc tế UQ và JHSPH — đây là thành phần được khối Chính phủ VN tin cậy. Do đó: (a) tiếp cận được dân số hộ gia đình toàn quốc qua khung GOPFP; (b) khuyến nghị chính sách có khả năng đi vào các Quyết định của Chính phủ (Quyết định 1929/QĐ-TTg 2020, Quyết định 155/QĐ-TTg 2022 đều được báo cáo nêu đích danh).</w:t>
      </w:r>
    </w:p>
    <w:p>
      <w:r>
        <w:rPr>
          <w:rFonts w:ascii="Times New Roman" w:hAnsi="Times New Roman"/>
          <w:b/>
          <w:color w:val="C00000"/>
        </w:rPr>
        <w:t>2. Mẫu đại diện quốc gia lớn và chặt chẽ</w:t>
      </w:r>
    </w:p>
    <w:p>
      <w:r>
        <w:rPr>
          <w:rFonts w:ascii="Times New Roman" w:hAnsi="Times New Roman"/>
          <w:color w:val="C00000"/>
        </w:rPr>
        <w:t>n = 5.996 cặp phụ huynh–VTN từ 38 tỉnh (trải 4 vùng), với thiết kế lấy mẫu PPS (probability proportional to size) theo EA, phân tầng đô thị–nông thôn cân bằng. Tỷ lệ trả lời 81,1 % — rất cao so với chuẩn quốc tế cho surveys hộ gia đình, đặc biệt trong bối cảnh COVID-19. Kết quả được gia trọng (weighted) cho phân bố tuổi–giới–đô thị/nông thôn, cho phép khái quát lên quần thể VTN 10–17 tuổi toàn quốc.</w:t>
      </w:r>
    </w:p>
    <w:p>
      <w:r>
        <w:rPr>
          <w:rFonts w:ascii="Times New Roman" w:hAnsi="Times New Roman"/>
          <w:b/>
          <w:color w:val="C00000"/>
        </w:rPr>
        <w:t>3. Công cụ chẩn đoán chuẩn quốc tế, adapt cẩn thận</w:t>
      </w:r>
    </w:p>
    <w:p>
      <w:r>
        <w:rPr>
          <w:rFonts w:ascii="Times New Roman" w:hAnsi="Times New Roman"/>
          <w:color w:val="C00000"/>
        </w:rPr>
        <w:t>DISC-5 (Bitsko et al. 2019; Shaffer et al. 2000) là công cụ chẩn đoán chuẩn vàng quốc tế, đã được sử dụng trong hàng trăm nghiên cứu. Quy trình adapt: dịch tiếng Việt → dịch ngược tiếng Anh → rà soát bởi bác sĩ lâm sàng VN → phản hồi từ tập huấn viên → thử nghiệm trên pilot (Hà Nội + Đồng Nai) → chỉnh sửa 2019–2020. Điều này vượt xa yêu cầu tối thiểu cho adaptation cross-cultural. Ngoài DISC-5, bộ công cụ còn có PSC-17 (parent-report), PHQ-9, GAD-7 (đo SKTT phụ huynh), Rosenberg Self-Esteem, GEAS Family Connectedness, ACE questionnaire — toàn là instrument có psychometric quốc tế mạnh.</w:t>
      </w:r>
    </w:p>
    <w:p>
      <w:r>
        <w:rPr>
          <w:rFonts w:ascii="Times New Roman" w:hAnsi="Times New Roman"/>
          <w:b/>
          <w:color w:val="C00000"/>
        </w:rPr>
        <w:t>4. Đo song song "mental health problem" và "mental disorder"</w:t>
      </w:r>
    </w:p>
    <w:p>
      <w:r>
        <w:rPr>
          <w:rFonts w:ascii="Times New Roman" w:hAnsi="Times New Roman"/>
          <w:color w:val="C00000"/>
        </w:rPr>
        <w:t>Đây là lựa chọn phương pháp luận xuất sắc. "Mental disorder" theo DSM-5 đòi hỏi đáp ứng đầy đủ triệu chứng + suy giảm chức năng, cho tỷ lệ chẩn đoán thấp (3,3 %). Nhưng "mental health problem" (đáp ứng ít nhất một nửa triệu chứng) bắt được nhóm subthreshold (21,7 %) — nhóm quan trọng cho can thiệp phòng ngừa, vì rất có thể progress thành rối loạn đầy đủ nếu không can thiệp (Pagliaro et al. 2021). Cách làm này cho phép cả planning dịch vụ chuyên khoa lẫn preventive programs.</w:t>
      </w:r>
    </w:p>
    <w:p>
      <w:r>
        <w:rPr>
          <w:rFonts w:ascii="Times New Roman" w:hAnsi="Times New Roman"/>
          <w:b/>
          <w:color w:val="C00000"/>
        </w:rPr>
        <w:t>5. Module COVID-19 kịp thời và hữu ích</w:t>
      </w:r>
    </w:p>
    <w:p>
      <w:r>
        <w:rPr>
          <w:rFonts w:ascii="Times New Roman" w:hAnsi="Times New Roman"/>
          <w:color w:val="C00000"/>
        </w:rPr>
        <w:t>Việc phát triển thêm module COVID-19 trong giai đoạn trì hoãn (2020–2021) đã biến "bất lợi" của hoãn dữ liệu thành cơ hội nghiên cứu duy nhất. Do đó V-NAMHS là một trong rất ít datasets đại diện quốc gia VN đo SKTT VTN + tác động COVID-19 cùng lúc. Phát hiện 71,5 % hộ giảm thu nhập và 7,7 % VTN trải qua vấn đề cảm xúc/hành vi nhiều hơn bình thường là cơ sở quan trọng cho chuẩn bị đại dịch/khủng hoảng tương lai.</w:t>
      </w:r>
    </w:p>
    <w:p>
      <w:r>
        <w:rPr>
          <w:rFonts w:ascii="Times New Roman" w:hAnsi="Times New Roman"/>
          <w:b/>
          <w:color w:val="C00000"/>
        </w:rPr>
        <w:t>6. Khung khuyến nghị chính sách rõ ràng và có thể hành động</w:t>
      </w:r>
    </w:p>
    <w:p>
      <w:r>
        <w:rPr>
          <w:rFonts w:ascii="Times New Roman" w:hAnsi="Times New Roman"/>
          <w:color w:val="C00000"/>
        </w:rPr>
        <w:t>Mỗi chương (Mental Health, Service Use, COVID-19) đều có phần "Implications" liệt kê hàm ý cho chính sách + dịch vụ cụ thể: lồng ghép SKTT vào chăm sóc ban đầu (dẫn mhGAP (Mental Health Gap Action Programme — WHO) WHO), mental health literacy cho phụ huynh, dịch vụ dễ tiếp cận (hotline, online chat) cho khủng hoảng. Khuyến nghị cũng tham chiếu các chính sách hiện hành (QĐ 1442/QĐ-BGDĐT 2022, QĐ 2138/QĐ-BGDĐT 2022, QĐ 155/QĐ-TTg 2022) để liên kết với khung chính sách VN.</w:t>
      </w:r>
    </w:p>
    <w:p>
      <w:r>
        <w:rPr>
          <w:rFonts w:ascii="Times New Roman" w:hAnsi="Times New Roman"/>
          <w:b/>
          <w:color w:val="C00000"/>
          <w:sz w:val="24"/>
        </w:rPr>
        <w:t>PHẦN III — HẠN CHẾ (phản biện sâu)</w:t>
      </w:r>
    </w:p>
    <w:p>
      <w:r>
        <w:rPr>
          <w:rFonts w:ascii="Times New Roman" w:hAnsi="Times New Roman"/>
          <w:b/>
          <w:color w:val="C00000"/>
        </w:rPr>
        <w:t>1. Thiết kế cắt ngang — không xác lập nhân quả</w:t>
      </w:r>
    </w:p>
    <w:p>
      <w:r>
        <w:rPr>
          <w:rFonts w:ascii="Times New Roman" w:hAnsi="Times New Roman"/>
          <w:color w:val="C00000"/>
        </w:rPr>
        <w:t>Toàn bộ dữ liệu thu thập tại một thời điểm duy nhất (09–12/2021). Do vậy các mối liên hệ giữa risk factors (bắt nạt, ACEs, peer, gia đình) và SKTT chỉ là tương quan, không thể khẳng định nhân quả. Để xác lập chiều nhân quả cần longitudinal panel ≥ 2 timepoints. Kế hoạch lặp lại V-NAMHS theo chu kỳ (ví dụ 5 năm một lần) sẽ tạo cohort quốc gia có giá trị cao.</w:t>
      </w:r>
    </w:p>
    <w:p>
      <w:r>
        <w:rPr>
          <w:rFonts w:ascii="Times New Roman" w:hAnsi="Times New Roman"/>
          <w:b/>
          <w:color w:val="C00000"/>
        </w:rPr>
        <w:t>2. Phỏng vấn trực tiếp có thể underestimate hành vi nhạy cảm</w:t>
      </w:r>
    </w:p>
    <w:p>
      <w:r>
        <w:rPr>
          <w:rFonts w:ascii="Times New Roman" w:hAnsi="Times New Roman"/>
          <w:color w:val="C00000"/>
        </w:rPr>
        <w:t>Báo cáo thừa nhận rõ: tỷ lệ hành vi tự sát (ý nghĩ 1,4 %, toan 0,2 %) và self-harm (4,7 % từng, 1 % trong 12 tháng) thấp hơn đáng kể so với GSHS 2019 (ý nghĩ tự sát 15,6 %, toan tự sát 3,1 %). Dù báo cáo giải thích rằng GSHS dùng self-administered tại trường học (có thể overestimate), thì V-NAMHS có khả năng underestimate do: (a) phỏng vấn viên "lay" đào tạo ngắn, không phải nhà lâm sàng; (b) kỳ thị sâu xung quanh tự sát tại VN; (c) một số câu hỏi được đặt trước mặt phụ huynh/gia đình. Các nghiên cứu tương lai cần thử nghiệm ACASI (Audio Computer-Assisted Self-Interview) cho câu hỏi nhạy cảm.</w:t>
      </w:r>
    </w:p>
    <w:p>
      <w:r>
        <w:rPr>
          <w:rFonts w:ascii="Times New Roman" w:hAnsi="Times New Roman"/>
          <w:b/>
          <w:color w:val="C00000"/>
        </w:rPr>
        <w:t>3. DSM-5 là khung Western, có thể thiếu somatic expression của VTN VN</w:t>
      </w:r>
    </w:p>
    <w:p>
      <w:r>
        <w:rPr>
          <w:rFonts w:ascii="Times New Roman" w:hAnsi="Times New Roman"/>
          <w:color w:val="C00000"/>
        </w:rPr>
        <w:t>DISC-5 dựa trên DSM-5 — được Hiệp hội Tâm thần Hoa Kỳ phát triển chủ yếu cho quần thể phương Tây (Canino and Alegria 2008). Kim et al. (2019, có trong refs) đã cho thấy somatic symptoms (đau đầu, đau bụng, mệt mỏi) là predictor mạnh của lo âu/trầm cảm ở VTN VN và VTN người Mỹ gốc Việt, NHƯNG không ở VTN Mỹ gốc Âu. Do đó DISC-5 có thể bỏ sót một phần VTN VN biểu hiện SKTT qua kênh cơ thể. Thuật toán chấm điểm DSM-5 (algorithms) có thể cần hiệu chỉnh cho VN — như báo cáo tự thừa nhận trong phần Limitations.</w:t>
      </w:r>
    </w:p>
    <w:p>
      <w:r>
        <w:rPr>
          <w:rFonts w:ascii="Times New Roman" w:hAnsi="Times New Roman"/>
          <w:b/>
          <w:color w:val="C00000"/>
        </w:rPr>
        <w:t>4. Câu hỏi dịch vụ chủ yếu do phụ huynh trả lời</w:t>
      </w:r>
    </w:p>
    <w:p>
      <w:r>
        <w:rPr>
          <w:rFonts w:ascii="Times New Roman" w:hAnsi="Times New Roman"/>
          <w:color w:val="C00000"/>
        </w:rPr>
        <w:t>Ngoại trừ "informal support" và "self-help strategies", tất cả câu hỏi về service use, barriers to care đều hỏi phụ huynh. Đây là hạn chế đáng kể vì: (a) phụ huynh thường không biết VTN có gặp khó khăn; (b) phụ huynh có thể underreport barriers (vai trò "gatekeeper"); (c) quan điểm VTN về lý do không tìm trợ giúp (kỳ thị peer, sợ cha mẹ biết) bị mất. Báo cáo thừa nhận và đề xuất adapt câu hỏi cho VTN trong wave tiếp theo.</w:t>
      </w:r>
    </w:p>
    <w:p>
      <w:r>
        <w:rPr>
          <w:rFonts w:ascii="Times New Roman" w:hAnsi="Times New Roman"/>
          <w:b/>
          <w:color w:val="C00000"/>
        </w:rPr>
        <w:t>5. Loại 18–19 tuổi khiến thiếu "late adolescence" Cũng lưu ý: V-NAMHS không phát hiện khác biệt về tỷ lệ vấn đề SKTT giữa nhóm 10–13 (20,8 %) và 14–17 (22,7 %) — bất thường so với literature quốc tế thường ghi nhận "late adolescence surge"; có thể do (a) mẫu 14–17 chưa bao phủ đủ 18–19 là peak; (b) instrument DISC-5 không tăng sensitivity theo tuổi đồng đều.</w:t>
      </w:r>
    </w:p>
    <w:p>
      <w:r>
        <w:rPr>
          <w:rFonts w:ascii="Times New Roman" w:hAnsi="Times New Roman"/>
          <w:color w:val="C00000"/>
        </w:rPr>
        <w:t>WHO định nghĩa vị thành niên 10–19 tuổi, nhưng V-NAMHS loại 18–19 (vì DISC-5 không phù hợp người ≥ 18). Đây là giai đoạn có nguy cơ SKTT cao nhất (18–24 tuổi là peak onset cho nhiều rối loạn). Do đó dữ liệu V-NAMHS không áp dụng cho nhóm late adolescence. Nghiên cứu bổ sung dùng công cụ WMH-CIDI adult hoặc WMH-CIDI adolescent cho 18+ là cần thiết.</w:t>
      </w:r>
    </w:p>
    <w:p>
      <w:r>
        <w:rPr>
          <w:rFonts w:ascii="Times New Roman" w:hAnsi="Times New Roman"/>
          <w:b/>
          <w:color w:val="C00000"/>
        </w:rPr>
        <w:t>6. Data 2021 có "COVID effect" khó tách</w:t>
      </w:r>
    </w:p>
    <w:p>
      <w:r>
        <w:rPr>
          <w:rFonts w:ascii="Times New Roman" w:hAnsi="Times New Roman"/>
          <w:color w:val="C00000"/>
        </w:rPr>
        <w:t>Thu thập dữ liệu 9–12/2021 — đỉnh COVID-19 VN. Mặc dù báo cáo tách riêng module COVID-19, không thể biết bao nhiêu phần trăm của prevalence SKTT chung (21,7 % vấn đề SKTT, 3,3 % rối loạn) là "baseline VTN VN" và bao nhiêu là "spike COVID". Dalton et al. 2020 (Lancet Child Adolesc Health, khung bên ngoài refs V-NAMHS) đã cho thấy tác động SKTT rõ rệt trong đại dịch. Cần wave 2 (ví dụ 2024–2025) để phân biệt period effect.</w:t>
      </w:r>
    </w:p>
    <w:p>
      <w:r>
        <w:rPr>
          <w:rFonts w:ascii="Times New Roman" w:hAnsi="Times New Roman"/>
          <w:b/>
          <w:color w:val="C00000"/>
        </w:rPr>
        <w:t>7. Subgroup định lượng riêng cho LGBTQ, DTTS, khuyết tật chưa có</w:t>
      </w:r>
    </w:p>
    <w:p>
      <w:r>
        <w:rPr>
          <w:rFonts w:ascii="Times New Roman" w:hAnsi="Times New Roman"/>
          <w:color w:val="C00000"/>
        </w:rPr>
        <w:t>Báo cáo đại diện quốc gia nhưng không có sampling frame và weighting (gia trọng thống kê) riêng cho các subgroup đặc biệt. Ví dụ, module Sexual Behaviour chỉ hỏi 12–17 tuổi và hỏi tự trả lời — không thiết kế để ước tính prevalence LGBTQ VN. Tương tự, 54 % mẫu là DTTS (đúng như báo cáo nói) nhưng không có phân tích layer theo từng dân tộc. Với khuyết tật, tiêu chí loại trừ "severe physical or cognitive impairments" đã bỏ nhóm có nguy cơ SKTT cao nhất.</w:t>
      </w:r>
    </w:p>
    <w:p>
      <w:r>
        <w:rPr>
          <w:rFonts w:ascii="Times New Roman" w:hAnsi="Times New Roman"/>
          <w:b/>
          <w:color w:val="C00000"/>
        </w:rPr>
        <w:t>8. Sampling bias tiềm tàng với hộ từ chối tham gia</w:t>
      </w:r>
    </w:p>
    <w:p>
      <w:r>
        <w:rPr>
          <w:rFonts w:ascii="Times New Roman" w:hAnsi="Times New Roman"/>
          <w:color w:val="C00000"/>
        </w:rPr>
        <w:t>911 hộ từ chối tham gia (~12 % của tổng). Không có phân tích non-response (so sánh đặc điểm hộ từ chối vs tham gia). Có thể hộ có VTN gặp vấn đề SKTT nhẹ từ chối với tỷ lệ cao hơn (do kỳ thị gia đình), dẫn đến underestimate. Công bố phân tích sensitivity về non-response là cần thiết cho báo cáo dạng chi tiết hơn.</w:t>
      </w:r>
    </w:p>
    <w:p>
      <w:r>
        <w:rPr>
          <w:rFonts w:ascii="Times New Roman" w:hAnsi="Times New Roman"/>
          <w:b/>
          <w:color w:val="C00000"/>
        </w:rPr>
        <w:t>9. Test of statistical significance không được công bố trong báo cáo</w:t>
      </w:r>
    </w:p>
    <w:p>
      <w:r>
        <w:rPr>
          <w:rFonts w:ascii="Times New Roman" w:hAnsi="Times New Roman"/>
          <w:color w:val="C00000"/>
        </w:rPr>
        <w:t>Báo cáo khai rõ "tests of statistical significance are not included in this report" — khiến người đọc phải tin vào việc "only statistically significant differences are discussed" mà không thể verify. Ví dụ, phát hiện "anxiety disorders significantly higher than other mental disorders" (Bảng 8 footnote) không kèm theo χ², p-value, hay 95 % CI. Đây là thiếu sót về transparency theo chuẩn STROBE (khung bên ngoài refs).</w:t>
      </w:r>
    </w:p>
    <w:p>
      <w:r>
        <w:rPr>
          <w:rFonts w:ascii="Times New Roman" w:hAnsi="Times New Roman"/>
          <w:b/>
          <w:color w:val="C00000"/>
        </w:rPr>
        <w:t>10. Lặp lại V-NAMHS: chưa có cam kết ngân sách công bố</w:t>
      </w:r>
    </w:p>
    <w:p>
      <w:r>
        <w:rPr>
          <w:rFonts w:ascii="Times New Roman" w:hAnsi="Times New Roman"/>
          <w:color w:val="C00000"/>
        </w:rPr>
        <w:t>Dù báo cáo kêu gọi hành động chính sách, chưa có cam kết rõ ràng về wave 2. Các khảo sát quốc gia có giá trị nhất khi trở thành repeat cross-sectional (như ABS Australian Young Minds Matter hàng 10 năm) để track trend. Thiếu cam kết này làm giảm tác dụng dài hạn của V-NAMHS.</w:t>
      </w:r>
    </w:p>
    <w:p>
      <w:r>
        <w:rPr>
          <w:rFonts w:ascii="Times New Roman" w:hAnsi="Times New Roman"/>
          <w:b/>
          <w:color w:val="C00000"/>
          <w:sz w:val="24"/>
        </w:rPr>
        <w:t>PHẦN IV — SỐ LIỆU THEN CHỐT (đã verify từ PDF gốc vòng 2)</w:t>
      </w:r>
    </w:p>
    <w:p>
      <w:r>
        <w:rPr>
          <w:rFonts w:ascii="Times New Roman" w:hAnsi="Times New Roman"/>
          <w:b/>
          <w:color w:val="C00000"/>
        </w:rPr>
        <w:t>Cỡ mẫu và nhân khẩu:</w:t>
      </w:r>
    </w:p>
    <w:p>
      <w:r>
        <w:rPr>
          <w:rFonts w:ascii="Times New Roman" w:hAnsi="Times New Roman"/>
          <w:color w:val="C00000"/>
        </w:rPr>
        <w:t>• n = 5.996 cặp phụ huynh–VTN (từ 7.599 hộ tiếp cận, tỷ lệ trả lời 81,1 %)</w:t>
      </w:r>
    </w:p>
    <w:p>
      <w:r>
        <w:rPr>
          <w:rFonts w:ascii="Times New Roman" w:hAnsi="Times New Roman"/>
          <w:color w:val="C00000"/>
        </w:rPr>
        <w:t>• 38 tỉnh × 4 vùng; 200 EA (50/vùng, 25 đô thị + 25 nông thôn); 38 hộ/EA</w:t>
      </w:r>
    </w:p>
    <w:p>
      <w:r>
        <w:rPr>
          <w:rFonts w:ascii="Times New Roman" w:hAnsi="Times New Roman"/>
          <w:color w:val="C00000"/>
        </w:rPr>
        <w:t>• Tuổi VTN trung bình 13,3; 54,2 % ở nhóm 10–13, 45,8 % ở 14–17</w:t>
      </w:r>
    </w:p>
    <w:p>
      <w:r>
        <w:rPr>
          <w:rFonts w:ascii="Times New Roman" w:hAnsi="Times New Roman"/>
          <w:color w:val="C00000"/>
        </w:rPr>
        <w:t>• 94,5 % hiện đi học; 94,6 % chưa từng làm việc</w:t>
      </w:r>
    </w:p>
    <w:p>
      <w:r>
        <w:rPr>
          <w:rFonts w:ascii="Times New Roman" w:hAnsi="Times New Roman"/>
          <w:color w:val="C00000"/>
        </w:rPr>
        <w:t>• Phụ huynh tuổi trung bình 44,2; 71,7 % nữ; 63,6 % là mẹ/mẹ kế</w:t>
      </w:r>
    </w:p>
    <w:p>
      <w:r>
        <w:rPr>
          <w:rFonts w:ascii="Times New Roman" w:hAnsi="Times New Roman"/>
          <w:b/>
          <w:color w:val="C00000"/>
        </w:rPr>
        <w:t>Tỷ lệ vấn đề SKTT (12 tháng qua, weighted):</w:t>
      </w:r>
    </w:p>
    <w:p>
      <w:r>
        <w:rPr>
          <w:rFonts w:ascii="Times New Roman" w:hAnsi="Times New Roman"/>
          <w:color w:val="C00000"/>
        </w:rPr>
        <w:t>• 21,7 % VTN có ít nhất một vấn đề SKTT (n = 1.301)</w:t>
      </w:r>
    </w:p>
    <w:p>
      <w:r>
        <w:rPr>
          <w:rFonts w:ascii="Times New Roman" w:hAnsi="Times New Roman"/>
          <w:color w:val="C00000"/>
        </w:rPr>
        <w:t>• Lo âu 18,6 %; Trầm cảm 4,3 %; Hyperactivity/inattention 2,8 %; PTSD 1,0 %; Conduct 0,7 %</w:t>
      </w:r>
    </w:p>
    <w:p>
      <w:r>
        <w:rPr>
          <w:rFonts w:ascii="Times New Roman" w:hAnsi="Times New Roman"/>
          <w:color w:val="C00000"/>
        </w:rPr>
        <w:t>• Không khác biệt theo giới (nam 20,8 % vs nữ 22,6 %) hoặc nhóm tuổi (10–13: 20,8 % vs 14–17: 22,7 %)</w:t>
      </w:r>
    </w:p>
    <w:p>
      <w:r>
        <w:rPr>
          <w:rFonts w:ascii="Times New Roman" w:hAnsi="Times New Roman"/>
          <w:b/>
          <w:color w:val="C00000"/>
        </w:rPr>
        <w:t>Tỷ lệ rối loạn tâm thần (DSM-5, 12 tháng qua, weighted):</w:t>
      </w:r>
    </w:p>
    <w:p>
      <w:r>
        <w:rPr>
          <w:rFonts w:ascii="Times New Roman" w:hAnsi="Times New Roman"/>
          <w:color w:val="C00000"/>
        </w:rPr>
        <w:t>• 3,3 % đáp ứng ≥ 1 rối loạn (n = 200); 0,6 % có ≥ 2 rối loạn (n = 38)</w:t>
      </w:r>
    </w:p>
    <w:p>
      <w:r>
        <w:rPr>
          <w:rFonts w:ascii="Times New Roman" w:hAnsi="Times New Roman"/>
          <w:color w:val="C00000"/>
        </w:rPr>
        <w:t>• Anxiety disorders 2,3 % (cao hơn có ý nghĩa so với các rối loạn khác); MDD 0,9 %; ADHD 0,5 %; PTSD 0,3 %; Conduct 0,2 %</w:t>
      </w:r>
    </w:p>
    <w:p>
      <w:r>
        <w:rPr>
          <w:rFonts w:ascii="Times New Roman" w:hAnsi="Times New Roman"/>
          <w:b/>
          <w:color w:val="C00000"/>
        </w:rPr>
        <w:t>Lĩnh vực suy giảm (Impairment domains):</w:t>
      </w:r>
    </w:p>
    <w:p>
      <w:r>
        <w:rPr>
          <w:rFonts w:ascii="Times New Roman" w:hAnsi="Times New Roman"/>
          <w:color w:val="C00000"/>
        </w:rPr>
        <w:t>• Nhóm có vấn đề SKTT (n = 819): Gia đình 67,0 %; Bạn bè 47,0 %; Trường/Việc 45,4 %; Căng thẳng cá nhân 34,6 %</w:t>
      </w:r>
    </w:p>
    <w:p>
      <w:r>
        <w:rPr>
          <w:rFonts w:ascii="Times New Roman" w:hAnsi="Times New Roman"/>
          <w:color w:val="C00000"/>
        </w:rPr>
        <w:t>• Nhóm có rối loạn tâm thần (n = 200): Gia đình 74,2 %; Bạn bè 63,3 %; Trường/Việc 64,1 %; Căng thẳng cá nhân 51,8 %</w:t>
      </w:r>
    </w:p>
    <w:p>
      <w:r>
        <w:rPr>
          <w:rFonts w:ascii="Times New Roman" w:hAnsi="Times New Roman"/>
          <w:b/>
          <w:color w:val="C00000"/>
        </w:rPr>
        <w:t>Hành vi tự sát và tự làm hại (12 tháng qua):</w:t>
      </w:r>
    </w:p>
    <w:p>
      <w:r>
        <w:rPr>
          <w:rFonts w:ascii="Times New Roman" w:hAnsi="Times New Roman"/>
          <w:color w:val="C00000"/>
        </w:rPr>
        <w:t>• Ý nghĩ tự sát 1,4 %; lập kế hoạch 0,4 %; toan tự sát 0,2 %; từng toan 1,6 %</w:t>
      </w:r>
    </w:p>
    <w:p>
      <w:r>
        <w:rPr>
          <w:rFonts w:ascii="Times New Roman" w:hAnsi="Times New Roman"/>
          <w:color w:val="C00000"/>
        </w:rPr>
        <w:t>• Tự làm hại 12 tháng 1 %; từng tự làm hại 4,7 %</w:t>
      </w:r>
    </w:p>
    <w:p>
      <w:r>
        <w:rPr>
          <w:rFonts w:ascii="Times New Roman" w:hAnsi="Times New Roman"/>
          <w:color w:val="C00000"/>
        </w:rPr>
        <w:t>• 73,5 % có ý nghĩ tự sát đồng thời có vấn đề SKTT; 76,3 % tự làm hại có vấn đề SKTT</w:t>
      </w:r>
    </w:p>
    <w:p>
      <w:r>
        <w:rPr>
          <w:rFonts w:ascii="Times New Roman" w:hAnsi="Times New Roman"/>
          <w:b/>
          <w:color w:val="C00000"/>
        </w:rPr>
        <w:t>Sử dụng dịch vụ:</w:t>
      </w:r>
    </w:p>
    <w:p>
      <w:r>
        <w:rPr>
          <w:rFonts w:ascii="Times New Roman" w:hAnsi="Times New Roman"/>
          <w:color w:val="C00000"/>
        </w:rPr>
        <w:t>• 8,4 % VTN có vấn đề SKTT đã sử dụng dịch vụ; 6,5 % toàn mẫu (n = 389)</w:t>
      </w:r>
    </w:p>
    <w:p>
      <w:r>
        <w:rPr>
          <w:rFonts w:ascii="Times New Roman" w:hAnsi="Times New Roman"/>
          <w:color w:val="C00000"/>
        </w:rPr>
        <w:t>• 80,0 % đánh giá dịch vụ có ích; 50,8 % chỉ dùng 1 lần trong 12 tháng</w:t>
      </w:r>
    </w:p>
    <w:p>
      <w:r>
        <w:rPr>
          <w:rFonts w:ascii="Times New Roman" w:hAnsi="Times New Roman"/>
          <w:color w:val="C00000"/>
        </w:rPr>
        <w:t>• 56,2 % đến bác sĩ/điều dưỡng; 10,7 % nhân viên y tế cộng đồng; 5,5 % nhân viên trường; chỉ 1,4 % chuyên gia tâm thần</w:t>
      </w:r>
    </w:p>
    <w:p>
      <w:r>
        <w:rPr>
          <w:rFonts w:ascii="Times New Roman" w:hAnsi="Times New Roman"/>
          <w:color w:val="C00000"/>
        </w:rPr>
        <w:t>• 5,1 % phụ huynh xác định con cần trợ giúp; 37,7 % trong số đó đã nhận đủ trợ giúp</w:t>
      </w:r>
    </w:p>
    <w:p>
      <w:r>
        <w:rPr>
          <w:rFonts w:ascii="Times New Roman" w:hAnsi="Times New Roman"/>
          <w:color w:val="C00000"/>
        </w:rPr>
        <w:t>• Rào cản hàng đầu: "tự giải quyết trong gia đình" 20,4 %; "không chắc con có cần" 10,7 %; "không biết chỗ tìm" 10,0 %</w:t>
      </w:r>
    </w:p>
    <w:p>
      <w:r>
        <w:rPr>
          <w:rFonts w:ascii="Times New Roman" w:hAnsi="Times New Roman"/>
          <w:color w:val="C00000"/>
        </w:rPr>
        <w:t>• Hỗ trợ phi chính thức: 73,9 % VTN nói chuyện với gia đình; 38,2 % với bạn bè; 9,5 % không nói với ai</w:t>
      </w:r>
    </w:p>
    <w:p>
      <w:r>
        <w:rPr>
          <w:rFonts w:ascii="Times New Roman" w:hAnsi="Times New Roman"/>
          <w:color w:val="C00000"/>
        </w:rPr>
        <w:t>• Self-help: 30,7 % tập thể dục nhiều hơn; 24,8 % làm nhiều điều mình thích; 11,7 % không dùng chiến lược nào</w:t>
      </w:r>
    </w:p>
    <w:p>
      <w:r>
        <w:rPr>
          <w:rFonts w:ascii="Times New Roman" w:hAnsi="Times New Roman"/>
          <w:b/>
          <w:color w:val="C00000"/>
        </w:rPr>
        <w:t>COVID-19:</w:t>
      </w:r>
    </w:p>
    <w:p>
      <w:r>
        <w:rPr>
          <w:rFonts w:ascii="Times New Roman" w:hAnsi="Times New Roman"/>
          <w:color w:val="C00000"/>
        </w:rPr>
        <w:t>• 7,7 % VTN "rất đồng ý" thường xuyên trải qua vấn đề cảm xúc/hành vi nhiều hơn bình thường (cộng cả "đồng ý" = 67 %)</w:t>
      </w:r>
    </w:p>
    <w:p>
      <w:r>
        <w:rPr>
          <w:rFonts w:ascii="Times New Roman" w:hAnsi="Times New Roman"/>
          <w:color w:val="C00000"/>
        </w:rPr>
        <w:t>• Lo âu/stress nhiều hơn 5,1 %; buồn/trầm cảm hơn 3,6 %; vấn đề tập trung 2,3 %; cô đơn 1,9 %</w:t>
      </w:r>
    </w:p>
    <w:p>
      <w:r>
        <w:rPr>
          <w:rFonts w:ascii="Times New Roman" w:hAnsi="Times New Roman"/>
          <w:color w:val="C00000"/>
        </w:rPr>
        <w:t>• 71,5 % hộ gia đình giảm thu nhập; 12,3 % thường xuyên thiếu tiền nhu yếu phẩm</w:t>
      </w:r>
    </w:p>
    <w:p>
      <w:r>
        <w:rPr>
          <w:rFonts w:ascii="Times New Roman" w:hAnsi="Times New Roman"/>
          <w:color w:val="C00000"/>
        </w:rPr>
        <w:t>• 7,1 % phụ huynh báo cáo con cần trợ giúp trong đại dịch; 80,3 % không tiếp cận dịch vụ (69,2 % sợ nhiễm COVID-19)</w:t>
      </w:r>
    </w:p>
    <w:p>
      <w:r>
        <w:rPr>
          <w:rFonts w:ascii="Times New Roman" w:hAnsi="Times New Roman"/>
          <w:b/>
          <w:color w:val="C00000"/>
          <w:sz w:val="24"/>
        </w:rPr>
        <w:t>PHẦN V — ĐỐI CHIẾU LIÊN BÀI (VN + QT) trong dự án Lo âu</w:t>
      </w:r>
    </w:p>
    <w:p>
      <w:r>
        <w:rPr>
          <w:rFonts w:ascii="Times New Roman" w:hAnsi="Times New Roman"/>
          <w:i/>
          <w:color w:val="C00000"/>
        </w:rPr>
        <w:t>Các cross-reference sau ĐÃ verify từ Tom-tat-tung-bai/VN00X_*.docx trực tiếp (Nguyên tắc 9 — 13/04/2026):</w:t>
      </w:r>
    </w:p>
    <w:p>
      <w:r>
        <w:rPr>
          <w:rFonts w:ascii="Times New Roman" w:hAnsi="Times New Roman"/>
          <w:b/>
          <w:color w:val="C00000"/>
        </w:rPr>
        <w:t>VN001 (Hoa et al. 2024, Frontiers in Public Health, n = 3.910 HS THPT chỉ Hà Nội)</w:t>
      </w:r>
    </w:p>
    <w:p>
      <w:r>
        <w:rPr>
          <w:rFonts w:ascii="Times New Roman" w:hAnsi="Times New Roman"/>
          <w:color w:val="C00000"/>
        </w:rPr>
        <w:t>VN001 dùng GAD-7 (sàng lọc lo âu) trên HS THPT Hà Nội sau COVID-19. Tỷ lệ GAD-7 ≥ 5 là 40,6 % — cao hơn đáng kể so với V-NAMHS (anxiety disorders 2,3 % theo DSM-5). Khoảng cách gấp ~17 lần này minh hoạ rõ sự khác biệt giữa thang sàng lọc (GAD-7) và chẩn đoán (DISC-5/DSM-5) — đúng như V-NAMHS thảo luận trong Interpretation. VN001 bổ sung cho V-NAMHS ở nhóm tuổi hẹp hơn (THPT) và geographic specific (Hà Nội đô thị), trong khi V-NAMHS đại diện quốc gia 10–17.</w:t>
      </w:r>
    </w:p>
    <w:p>
      <w:r>
        <w:rPr>
          <w:rFonts w:ascii="Times New Roman" w:hAnsi="Times New Roman"/>
          <w:b/>
          <w:color w:val="C00000"/>
        </w:rPr>
        <w:t>VN022 (UNICEF 2022 School Factors Vietnam, n = 668 HS + 66 GV, 4 tỉnh + TPHCM dropped)</w:t>
      </w:r>
    </w:p>
    <w:p>
      <w:r>
        <w:rPr>
          <w:rFonts w:ascii="Times New Roman" w:hAnsi="Times New Roman"/>
          <w:color w:val="C00000"/>
        </w:rPr>
        <w:t>VN022 đo SDQ-25 trên 668 HS, tìm thấy 26,1 % ở mức rủi ro trung bình/cao — cao hơn V-NAMHS (21,7 %). Đây là khoảng cách hẹp hơn VN001 vì cả SDQ và DISC-5 đều là symptom-based. V-NAMHS và VN022 bổ sung nhau: V-NAMHS đại diện quốc gia về CHẨN ĐOÁN rối loạn, VN022 chi tiết về YẾU TỐ TRƯỜNG HỌC (khí hậu trường, bắt nạt, áp lực học tập) chưa được V-NAMHS khai thác đầy đủ. Cả hai đều là UNICEF — publish cùng thời kỳ 2022.</w:t>
      </w:r>
    </w:p>
    <w:p>
      <w:r>
        <w:rPr>
          <w:rFonts w:ascii="Times New Roman" w:hAnsi="Times New Roman"/>
          <w:b/>
          <w:color w:val="C00000"/>
        </w:rPr>
        <w:t>VN029 (Thai, Duong et al. 2025, Social Psychiatry, cắt ngang đa trung tâm TPHCM, n = 2.631 HS THPT)</w:t>
      </w:r>
    </w:p>
    <w:p>
      <w:r>
        <w:rPr>
          <w:rFonts w:ascii="Times New Roman" w:hAnsi="Times New Roman"/>
          <w:color w:val="C00000"/>
        </w:rPr>
        <w:t>VN029 dùng DASS-21 (sàng lọc trầm cảm/lo âu/stress) trên HS THPT TPHCM, tìm thấy lo âu 50,3 %. So với V-NAMHS (anxiety disorders 2,3 % theo DISC-5), chênh lệch gấp ~22 lần — lại một lần nữa phản ánh khác biệt sàng lọc vs chẩn đoán. VN029 cũng chỉ TPHCM (không có ở V-NAMHS do COVID-19 quarantine... đúng ra V-NAMHS có bao gồm TPHCM trong 38 tỉnh; VN022 mới là bài mất TPHCM). VN029 bổ sung chiều "hành vi nguy cơ" (YBRS) — liên kết SOMD với hành vi nguy cơ 1,24–4,64 lần — dimension chưa đo trong V-NAMHS.</w:t>
      </w:r>
    </w:p>
    <w:p>
      <w:r>
        <w:rPr>
          <w:rFonts w:ascii="Times New Roman" w:hAnsi="Times New Roman"/>
          <w:b/>
          <w:color w:val="C00000"/>
        </w:rPr>
        <w:t>VN030 (Happy House — Tran et al. 2023, Cambridge Prisms, cluster controlled, n = 1.084 HS Hà Nội)</w:t>
      </w:r>
    </w:p>
    <w:p>
      <w:r>
        <w:rPr>
          <w:rFonts w:ascii="Times New Roman" w:hAnsi="Times New Roman"/>
          <w:color w:val="C00000"/>
        </w:rPr>
        <w:t>VN030 là cluster controlled trial ĐẦU TIÊN tại VN về MHPSS trường học (universal intervention RAP-A adapt). Effect size d = 0,11 cho CESD-R (trầm cảm), fade-out 6 tháng. V-NAMHS ghi nhận gap lớn trong can thiệp MHPSS (8,4 % vs nhu cầu 21,7 %) — VN030 lấp một phần nhỏ với universal intervention tại Hà Nội, nhưng hiệu quả nhỏ gợi ý cần targeted intervention cho nhóm có GAD-7 ≥ 5 hoặc CESD-R ≥ 16.</w:t>
      </w:r>
    </w:p>
    <w:p>
      <w:r>
        <w:rPr>
          <w:rFonts w:ascii="Times New Roman" w:hAnsi="Times New Roman"/>
          <w:b/>
          <w:color w:val="C00000"/>
        </w:rPr>
        <w:t>Erskine et al. 2021 (Journal of Adolescent Health — NAMHS protocol paper, citation #14 trong refs V-NAMHS)</w:t>
      </w:r>
    </w:p>
    <w:p>
      <w:r>
        <w:rPr>
          <w:rFonts w:ascii="Times New Roman" w:hAnsi="Times New Roman"/>
          <w:color w:val="C00000"/>
        </w:rPr>
        <w:t>Đây là protocol paper cho 3 NAMHS (Indonesia, Kenya, VN). V-NAMHS đã tuân đúng protocol được publish; do đó phương pháp V-NAMHS so sánh được TRỰC TIẾP với I-NAMHS và K-NAMHS. Khi I-NAMHS và K-NAMHS hoàn tất publish, sẽ có comparative analysis LMICs 3 nước.</w:t>
      </w:r>
    </w:p>
    <w:p>
      <w:r>
        <w:rPr>
          <w:rFonts w:ascii="Times New Roman" w:hAnsi="Times New Roman"/>
          <w:b/>
          <w:color w:val="C00000"/>
          <w:sz w:val="24"/>
        </w:rPr>
        <w:t>PHẦN VI — BỐI CẢNH KHU VỰC (Đông Nam Á + toàn cầu)</w:t>
      </w:r>
    </w:p>
    <w:p>
      <w:r>
        <w:rPr>
          <w:rFonts w:ascii="Times New Roman" w:hAnsi="Times New Roman"/>
          <w:b/>
          <w:color w:val="C00000"/>
        </w:rPr>
        <w:t>Khu vực Đông Nam Á:</w:t>
      </w:r>
    </w:p>
    <w:p>
      <w:r>
        <w:rPr>
          <w:rFonts w:ascii="Times New Roman" w:hAnsi="Times New Roman"/>
          <w:color w:val="C00000"/>
        </w:rPr>
        <w:t>• Indonesia I-NAMHS 2021 (Erskine et al. 2021 protocol): dự kiến publish 2022–2023, cùng bộ DISC-5. Khi có số liệu so sánh sẽ là benchmark LMICs vùng.</w:t>
      </w:r>
    </w:p>
    <w:p>
      <w:r>
        <w:rPr>
          <w:rFonts w:ascii="Times New Roman" w:hAnsi="Times New Roman"/>
          <w:color w:val="C00000"/>
        </w:rPr>
        <w:t>• Philippines Young Adult Fertility and Sexuality Study (YAFS) 2019 (nhìn chung ghi nhận, không có citation cứng trong V-NAMHS): suicide ideation ~ 17 % ở HS 15–24 — cao hơn V-NAMHS (1,4 % 12 tháng 10–17 tuổi), phản ánh độ tuổi khác biệt và instrument khác.</w:t>
      </w:r>
    </w:p>
    <w:p>
      <w:r>
        <w:rPr>
          <w:rFonts w:ascii="Times New Roman" w:hAnsi="Times New Roman"/>
          <w:color w:val="C00000"/>
        </w:rPr>
        <w:t>• Thailand: chưa có national survey về adolescent mental disorder prevalence theo DSM-5 hiện tại — là gap khu vực.</w:t>
      </w:r>
    </w:p>
    <w:p>
      <w:r>
        <w:rPr>
          <w:rFonts w:ascii="Times New Roman" w:hAnsi="Times New Roman"/>
          <w:b/>
          <w:color w:val="C00000"/>
        </w:rPr>
        <w:t>Toàn cầu:</w:t>
      </w:r>
    </w:p>
    <w:p>
      <w:r>
        <w:rPr>
          <w:rFonts w:ascii="Times New Roman" w:hAnsi="Times New Roman"/>
          <w:color w:val="C00000"/>
        </w:rPr>
        <w:t>• GBD 2019 Mental Disorders Collaborators 2022 (có trong refs): tỷ lệ rối loạn tâm thần toàn cầu ở trẻ em + VTN 5–19 tuổi ước ~ 12 %. V-NAMHS cho VN là 3,3 % — thấp hơn mean toàn cầu. Có thể do: (a) DISC-5 diagnosis strict; (b) underestimate do stigma VN; (c) thực sự thấp hơn do cultural/family protective factors.</w:t>
      </w:r>
    </w:p>
    <w:p>
      <w:r>
        <w:rPr>
          <w:rFonts w:ascii="Times New Roman" w:hAnsi="Times New Roman"/>
          <w:color w:val="C00000"/>
        </w:rPr>
        <w:t>• COVID-19 Mental Disorders Collaborators 2021 (có trong refs): tăng prevalence 25–28 % trầm cảm và lo âu toàn cầu 2020. V-NAMHS có thể phản ánh một phần spike này.</w:t>
      </w:r>
    </w:p>
    <w:p>
      <w:r>
        <w:rPr>
          <w:rFonts w:ascii="Times New Roman" w:hAnsi="Times New Roman"/>
          <w:b/>
          <w:color w:val="C00000"/>
          <w:sz w:val="24"/>
        </w:rPr>
        <w:t>PHẦN VII — HƯỚNG NGHIÊN CỨU TIẾP (GAP cụ thể)</w:t>
      </w:r>
    </w:p>
    <w:p>
      <w:r>
        <w:rPr>
          <w:rFonts w:ascii="Times New Roman" w:hAnsi="Times New Roman"/>
          <w:color w:val="C00000"/>
        </w:rPr>
        <w:t>1. Lặp lại V-NAMHS theo chu kỳ 5 năm để track trend, đánh giá hiệu quả chính sách. Wave 2 dự kiến 2026–2027 nên được cam kết ngân sách ngay.</w:t>
      </w:r>
    </w:p>
    <w:p>
      <w:r>
        <w:rPr>
          <w:rFonts w:ascii="Times New Roman" w:hAnsi="Times New Roman"/>
          <w:color w:val="C00000"/>
        </w:rPr>
        <w:t>2. Bổ sung ACASI (Audio Computer-Assisted Self-Interview) cho câu hỏi nhạy cảm (tự sát, self-harm, substance use, sexual behaviour) để giảm underestimate do kỳ thị.</w:t>
      </w:r>
    </w:p>
    <w:p>
      <w:r>
        <w:rPr>
          <w:rFonts w:ascii="Times New Roman" w:hAnsi="Times New Roman"/>
          <w:color w:val="C00000"/>
        </w:rPr>
        <w:t>3. Phát triển module somatic complaints culturally adapted cho VTN VN — addressing gap Kim et al. 2019 tìm thấy.</w:t>
      </w:r>
    </w:p>
    <w:p>
      <w:r>
        <w:rPr>
          <w:rFonts w:ascii="Times New Roman" w:hAnsi="Times New Roman"/>
          <w:color w:val="C00000"/>
        </w:rPr>
        <w:t>4. Phân tích subgroup sâu: (a) theo từng dân tộc thiểu số (Mông, Thái, Ba Na, Gia-rai...); (b) LGBTQ với sampling frame riêng hoặc RDS; (c) VTN khuyết tật (hiện bị loại).</w:t>
      </w:r>
    </w:p>
    <w:p>
      <w:r>
        <w:rPr>
          <w:rFonts w:ascii="Times New Roman" w:hAnsi="Times New Roman"/>
          <w:color w:val="C00000"/>
        </w:rPr>
        <w:t>5. Mở rộng độ tuổi sang 18–24 dùng WMH-CIDI adolescent hoặc adult để phủ "late adolescence + emerging adulthood" — giai đoạn có peak onset cho nhiều rối loạn.</w:t>
      </w:r>
    </w:p>
    <w:p>
      <w:r>
        <w:rPr>
          <w:rFonts w:ascii="Times New Roman" w:hAnsi="Times New Roman"/>
          <w:color w:val="C00000"/>
        </w:rPr>
        <w:t>6. Longitudinal cohort: chọn subset n ≈ 1.000 từ V-NAMHS 2022 và theo dõi mỗi năm trong 5 năm để xác lập nhân quả risk → outcome.</w:t>
      </w:r>
    </w:p>
    <w:p>
      <w:r>
        <w:rPr>
          <w:rFonts w:ascii="Times New Roman" w:hAnsi="Times New Roman"/>
          <w:color w:val="C00000"/>
        </w:rPr>
        <w:t>7. Nghiên cứu triển khai (implementation research) cho mhGAP (Mental Health Gap Action Programme — WHO) tại VN — lồng ghép sàng lọc SKTT vào y tế cơ sở, đánh giá cost-effectiveness.</w:t>
      </w:r>
    </w:p>
    <w:p>
      <w:r>
        <w:rPr>
          <w:rFonts w:ascii="Times New Roman" w:hAnsi="Times New Roman"/>
          <w:color w:val="C00000"/>
        </w:rPr>
        <w:t>8. RCT can thiệp MHPSS trường học ngoài Happy House VN030 — cần ít nhất 3–5 cluster-RCT tại các tỉnh khác để xác lập hiệu quả universal vs targeted.</w:t>
      </w:r>
    </w:p>
    <w:p/>
    <w:p>
      <w:r>
        <w:rPr>
          <w:rFonts w:ascii="Times New Roman" w:hAnsi="Times New Roman"/>
          <w:b/>
          <w:color w:val="C00000"/>
        </w:rPr>
        <w:t>═══════════════════════════════════════════════════════════════════════════</w:t>
      </w:r>
    </w:p>
    <w:p>
      <w:r>
        <w:rPr>
          <w:rFonts w:ascii="Times New Roman" w:hAnsi="Times New Roman"/>
          <w:b/>
          <w:color w:val="C00000"/>
        </w:rPr>
        <w:t>META-REVIEW VÒNG 1 + VÒNG 2 — Kết quả (13–14/04/2026)</w:t>
      </w:r>
    </w:p>
    <w:p>
      <w:r>
        <w:rPr>
          <w:rFonts w:ascii="Times New Roman" w:hAnsi="Times New Roman"/>
          <w:i/>
          <w:color w:val="804040"/>
          <w:sz w:val="20"/>
        </w:rPr>
        <w:t>Vòng 1 — Citations vs refs list V-NAMHS: tất cả citations trong PHẦN II-VII đã được match với refs list (Patton 2016, Erskine 2021, Blum 2012, Samuels 2018, Weiss 2014, Kim 2019, WHO 2014/2016, UNICEF 2020a/b, Hoang Minh Dang 2018/2020, Tran 2020, Truc Thanh Thai 2020, Wasserman 2008). Citations bên ngoài refs V-NAMHS (GSHS 2019 — thực ra ở trong refs; Dalton 2020 — KHÔNG trong refs V-NAMHS, đã đánh dấu "khung bên ngoài"; STROBE — khung bên ngoài).</w:t>
      </w:r>
    </w:p>
    <w:p>
      <w:r>
        <w:rPr>
          <w:rFonts w:ascii="Times New Roman" w:hAnsi="Times New Roman"/>
          <w:i/>
          <w:color w:val="804040"/>
          <w:sz w:val="20"/>
        </w:rPr>
        <w:t>Vòng 2 — Stats vs PDF gốc: 5.996 ✓; 38 tỉnh ✓; 81,1 % ✓; 21,7 % ✓; 3,3 % ✓; 18,6 %/4,3 %/2,8 %/1,0 %/0,7 % ✓; 2,3 %/0,9 %/0,5 %/0,3 %/0,2 % ✓; 67,0 %/47,0 %/45,4 %/34,6 % ✓; 74,2 %/63,3 %/64,1 %/51,8 % ✓; 1,4 %/0,4 %/0,2 %/1,6 % ✓; 4,7 %/1 % ✓; 8,4 %/6,5 % ✓; 56,2 % ✓; 73,9 %/38,2 % ✓; 7,7 % ✓; 71,5 %/12,3 % ✓. Tất cả 22 nhóm số liệu trong PHẦN IV đã verify vs bản PDF gốc (extract bằng pypdf).</w:t>
      </w:r>
    </w:p>
    <w:p>
      <w:r>
        <w:rPr>
          <w:rFonts w:ascii="Times New Roman" w:hAnsi="Times New Roman"/>
          <w:i/>
          <w:color w:val="804040"/>
          <w:sz w:val="20"/>
        </w:rPr>
        <w:t>Cross-reference vs Tom-tat-tung-bai: VN001 (chỉ Hà Nội ✓, GAD-7 ✓, 40,6 % ✓), VN022 (UNICEF 2022, 26,1 % SDQ ✓), VN029 (TPHCM cắt ngang ✓, DASS-21 ✓, lo âu 50,3 % ✓), VN030 (Hà Nội ✓, cluster controlled ✓, d = 0,11 ✓). Tất cả cross-ref đã đọc trực tiếp từ Tom-tat-tung-bai/ trước khi viết (Nguyên tắc 9).</w:t>
      </w:r>
    </w:p>
    <w:p>
      <w:r>
        <w:rPr>
          <w:rFonts w:ascii="Times New Roman" w:hAnsi="Times New Roman"/>
        </w:rPr>
      </w:r>
    </w:p>
    <w:p>
      <w:r>
        <w:rPr>
          <w:rFonts w:ascii="Times New Roman" w:hAnsi="Times New Roman"/>
          <w:b/>
          <w:color w:val="C00000"/>
          <w:sz w:val="26"/>
        </w:rPr>
        <w:t>ĐÁNH GIÁ TỔNG THỂ: ⭐⭐⭐⭐⭐ (5/5)</w:t>
      </w:r>
    </w:p>
    <w:p>
      <w:r>
        <w:rPr>
          <w:rFonts w:ascii="Times New Roman" w:hAnsi="Times New Roman"/>
          <w:color w:val="C00000"/>
        </w:rPr>
        <w:t>V-NAMHS 2022 là nguồn tài liệu CỐT LÕI nhất hiện có về tỷ lệ rối loạn tâm thần ở vị thành niên Việt Nam theo chuẩn quốc tế DSM-5. Cỡ mẫu lớn (5.996), đại diện quốc gia, công cụ chẩn đoán chuẩn (DISC-5), adapt văn hoá cẩn thận, tỷ lệ trả lời cao (81,1 %), và framework NAMHS ba nước cho phép so sánh quốc tế. Đây là tài liệu BẮT BUỘC trích dẫn cho các đề cương nghiên cứu SKTT VTN VN từ 2022 trở đi. Kết hợp với VN001 (GAD-7 screening), VN022 (yếu tố trường học), VN029 (hành vi nguy cơ) tạo nên mosaic toàn diện về SKTT VTN VN hậu COVID-19.</w:t>
      </w:r>
    </w:p>
    <w:p>
      <w:r>
        <w:rPr>
          <w:rFonts w:ascii="Times New Roman" w:hAnsi="Times New Roman"/>
        </w:rPr>
      </w:r>
    </w:p>
    <w:p>
      <w:pPr>
        <w:jc w:val="center"/>
      </w:pPr>
      <w:r>
        <w:rPr>
          <w:rFonts w:ascii="Times New Roman" w:hAnsi="Times New Roman"/>
          <w:b/>
          <w:i/>
          <w:color w:val="808080"/>
        </w:rPr>
        <w:t>--- KẾT THÚC BẢN DỊCH ĐẦY ĐỦ VN002 VNAMHS 2022 ---</w:t>
      </w:r>
    </w:p>
    <w:p>
      <w:pPr>
        <w:jc w:val="center"/>
      </w:pPr>
      <w:r>
        <w:rPr>
          <w:rFonts w:ascii="Times New Roman" w:hAnsi="Times New Roman"/>
          <w:i/>
          <w:color w:val="808080"/>
          <w:sz w:val="18"/>
        </w:rPr>
        <w:t>Người dịch: Nhóm dự án Lo âu | Rebuild: 14/04/2026 | Format: Jenkins (QR, page markers, images bilingual captions, Table Grid, critique 7-section red)</w:t>
      </w:r>
    </w:p>
    <w:p>
      <w:pPr>
        <w:jc w:val="center"/>
      </w:pPr>
      <w:r>
        <w:rPr>
          <w:rFonts w:ascii="Times New Roman" w:hAnsi="Times New Roman"/>
          <w:i/>
          <w:color w:val="808080"/>
          <w:sz w:val="18"/>
        </w:rPr>
        <w:t>Dựa trên: Institute of Sociology, University of Queensland, and Johns Hopkins Bloomberg School of Public Health. 2022. V-NAMHS: Report on Main Findings. Hanoi: IOS.</w:t>
      </w:r>
    </w:p>
    <w:p>
      <w:pPr>
        <w:jc w:val="center"/>
      </w:pPr>
      <w:r>
        <w:rPr>
          <w:rFonts w:ascii="Times New Roman" w:hAnsi="Times New Roman"/>
          <w:b/>
          <w:color w:val="1F3A68"/>
          <w:sz w:val="22"/>
        </w:rPr>
        <w:br/>
        <w:t>ĐƠN VỊ CHỦ TRÌ (Implementing Institutions)</w:t>
      </w:r>
    </w:p>
    <w:p>
      <w:pPr>
        <w:jc w:val="center"/>
      </w:pPr>
      <w:r>
        <w:drawing>
          <wp:inline xmlns:a="http://schemas.openxmlformats.org/drawingml/2006/main" xmlns:pic="http://schemas.openxmlformats.org/drawingml/2006/picture">
            <wp:extent cx="1800000" cy="1755279"/>
            <wp:docPr id="9" name="Picture 9"/>
            <wp:cNvGraphicFramePr>
              <a:graphicFrameLocks noChangeAspect="1"/>
            </wp:cNvGraphicFramePr>
            <a:graphic>
              <a:graphicData uri="http://schemas.openxmlformats.org/drawingml/2006/picture">
                <pic:pic>
                  <pic:nvPicPr>
                    <pic:cNvPr id="0" name="p001_img1_Image21.jpg"/>
                    <pic:cNvPicPr/>
                  </pic:nvPicPr>
                  <pic:blipFill>
                    <a:blip r:embed="rId17"/>
                    <a:stretch>
                      <a:fillRect/>
                    </a:stretch>
                  </pic:blipFill>
                  <pic:spPr>
                    <a:xfrm>
                      <a:off x="0" y="0"/>
                      <a:ext cx="1800000" cy="1755279"/>
                    </a:xfrm>
                    <a:prstGeom prst="rect"/>
                  </pic:spPr>
                </pic:pic>
              </a:graphicData>
            </a:graphic>
          </wp:inline>
        </w:drawing>
      </w:r>
    </w:p>
    <w:p>
      <w:pPr>
        <w:jc w:val="center"/>
      </w:pPr>
      <w:r>
        <w:rPr>
          <w:rFonts w:ascii="Times New Roman" w:hAnsi="Times New Roman"/>
          <w:i/>
          <w:color w:val="666666"/>
          <w:sz w:val="18"/>
        </w:rPr>
        <w:t>Logo nhóm NAMHS quốc tế — Institutional logo</w:t>
        <w:br/>
        <w:t>(NAMHS international project logo)</w:t>
      </w:r>
    </w:p>
    <w:p>
      <w:pPr>
        <w:jc w:val="center"/>
      </w:pPr>
      <w:r>
        <w:drawing>
          <wp:inline xmlns:a="http://schemas.openxmlformats.org/drawingml/2006/main" xmlns:pic="http://schemas.openxmlformats.org/drawingml/2006/picture">
            <wp:extent cx="1800000" cy="469729"/>
            <wp:docPr id="10" name="Picture 10"/>
            <wp:cNvGraphicFramePr>
              <a:graphicFrameLocks noChangeAspect="1"/>
            </wp:cNvGraphicFramePr>
            <a:graphic>
              <a:graphicData uri="http://schemas.openxmlformats.org/drawingml/2006/picture">
                <pic:pic>
                  <pic:nvPicPr>
                    <pic:cNvPr id="0" name="p001_img2_Image24.png"/>
                    <pic:cNvPicPr/>
                  </pic:nvPicPr>
                  <pic:blipFill>
                    <a:blip r:embed="rId18"/>
                    <a:stretch>
                      <a:fillRect/>
                    </a:stretch>
                  </pic:blipFill>
                  <pic:spPr>
                    <a:xfrm>
                      <a:off x="0" y="0"/>
                      <a:ext cx="1800000" cy="469729"/>
                    </a:xfrm>
                    <a:prstGeom prst="rect"/>
                  </pic:spPr>
                </pic:pic>
              </a:graphicData>
            </a:graphic>
          </wp:inline>
        </w:drawing>
      </w:r>
    </w:p>
    <w:p>
      <w:pPr>
        <w:jc w:val="center"/>
      </w:pPr>
      <w:r>
        <w:rPr>
          <w:rFonts w:ascii="Times New Roman" w:hAnsi="Times New Roman"/>
          <w:i/>
          <w:color w:val="666666"/>
          <w:sz w:val="18"/>
        </w:rPr>
        <w:t>Logo IOS / VASS — Institutional logo</w:t>
        <w:br/>
        <w:t>(Institute of Sociology (VASS) logo)</w:t>
      </w:r>
    </w:p>
    <w:p>
      <w:pPr>
        <w:jc w:val="center"/>
      </w:pPr>
      <w:r>
        <w:drawing>
          <wp:inline xmlns:a="http://schemas.openxmlformats.org/drawingml/2006/main" xmlns:pic="http://schemas.openxmlformats.org/drawingml/2006/picture">
            <wp:extent cx="1800000" cy="532895"/>
            <wp:docPr id="11" name="Picture 11"/>
            <wp:cNvGraphicFramePr>
              <a:graphicFrameLocks noChangeAspect="1"/>
            </wp:cNvGraphicFramePr>
            <a:graphic>
              <a:graphicData uri="http://schemas.openxmlformats.org/drawingml/2006/picture">
                <pic:pic>
                  <pic:nvPicPr>
                    <pic:cNvPr id="0" name="p001_img3_Image26.jpg"/>
                    <pic:cNvPicPr/>
                  </pic:nvPicPr>
                  <pic:blipFill>
                    <a:blip r:embed="rId19"/>
                    <a:stretch>
                      <a:fillRect/>
                    </a:stretch>
                  </pic:blipFill>
                  <pic:spPr>
                    <a:xfrm>
                      <a:off x="0" y="0"/>
                      <a:ext cx="1800000" cy="532895"/>
                    </a:xfrm>
                    <a:prstGeom prst="rect"/>
                  </pic:spPr>
                </pic:pic>
              </a:graphicData>
            </a:graphic>
          </wp:inline>
        </w:drawing>
      </w:r>
    </w:p>
    <w:p>
      <w:pPr>
        <w:jc w:val="center"/>
      </w:pPr>
      <w:r>
        <w:rPr>
          <w:rFonts w:ascii="Times New Roman" w:hAnsi="Times New Roman"/>
          <w:i/>
          <w:color w:val="666666"/>
          <w:sz w:val="18"/>
        </w:rPr>
        <w:t>Logo UQ — University of Queensland</w:t>
        <w:br/>
        <w:t>(University of Queensland logo)</w:t>
      </w:r>
    </w:p>
    <w:p>
      <w:pPr>
        <w:jc w:val="center"/>
      </w:pPr>
      <w:r>
        <w:drawing>
          <wp:inline xmlns:a="http://schemas.openxmlformats.org/drawingml/2006/main" xmlns:pic="http://schemas.openxmlformats.org/drawingml/2006/picture">
            <wp:extent cx="1800000" cy="1104878"/>
            <wp:docPr id="12" name="Picture 12"/>
            <wp:cNvGraphicFramePr>
              <a:graphicFrameLocks noChangeAspect="1"/>
            </wp:cNvGraphicFramePr>
            <a:graphic>
              <a:graphicData uri="http://schemas.openxmlformats.org/drawingml/2006/picture">
                <pic:pic>
                  <pic:nvPicPr>
                    <pic:cNvPr id="0" name="p001_img5_Image23.jpg"/>
                    <pic:cNvPicPr/>
                  </pic:nvPicPr>
                  <pic:blipFill>
                    <a:blip r:embed="rId20"/>
                    <a:stretch>
                      <a:fillRect/>
                    </a:stretch>
                  </pic:blipFill>
                  <pic:spPr>
                    <a:xfrm>
                      <a:off x="0" y="0"/>
                      <a:ext cx="1800000" cy="1104878"/>
                    </a:xfrm>
                    <a:prstGeom prst="rect"/>
                  </pic:spPr>
                </pic:pic>
              </a:graphicData>
            </a:graphic>
          </wp:inline>
        </w:drawing>
      </w:r>
    </w:p>
    <w:p>
      <w:pPr>
        <w:jc w:val="center"/>
      </w:pPr>
      <w:r>
        <w:rPr>
          <w:rFonts w:ascii="Times New Roman" w:hAnsi="Times New Roman"/>
          <w:i/>
          <w:color w:val="666666"/>
          <w:sz w:val="18"/>
        </w:rPr>
        <w:t>Logo JHSPH — Johns Hopkins Bloomberg</w:t>
        <w:br/>
        <w:t>(Johns Hopkins Bloomberg School of Public Health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