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Thực trạng nguy cơ stress, lo âu, trầm cảm của học sinh THPT huyện Yên Định, Thanh Hóa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Thực trạng nguy cơ stress, lo âu, trầm cảm của HS THPT huyện Yên Định, Thanh Hóa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Tác giả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Nguyễn Danh Lâm, Lê Minh Giang, Nguyễn Thị Phương Mai, Nguyễn Thị Diệu Thúy, Nguyễn Thị Thanh Mai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Cơ quan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BV huyện Yên Định; ĐH Y Hà Nội; ĐH Y Dược ĐH Thái Nguyên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Tạp chí Y học Việt Nam, Tập 516, Số 1, tháng 7/2022, tr. 67–70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Cỡ mẫu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482 HS THPT (2 trường), 9/2021, DASS-21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Điểm nổi bật:</w:t>
      </w:r>
    </w:p>
    <w:p>
      <w:r>
        <w:rPr>
          <w:rFonts w:ascii="Times New Roman" w:hAnsi="Times New Roman"/>
          <w:b w:val="0"/>
          <w:i w:val="0"/>
          <w:sz w:val="24"/>
        </w:rPr>
      </w:r>
      <w:r>
        <w:rPr>
          <w:rFonts w:ascii="Times New Roman" w:hAnsi="Times New Roman"/>
          <w:sz w:val="26"/>
        </w:rPr>
        <w:t xml:space="preserve">• </w:t>
      </w:r>
      <w:r>
        <w:rPr>
          <w:rFonts w:ascii="Times New Roman" w:hAnsi="Times New Roman"/>
          <w:b/>
          <w:color w:val="C00000"/>
          <w:sz w:val="26"/>
        </w:rPr>
        <w:t>Huyện bán nông thôn Thanh Hóa</w:t>
      </w:r>
      <w:r>
        <w:rPr>
          <w:rFonts w:ascii="Times New Roman" w:hAnsi="Times New Roman"/>
          <w:sz w:val="26"/>
        </w:rPr>
        <w:t xml:space="preserve"> — ít NC tại khu vực này.</w:t>
      </w:r>
    </w:p>
    <w:p>
      <w:r>
        <w:rPr>
          <w:rFonts w:ascii="Times New Roman" w:hAnsi="Times New Roman"/>
          <w:b w:val="0"/>
          <w:i w:val="0"/>
          <w:sz w:val="24"/>
        </w:rPr>
        <w:t>• Stress 41,7%, lo âu 49,0%, trầm cảm 43,6% — mức trung bình-cao.</w:t>
      </w:r>
    </w:p>
    <w:p>
      <w:r>
        <w:rPr>
          <w:rFonts w:ascii="Times New Roman" w:hAnsi="Times New Roman"/>
          <w:b w:val="0"/>
          <w:i w:val="0"/>
          <w:sz w:val="24"/>
        </w:rPr>
        <w:t>• Dữ liệu tự hại: 10% đã tự làm đau, 1,4% đã cố tự tử — đáng báo động.</w:t>
      </w:r>
    </w:p>
    <w:p>
      <w:r>
        <w:rPr>
          <w:rFonts w:ascii="Times New Roman" w:hAnsi="Times New Roman"/>
          <w:b w:val="0"/>
          <w:i w:val="0"/>
          <w:sz w:val="24"/>
        </w:rPr>
        <w:t>• 25% đã từng nghĩ đến tự tử — cao hơn nhiều NC khác.</w:t>
      </w:r>
    </w:p>
    <w:p>
      <w:r>
        <w:rPr>
          <w:rFonts w:ascii="Times New Roman" w:hAnsi="Times New Roman"/>
          <w:b/>
          <w:i w:val="0"/>
          <w:sz w:val="24"/>
        </w:rPr>
        <w:t>Hạn chế:</w:t>
      </w:r>
    </w:p>
    <w:p>
      <w:r>
        <w:rPr>
          <w:rFonts w:ascii="Times New Roman" w:hAnsi="Times New Roman"/>
          <w:b w:val="0"/>
          <w:i w:val="0"/>
          <w:sz w:val="24"/>
        </w:rPr>
        <w:t>• Chỉ 2 trường (chọn mẫu có chủ đích), không ngẫu nhiên.</w:t>
      </w:r>
    </w:p>
    <w:p>
      <w:r>
        <w:rPr>
          <w:rFonts w:ascii="Times New Roman" w:hAnsi="Times New Roman"/>
          <w:b w:val="0"/>
          <w:i w:val="0"/>
          <w:sz w:val="24"/>
        </w:rPr>
        <w:t>• Chỉ thống kê mô tả, KHÔNG có phân tích yếu tố liên quan (hồi quy).</w:t>
      </w:r>
    </w:p>
    <w:p>
      <w:r>
        <w:rPr>
          <w:rFonts w:ascii="Times New Roman" w:hAnsi="Times New Roman"/>
          <w:b w:val="0"/>
          <w:i w:val="0"/>
          <w:sz w:val="24"/>
        </w:rPr>
        <w:t>• Tạp chí Y học VN — không PubMed/Scopus. Bài chỉ 4 trang — thiếu chi tiết.</w:t>
      </w:r>
    </w:p>
    <w:p>
      <w:r>
        <w:rPr>
          <w:rFonts w:ascii="Times New Roman" w:hAnsi="Times New Roman"/>
          <w:b w:val="0"/>
          <w:i w:val="0"/>
          <w:sz w:val="24"/>
        </w:rPr>
        <w:t>• Không phân tích giới tính, khối lớp chi tiết.</w:t>
      </w:r>
    </w:p>
    <w:p>
      <w:pPr>
        <w:pStyle w:val="Heading2"/>
      </w:pPr>
      <w:r>
        <w:rPr>
          <w:rFonts w:ascii="Times New Roman" w:hAnsi="Times New Roman"/>
          <w:color w:val="000000"/>
        </w:rPr>
        <w:t>KẾT QUẢ CHÍNH</w:t>
      </w:r>
    </w:p>
    <w:p>
      <w:r>
        <w:rPr>
          <w:rFonts w:ascii="Times New Roman" w:hAnsi="Times New Roman"/>
          <w:i/>
          <w:color w:val="808080"/>
          <w:sz w:val="18"/>
        </w:rPr>
        <w:t>--- Trang 67–70, TC Y học Việt Nam, Tập 516, 7/2022 ---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7"/>
        <w:gridCol w:w="1567"/>
        <w:gridCol w:w="1567"/>
        <w:gridCol w:w="1567"/>
        <w:gridCol w:w="1567"/>
        <w:gridCol w:w="1567"/>
      </w:tblGrid>
      <w:tr>
        <w:tc>
          <w:tcPr>
            <w:tcW w:type="dxa" w:w="1567"/>
            <w:tcW w:w="1417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Tình trạng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Tỷ lệ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Nhẹ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Vừa</w:t>
            </w:r>
          </w:p>
        </w:tc>
        <w:tc>
          <w:tcPr>
            <w:tcW w:type="dxa" w:w="1567"/>
            <w:tcW w:w="850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Nặng</w:t>
            </w:r>
          </w:p>
        </w:tc>
        <w:tc>
          <w:tcPr>
            <w:tcW w:type="dxa" w:w="1567"/>
            <w:tcW w:w="113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Rất nặng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Stress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41,7%</w:t>
            </w:r>
          </w:p>
        </w:tc>
        <w:tc>
          <w:tcPr>
            <w:tcW w:type="dxa" w:w="1567"/>
            <w:tcW w:w="850" w:type="dxa"/>
          </w:tcPr>
          <w:p>
            <w:r/>
            <w:r>
              <w:rPr>
                <w:rFonts w:ascii="Times New Roman" w:hAnsi="Times New Roman"/>
                <w:b/>
                <w:color w:val="C00000"/>
                <w:sz w:val="26"/>
              </w:rPr>
              <w:t>18,7%</w:t>
            </w:r>
          </w:p>
        </w:tc>
        <w:tc>
          <w:tcPr>
            <w:tcW w:type="dxa" w:w="1567"/>
            <w:tcW w:w="850" w:type="dxa"/>
          </w:tcPr>
          <w:p>
            <w:r/>
            <w:r>
              <w:rPr>
                <w:rFonts w:ascii="Times New Roman" w:hAnsi="Times New Roman"/>
                <w:b/>
                <w:color w:val="C00000"/>
                <w:sz w:val="26"/>
              </w:rPr>
              <w:t>15,1%</w:t>
            </w:r>
          </w:p>
        </w:tc>
        <w:tc>
          <w:tcPr>
            <w:tcW w:type="dxa" w:w="1567"/>
            <w:tcW w:w="850" w:type="dxa"/>
          </w:tcPr>
          <w:p>
            <w:r/>
            <w:r>
              <w:rPr>
                <w:rFonts w:ascii="Times New Roman" w:hAnsi="Times New Roman"/>
                <w:b/>
                <w:color w:val="C00000"/>
                <w:sz w:val="26"/>
              </w:rPr>
              <w:t>7,1%</w:t>
            </w:r>
          </w:p>
        </w:tc>
        <w:tc>
          <w:tcPr>
            <w:tcW w:type="dxa" w:w="1567"/>
            <w:tcW w:w="1134" w:type="dxa"/>
          </w:tcPr>
          <w:p>
            <w:r/>
            <w:r>
              <w:rPr>
                <w:rFonts w:ascii="Times New Roman" w:hAnsi="Times New Roman"/>
                <w:b/>
                <w:color w:val="C00000"/>
                <w:sz w:val="26"/>
              </w:rPr>
              <w:t>0,8%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Lo âu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49,0%</w:t>
            </w:r>
          </w:p>
        </w:tc>
        <w:tc>
          <w:tcPr>
            <w:tcW w:type="dxa" w:w="1567"/>
            <w:tcW w:w="850" w:type="dxa"/>
          </w:tcPr>
          <w:p>
            <w:r/>
            <w:r>
              <w:rPr>
                <w:rFonts w:ascii="Times New Roman" w:hAnsi="Times New Roman"/>
                <w:b/>
                <w:color w:val="C00000"/>
                <w:sz w:val="26"/>
              </w:rPr>
              <w:t>11,2%</w:t>
            </w:r>
          </w:p>
        </w:tc>
        <w:tc>
          <w:tcPr>
            <w:tcW w:type="dxa" w:w="1567"/>
            <w:tcW w:w="850" w:type="dxa"/>
          </w:tcPr>
          <w:p>
            <w:r/>
            <w:r>
              <w:rPr>
                <w:rFonts w:ascii="Times New Roman" w:hAnsi="Times New Roman"/>
                <w:b/>
                <w:color w:val="C00000"/>
                <w:sz w:val="26"/>
              </w:rPr>
              <w:t>25,1%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8,1%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4,6%</w:t>
            </w:r>
          </w:p>
        </w:tc>
      </w:tr>
      <w:tr>
        <w:tc>
          <w:tcPr>
            <w:tcW w:type="dxa" w:w="1567"/>
            <w:tcW w:w="1417" w:type="dxa"/>
          </w:tcPr>
          <w:p>
            <w:r>
              <w:rPr>
                <w:rFonts w:ascii="Times New Roman" w:hAnsi="Times New Roman"/>
                <w:sz w:val="20"/>
              </w:rPr>
              <w:t>Trầm cảm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43,6%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12,2%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27,2%</w:t>
            </w:r>
          </w:p>
        </w:tc>
        <w:tc>
          <w:tcPr>
            <w:tcW w:type="dxa" w:w="1567"/>
            <w:tcW w:w="850" w:type="dxa"/>
          </w:tcPr>
          <w:p>
            <w:r>
              <w:rPr>
                <w:rFonts w:ascii="Times New Roman" w:hAnsi="Times New Roman"/>
                <w:sz w:val="20"/>
              </w:rPr>
              <w:t>2,9%</w:t>
            </w:r>
          </w:p>
        </w:tc>
        <w:tc>
          <w:tcPr>
            <w:tcW w:type="dxa" w:w="1567"/>
            <w:tcW w:w="1134" w:type="dxa"/>
          </w:tcPr>
          <w:p>
            <w:r>
              <w:rPr>
                <w:rFonts w:ascii="Times New Roman" w:hAnsi="Times New Roman"/>
                <w:sz w:val="20"/>
              </w:rPr>
              <w:t>1,2%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tcW w:w="1984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Tự hại / Tự tử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Chưa bao giờ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nghĩ đến</w:t>
            </w:r>
          </w:p>
        </w:tc>
        <w:tc>
          <w:tcPr>
            <w:tcW w:type="dxa" w:w="2351"/>
            <w:tcW w:w="1701" w:type="dxa"/>
            <w:shd w:fill="D9E2F3" w:val="clea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Đã thực hiện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làm đau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58,4%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31,6%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10,0%</w:t>
            </w:r>
          </w:p>
        </w:tc>
      </w:tr>
      <w:tr>
        <w:tc>
          <w:tcPr>
            <w:tcW w:type="dxa" w:w="2351"/>
            <w:tcW w:w="1984" w:type="dxa"/>
          </w:tcPr>
          <w:p>
            <w:r>
              <w:rPr>
                <w:rFonts w:ascii="Times New Roman" w:hAnsi="Times New Roman"/>
                <w:sz w:val="20"/>
              </w:rPr>
              <w:t>Tự tử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75,0%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23,6%</w:t>
            </w:r>
          </w:p>
        </w:tc>
        <w:tc>
          <w:tcPr>
            <w:tcW w:type="dxa" w:w="2351"/>
            <w:tcW w:w="1701" w:type="dxa"/>
          </w:tcPr>
          <w:p>
            <w:r>
              <w:rPr>
                <w:rFonts w:ascii="Times New Roman" w:hAnsi="Times New Roman"/>
                <w:sz w:val="20"/>
              </w:rPr>
              <w:t>1,4%</w:t>
            </w:r>
          </w:p>
        </w:tc>
      </w:tr>
    </w:tbl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/>
          <w:color w:val="FF0000"/>
          <w:sz w:val="24"/>
        </w:rPr>
        <w:t>Điểm mạnh:</w:t>
      </w:r>
    </w:p>
    <w:p>
      <w:r>
        <w:rPr>
          <w:rFonts w:ascii="Times New Roman" w:hAnsi="Times New Roman"/>
          <w:b w:val="0"/>
          <w:color w:val="FF0000"/>
          <w:sz w:val="24"/>
        </w:rPr>
      </w:r>
      <w:r>
        <w:rPr>
          <w:rFonts w:ascii="Times New Roman" w:hAnsi="Times New Roman"/>
          <w:sz w:val="26"/>
        </w:rPr>
        <w:t xml:space="preserve">1. </w:t>
      </w:r>
      <w:r>
        <w:rPr>
          <w:rFonts w:ascii="Times New Roman" w:hAnsi="Times New Roman"/>
          <w:b/>
          <w:color w:val="C00000"/>
          <w:sz w:val="26"/>
        </w:rPr>
        <w:t>Huyện bán nông thôn Thanh Hóa</w:t>
      </w:r>
      <w:r>
        <w:rPr>
          <w:rFonts w:ascii="Times New Roman" w:hAnsi="Times New Roman"/>
          <w:sz w:val="26"/>
        </w:rPr>
        <w:t xml:space="preserve"> — lấp khoảng trống giữa đô thị và nông thôn.</w:t>
      </w:r>
    </w:p>
    <w:p>
      <w:r>
        <w:rPr>
          <w:rFonts w:ascii="Times New Roman" w:hAnsi="Times New Roman"/>
          <w:b w:val="0"/>
          <w:color w:val="FF0000"/>
          <w:sz w:val="24"/>
        </w:rPr>
        <w:t>2. Dữ liệu tự hại/tự tử quan trọng — 10% đã tự làm đau, 1,4% cố tự tử.</w:t>
      </w:r>
    </w:p>
    <w:p>
      <w:r>
        <w:rPr>
          <w:rFonts w:ascii="Times New Roman" w:hAnsi="Times New Roman"/>
          <w:b w:val="0"/>
          <w:color w:val="FF0000"/>
          <w:sz w:val="24"/>
        </w:rPr>
        <w:t>3. DASS-21 tiếng Việt đã được xác thực (Thach et al., 2013).</w:t>
      </w:r>
    </w:p>
    <w:p>
      <w:r>
        <w:rPr>
          <w:rFonts w:ascii="Times New Roman" w:hAnsi="Times New Roman"/>
          <w:b/>
          <w:color w:val="FF0000"/>
          <w:sz w:val="24"/>
        </w:rPr>
        <w:t>Hạn chế:</w:t>
      </w:r>
    </w:p>
    <w:p>
      <w:r>
        <w:rPr>
          <w:rFonts w:ascii="Times New Roman" w:hAnsi="Times New Roman"/>
          <w:b w:val="0"/>
          <w:color w:val="FF0000"/>
          <w:sz w:val="24"/>
        </w:rPr>
        <w:t>1. Chọn mẫu có chủ đích (2 trường) — không ngẫu nhiên, thiên lệch.</w:t>
      </w:r>
    </w:p>
    <w:p>
      <w:r>
        <w:rPr>
          <w:rFonts w:ascii="Times New Roman" w:hAnsi="Times New Roman"/>
          <w:b w:val="0"/>
          <w:color w:val="FF0000"/>
          <w:sz w:val="24"/>
        </w:rPr>
        <w:t>2. Chỉ thống kê mô tả — KHÔNG phân tích yếu tố liên quan.</w:t>
      </w:r>
    </w:p>
    <w:p>
      <w:r>
        <w:rPr>
          <w:rFonts w:ascii="Times New Roman" w:hAnsi="Times New Roman"/>
          <w:b w:val="0"/>
          <w:color w:val="FF0000"/>
          <w:sz w:val="24"/>
        </w:rPr>
        <w:t>3. Bài chỉ 4 trang — thiếu phần thảo luận sâu, không so sánh giới tính.</w:t>
      </w:r>
    </w:p>
    <w:p>
      <w:r>
        <w:rPr>
          <w:rFonts w:ascii="Times New Roman" w:hAnsi="Times New Roman"/>
          <w:b w:val="0"/>
          <w:color w:val="FF0000"/>
          <w:sz w:val="24"/>
        </w:rPr>
      </w:r>
      <w:r>
        <w:rPr>
          <w:rFonts w:ascii="Times New Roman" w:hAnsi="Times New Roman"/>
          <w:sz w:val="26"/>
        </w:rPr>
        <w:t xml:space="preserve">4. </w:t>
      </w:r>
      <w:r>
        <w:rPr>
          <w:rFonts w:ascii="Times New Roman" w:hAnsi="Times New Roman"/>
          <w:b/>
          <w:color w:val="C00000"/>
          <w:sz w:val="26"/>
        </w:rPr>
        <w:t>Tạp chí không lập chỉ mục quốc tế.</w:t>
      </w:r>
    </w:p>
    <w:p>
      <w:r>
        <w:rPr>
          <w:rFonts w:ascii="Times New Roman" w:hAnsi="Times New Roman"/>
          <w:b/>
          <w:color w:val="FF0000"/>
          <w:sz w:val="24"/>
        </w:rPr>
        <w:t>Gap:</w:t>
      </w:r>
    </w:p>
    <w:p>
      <w:r>
        <w:rPr>
          <w:rFonts w:ascii="Times New Roman" w:hAnsi="Times New Roman"/>
          <w:b w:val="0"/>
          <w:color w:val="FF0000"/>
          <w:sz w:val="24"/>
        </w:rPr>
        <w:t>1. Phân tích yếu tố nguy cơ (hồi quy). 2. So sánh giới tính, khối lớp. 3. Can thiệp giảm tự hại.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  <cp:version/>
</cp:coreProperties>
</file>