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Kết quả sàng lọc lo âu, trầm cảm, stress bằng DASS-21 ở học sinh phổ thông Long Bình, tỉnh An Giang năm 2024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Kết quả sàng lọc lo âu, trầm cảm, stress bằng DASS-21 ở HS phổ thông Long Bình, An Giang 2024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color w:val="C00000"/>
                <w:sz w:val="26"/>
              </w:rPr>
              <w:t>Nguyễn Đăng K., Lê Minh T., Ngô Anh V.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Việt Nam, Tập 549, Số 1, tháng 4/2025, tr. 32–35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10.51298/vmj.v549i1.13506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366 HS THPT Long Bình, An Giang, 6/2024, DASS-21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Vùng ĐBSCL — ít NC SKTT tại khu vực này.</w:t>
      </w:r>
    </w:p>
    <w:p>
      <w:r>
        <w:rPr>
          <w:rFonts w:ascii="Times New Roman" w:hAnsi="Times New Roman"/>
          <w:b w:val="0"/>
          <w:i w:val="0"/>
          <w:sz w:val="24"/>
        </w:rPr>
        <w:t>• Lo âu 61,2%, trầm cảm 47,3%, stress 38,0%.</w:t>
      </w:r>
    </w:p>
    <w:p>
      <w:r>
        <w:rPr>
          <w:rFonts w:ascii="Times New Roman" w:hAnsi="Times New Roman"/>
          <w:b w:val="0"/>
          <w:i w:val="0"/>
          <w:sz w:val="24"/>
        </w:rPr>
        <w:t>• 27,3% có đồng thời cả 3 triệu chứng.</w:t>
      </w:r>
    </w:p>
    <w:p>
      <w:r>
        <w:rPr>
          <w:rFonts w:ascii="Times New Roman" w:hAnsi="Times New Roman"/>
          <w:b w:val="0"/>
          <w:i w:val="0"/>
          <w:sz w:val="24"/>
        </w:rPr>
        <w:t>• Tỷ lệ nam/nữ cân bằng (50,5/49,5%).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Chỉ 1 trường (Long Bình) — không đại diện.</w:t>
      </w:r>
    </w:p>
    <w:p>
      <w:r>
        <w:rPr>
          <w:rFonts w:ascii="Times New Roman" w:hAnsi="Times New Roman"/>
          <w:b w:val="0"/>
          <w:i w:val="0"/>
          <w:sz w:val="24"/>
        </w:rPr>
        <w:t>• Chỉ thống kê mô tả, KHÔNG phân tích yếu tố liên quan.</w:t>
      </w:r>
    </w:p>
    <w:p>
      <w:r>
        <w:rPr>
          <w:rFonts w:ascii="Times New Roman" w:hAnsi="Times New Roman"/>
          <w:b w:val="0"/>
          <w:i w:val="0"/>
          <w:sz w:val="24"/>
        </w:rPr>
        <w:t>• Bài ngắn (4 trang nội dung), thiếu thảo luận sâu.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r>
        <w:rPr>
          <w:rFonts w:ascii="Times New Roman" w:hAnsi="Times New Roman"/>
          <w:i/>
          <w:color w:val="808080"/>
          <w:sz w:val="18"/>
        </w:rPr>
        <w:t>--- Trang 32–35, TC Y học Việt Nam, Tập 549, 4/2025 ---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Nhẹ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Vừa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Nặng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Rất nặng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61,2%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9,3%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24,0%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12,6%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15,3%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47,3%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15,8%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18,0%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8,5%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4,9%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38,0%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12,8%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16,4%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11,5%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4,9%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Đồng mắc: 28,1% không có dấu hiệu, 24,6% có 1, 20,0% có 2, 27,3% có cả 3 triệu chứng.</w:t>
      </w:r>
    </w:p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Vùng ĐBSCL — lấp khoảng trống địa lý. 2. Tỷ lệ giới cân bằng. 3. Phân tích đồng mắc.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1 trường duy nhất. 2. Không phân tích yếu tố liên quan. 3. Bài ngắn. 4. Không lập chỉ mục QT.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Mở rộng nhiều trường An Giang. 2. Phân tích hồi quy. 3. So sánh ĐBSCL với đô thị.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