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Trầm cảm, lo âu, căng thẳng và các yếu tố liên quan ở học sinh THPT tại Thành phố Hồ Chí Minh</w:t>
      </w:r>
    </w:p>
    <w:p>
      <w:pPr>
        <w:pStyle w:val="Heading2"/>
      </w:pPr>
      <w:r>
        <w:rPr>
          <w:rFonts w:ascii="Times New Roman" w:hAnsi="Times New Roman"/>
          <w:color w:val="000000"/>
        </w:rPr>
        <w:t>Depression, Anxiety, Stress and Associated Factors among High School Students in Ho Chi Minh City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w:t>
            </w:r>
          </w:p>
        </w:tc>
        <w:tc>
          <w:tcPr>
            <w:tcW w:type="dxa" w:w="4702"/>
            <w:tcW w:w="7087" w:type="dxa"/>
          </w:tcPr>
          <w:p>
            <w:r>
              <w:rPr>
                <w:rFonts w:ascii="Times New Roman" w:hAnsi="Times New Roman"/>
                <w:sz w:val="20"/>
              </w:rPr>
              <w:t>Trầm cảm, lo âu, căng thẳng và các yếu tố liên quan ở HS THPT tại TPHCM</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Trần Hồ Vĩnh Lộc, Huỳnh Ngọc Vân Anh, Tô Gia Kiên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Y tế Công cộng, ĐH Y Dược TPHCM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Tạp chí Y học TPHCM, Tập 27, Số 5, 2024, tr. 100–110</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10.32895/hcjm.m.2024.05.12</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976 HS THPT (53,4% nữ), 2 trường tại TPHCM</w:t>
            </w:r>
          </w:p>
        </w:tc>
      </w:tr>
      <w:tr>
        <w:tc>
          <w:tcPr>
            <w:tcW w:type="dxa" w:w="4702"/>
            <w:tcW w:w="1984" w:type="dxa"/>
            <w:shd w:fill="D9E2F3" w:val="clear"/>
          </w:tcPr>
          <w:p>
            <w:r>
              <w:rPr>
                <w:rFonts w:ascii="Times New Roman" w:hAnsi="Times New Roman"/>
                <w:b/>
                <w:sz w:val="20"/>
              </w:rPr>
              <w:t>Thời điểm</w:t>
            </w:r>
          </w:p>
        </w:tc>
        <w:tc>
          <w:tcPr>
            <w:tcW w:type="dxa" w:w="4702"/>
            <w:tcW w:w="7087" w:type="dxa"/>
          </w:tcPr>
          <w:p>
            <w:r>
              <w:rPr>
                <w:rFonts w:ascii="Times New Roman" w:hAnsi="Times New Roman"/>
                <w:sz w:val="20"/>
              </w:rPr>
              <w:t>Tháng 2–4/2024</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DASS-Y (DASS dành cho thanh thiếu niên) + ESSA (áp lực học tập)</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DASS-Y — phiên bản DÀNH RIÊNG cho thanh thiếu niên (không phải DASS-21 người lớn).</w:t>
      </w:r>
    </w:p>
    <w:p>
      <w:r>
        <w:rPr>
          <w:rFonts w:ascii="Times New Roman" w:hAnsi="Times New Roman"/>
          <w:b w:val="0"/>
          <w:i w:val="0"/>
          <w:sz w:val="24"/>
        </w:rPr>
        <w:t>• n = 976 — cỡ mẫu lớn nhất trong các NC TPHCM về chủ đề này.</w:t>
      </w:r>
    </w:p>
    <w:p>
      <w:r>
        <w:rPr>
          <w:rFonts w:ascii="Times New Roman" w:hAnsi="Times New Roman"/>
          <w:b w:val="0"/>
          <w:i w:val="0"/>
          <w:sz w:val="24"/>
        </w:rPr>
        <w:t>• Trầm cảm 31,7%, lo âu 25,1%, căng thẳng 23,8% — thấp hơn đáng kể so với các NC dùng DASS-21.</w:t>
      </w:r>
    </w:p>
    <w:p>
      <w:r>
        <w:rPr>
          <w:rFonts w:ascii="Times New Roman" w:hAnsi="Times New Roman"/>
          <w:b w:val="0"/>
          <w:i w:val="0"/>
          <w:sz w:val="24"/>
        </w:rPr>
        <w:t>• Phân tích yếu tố liên quan: giới tính, áp lực học tập, hôn nhân cha mẹ, kinh tế gia đình, học vấn mẹ.</w:t>
      </w:r>
    </w:p>
    <w:p>
      <w:r>
        <w:rPr>
          <w:rFonts w:ascii="Times New Roman" w:hAnsi="Times New Roman"/>
          <w:b w:val="0"/>
          <w:i w:val="0"/>
          <w:sz w:val="24"/>
        </w:rPr>
        <w:t>• ESSA — thang đo áp lực học tập chuẩn hóa, ít NC VN sử dụng.</w:t>
      </w:r>
    </w:p>
    <w:p>
      <w:r>
        <w:rPr>
          <w:rFonts w:ascii="Times New Roman" w:hAnsi="Times New Roman"/>
          <w:b w:val="0"/>
          <w:i w:val="0"/>
          <w:sz w:val="24"/>
        </w:rPr>
        <w:t>• ĐH Y Dược TPHCM — cơ sở uy tín, TC Y học TPHCM có DOI.</w:t>
      </w:r>
    </w:p>
    <w:p>
      <w:r>
        <w:rPr>
          <w:rFonts w:ascii="Times New Roman" w:hAnsi="Times New Roman"/>
          <w:b/>
          <w:i w:val="0"/>
          <w:sz w:val="24"/>
        </w:rPr>
        <w:t>Hạn chế:</w:t>
      </w:r>
    </w:p>
    <w:p>
      <w:r>
        <w:rPr>
          <w:rFonts w:ascii="Times New Roman" w:hAnsi="Times New Roman"/>
          <w:b w:val="0"/>
          <w:i w:val="0"/>
          <w:sz w:val="24"/>
        </w:rPr>
        <w:t>• Chỉ 2 trường TPHCM — không đại diện toàn thành phố.</w:t>
      </w:r>
    </w:p>
    <w:p>
      <w:r>
        <w:rPr>
          <w:rFonts w:ascii="Times New Roman" w:hAnsi="Times New Roman"/>
          <w:b w:val="0"/>
          <w:i w:val="0"/>
          <w:sz w:val="24"/>
        </w:rPr>
        <w:t>• Chọn lớp thuận tiện (4 lớp/khối) — không hoàn toàn ngẫu nhiên.</w:t>
      </w:r>
    </w:p>
    <w:p>
      <w:r>
        <w:rPr>
          <w:rFonts w:ascii="Times New Roman" w:hAnsi="Times New Roman"/>
          <w:b w:val="0"/>
          <w:i w:val="0"/>
          <w:sz w:val="24"/>
        </w:rPr>
        <w:t>• Pilot test chỉ 34 HS, 88,2% nữ — thiên lệch giới trong pilot.</w:t>
      </w:r>
    </w:p>
    <w:p>
      <w:r>
        <w:rPr>
          <w:rFonts w:ascii="Times New Roman" w:hAnsi="Times New Roman"/>
          <w:b/>
          <w:i w:val="0"/>
          <w:sz w:val="24"/>
        </w:rPr>
        <w:t>Nói cách khác, đây là một trong số ít nghiên cứu tại Việt Nam sử dụng DASS-Y (phiên bản thanh thiếu niên, ngưỡng cắt khác DASS-21 người lớn) kết hợp đo lường áp lực học tập bằng thang ESSA — cho kết quả tỷ lệ thấp hơn đáng kể so với các NC dùng DASS-21.</w:t>
      </w:r>
    </w:p>
    <w:p>
      <w:r>
        <w:rPr>
          <w:rFonts w:ascii="Times New Roman" w:hAnsi="Times New Roman"/>
          <w:i/>
          <w:color w:val="808080"/>
          <w:sz w:val="18"/>
        </w:rPr>
        <w:t>--- Trang 100–110, TC Y học TPHCM, Tập 27, Số 5, 2024 ---</w:t>
      </w:r>
    </w:p>
    <w:p>
      <w:pPr>
        <w:pStyle w:val="Heading2"/>
      </w:pPr>
      <w:r>
        <w:rPr>
          <w:rFonts w:ascii="Times New Roman" w:hAnsi="Times New Roman"/>
          <w:color w:val="000000"/>
        </w:rPr>
        <w:t>KẾT QUẢ CHÍNH</w:t>
      </w:r>
    </w:p>
    <w:p>
      <w:r>
        <w:rPr>
          <w:rFonts w:ascii="Times New Roman" w:hAnsi="Times New Roman"/>
          <w:b/>
          <w:i w:val="0"/>
          <w:sz w:val="24"/>
        </w:rPr>
        <w:t>Tỷ lệ trầm cảm, lo âu, căng thẳng (N = 976, DASS-Y):</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Trầm cảm (≥7 điểm)</w:t>
            </w:r>
          </w:p>
        </w:tc>
        <w:tc>
          <w:tcPr>
            <w:tcW w:type="dxa" w:w="3135"/>
            <w:tcW w:w="1417" w:type="dxa"/>
          </w:tcPr>
          <w:p>
            <w:r>
              <w:rPr>
                <w:rFonts w:ascii="Times New Roman" w:hAnsi="Times New Roman"/>
                <w:sz w:val="20"/>
              </w:rPr>
              <w:t>31,7%</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Lo âu (≥6 điểm)</w:t>
            </w:r>
          </w:p>
        </w:tc>
        <w:tc>
          <w:tcPr>
            <w:tcW w:type="dxa" w:w="3135"/>
            <w:tcW w:w="1417" w:type="dxa"/>
          </w:tcPr>
          <w:p>
            <w:r>
              <w:rPr>
                <w:rFonts w:ascii="Times New Roman" w:hAnsi="Times New Roman"/>
                <w:sz w:val="20"/>
              </w:rPr>
              <w:t>25,1%</w:t>
            </w:r>
          </w:p>
        </w:tc>
        <w:tc>
          <w:tcPr>
            <w:tcW w:type="dxa" w:w="3135"/>
            <w:tcW w:w="2835" w:type="dxa"/>
          </w:tcPr>
          <w:p>
            <w:r>
              <w:rPr>
                <w:rFonts w:ascii="Times New Roman" w:hAnsi="Times New Roman"/>
                <w:sz w:val="20"/>
              </w:rPr>
              <w:t>Thấp hơn DASS-21 (40–86%)</w:t>
            </w:r>
          </w:p>
        </w:tc>
      </w:tr>
      <w:tr>
        <w:tc>
          <w:tcPr>
            <w:tcW w:type="dxa" w:w="3135"/>
            <w:tcW w:w="2268" w:type="dxa"/>
          </w:tcPr>
          <w:p>
            <w:r>
              <w:rPr>
                <w:rFonts w:ascii="Times New Roman" w:hAnsi="Times New Roman"/>
                <w:sz w:val="20"/>
              </w:rPr>
              <w:t>Căng thẳng (≥12 điểm)</w:t>
            </w:r>
          </w:p>
        </w:tc>
        <w:tc>
          <w:tcPr>
            <w:tcW w:type="dxa" w:w="3135"/>
            <w:tcW w:w="1417" w:type="dxa"/>
          </w:tcPr>
          <w:p>
            <w:r>
              <w:rPr>
                <w:rFonts w:ascii="Times New Roman" w:hAnsi="Times New Roman"/>
                <w:sz w:val="20"/>
              </w:rPr>
              <w:t>23,8%</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Có ≥1 vấn đề</w:t>
            </w:r>
          </w:p>
        </w:tc>
        <w:tc>
          <w:tcPr>
            <w:tcW w:type="dxa" w:w="3135"/>
            <w:tcW w:w="1417" w:type="dxa"/>
          </w:tcPr>
          <w:p>
            <w:r>
              <w:rPr>
                <w:rFonts w:ascii="Times New Roman" w:hAnsi="Times New Roman"/>
                <w:sz w:val="20"/>
              </w:rPr>
              <w:t>42,4%</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Có cả 3 vấn đề</w:t>
            </w:r>
          </w:p>
        </w:tc>
        <w:tc>
          <w:tcPr>
            <w:tcW w:type="dxa" w:w="3135"/>
            <w:tcW w:w="1417" w:type="dxa"/>
          </w:tcPr>
          <w:p>
            <w:r>
              <w:rPr>
                <w:rFonts w:ascii="Times New Roman" w:hAnsi="Times New Roman"/>
                <w:sz w:val="20"/>
              </w:rPr>
              <w:t>13,2%</w:t>
            </w:r>
          </w:p>
        </w:tc>
        <w:tc>
          <w:tcPr>
            <w:tcW w:type="dxa" w:w="3135"/>
            <w:tcW w:w="2835" w:type="dxa"/>
          </w:tcPr>
          <w:p>
            <w:r>
              <w:rPr>
                <w:rFonts w:ascii="Times New Roman" w:hAnsi="Times New Roman"/>
                <w:sz w:val="20"/>
              </w:rPr>
            </w:r>
          </w:p>
        </w:tc>
      </w:tr>
    </w:tbl>
    <w:p/>
    <w:p>
      <w:r>
        <w:rPr>
          <w:rFonts w:ascii="Times New Roman" w:hAnsi="Times New Roman"/>
          <w:b/>
          <w:i w:val="0"/>
          <w:sz w:val="24"/>
        </w:rPr>
        <w:t>Yếu tố liên quan (hồi quy đa biến):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2268" w:type="dxa"/>
            <w:shd w:fill="D9E2F3" w:val="clear"/>
          </w:tcPr>
          <w:p>
            <w:pPr>
              <w:jc w:val="center"/>
            </w:pPr>
            <w:r>
              <w:rPr>
                <w:rFonts w:ascii="Times New Roman" w:hAnsi="Times New Roman"/>
                <w:b/>
                <w:sz w:val="20"/>
              </w:rPr>
              <w:t>Liên quan với</w:t>
            </w:r>
          </w:p>
        </w:tc>
        <w:tc>
          <w:tcPr>
            <w:tcW w:type="dxa" w:w="3135"/>
            <w:tcW w:w="1701" w:type="dxa"/>
            <w:shd w:fill="D9E2F3" w:val="clear"/>
          </w:tcPr>
          <w:p>
            <w:pPr>
              <w:jc w:val="center"/>
            </w:pPr>
            <w:r>
              <w:rPr>
                <w:rFonts w:ascii="Times New Roman" w:hAnsi="Times New Roman"/>
                <w:b/>
                <w:sz w:val="20"/>
              </w:rPr>
              <w:t>Hướng</w:t>
            </w:r>
          </w:p>
        </w:tc>
      </w:tr>
      <w:tr>
        <w:tc>
          <w:tcPr>
            <w:tcW w:type="dxa" w:w="3135"/>
            <w:tcW w:w="2551" w:type="dxa"/>
          </w:tcPr>
          <w:p>
            <w:r>
              <w:rPr>
                <w:rFonts w:ascii="Times New Roman" w:hAnsi="Times New Roman"/>
                <w:sz w:val="20"/>
              </w:rPr>
              <w:t>Giới tính nữ</w:t>
            </w:r>
          </w:p>
        </w:tc>
        <w:tc>
          <w:tcPr>
            <w:tcW w:type="dxa" w:w="3135"/>
            <w:tcW w:w="2268" w:type="dxa"/>
          </w:tcPr>
          <w:p>
            <w:r>
              <w:rPr>
                <w:rFonts w:ascii="Times New Roman" w:hAnsi="Times New Roman"/>
                <w:sz w:val="20"/>
              </w:rPr>
              <w:t>Trầm cảm + Lo âu + Căng thẳng</w:t>
            </w:r>
          </w:p>
        </w:tc>
        <w:tc>
          <w:tcPr>
            <w:tcW w:type="dxa" w:w="3135"/>
            <w:tcW w:w="1701" w:type="dxa"/>
          </w:tcPr>
          <w:p>
            <w:r>
              <w:rPr>
                <w:rFonts w:ascii="Times New Roman" w:hAnsi="Times New Roman"/>
                <w:sz w:val="20"/>
              </w:rPr>
              <w:t>Nữ &gt; Nam (p &lt; 0,05)</w:t>
            </w:r>
          </w:p>
        </w:tc>
      </w:tr>
      <w:tr>
        <w:tc>
          <w:tcPr>
            <w:tcW w:type="dxa" w:w="3135"/>
            <w:tcW w:w="2551" w:type="dxa"/>
          </w:tcPr>
          <w:p>
            <w:r>
              <w:rPr>
                <w:rFonts w:ascii="Times New Roman" w:hAnsi="Times New Roman"/>
                <w:sz w:val="20"/>
              </w:rPr>
              <w:t>Áp lực học tập nặng (ESSA ≥59)</w:t>
            </w:r>
          </w:p>
        </w:tc>
        <w:tc>
          <w:tcPr>
            <w:tcW w:type="dxa" w:w="3135"/>
            <w:tcW w:w="2268" w:type="dxa"/>
          </w:tcPr>
          <w:p>
            <w:r>
              <w:rPr>
                <w:rFonts w:ascii="Times New Roman" w:hAnsi="Times New Roman"/>
                <w:sz w:val="20"/>
              </w:rPr>
              <w:t>Cả 3</w:t>
            </w:r>
          </w:p>
        </w:tc>
        <w:tc>
          <w:tcPr>
            <w:tcW w:type="dxa" w:w="3135"/>
            <w:tcW w:w="1701" w:type="dxa"/>
          </w:tcPr>
          <w:p>
            <w:r>
              <w:rPr>
                <w:rFonts w:ascii="Times New Roman" w:hAnsi="Times New Roman"/>
                <w:sz w:val="20"/>
              </w:rPr>
              <w:t>Tăng nguy cơ</w:t>
            </w:r>
          </w:p>
        </w:tc>
      </w:tr>
      <w:tr>
        <w:tc>
          <w:tcPr>
            <w:tcW w:type="dxa" w:w="3135"/>
            <w:tcW w:w="2551" w:type="dxa"/>
          </w:tcPr>
          <w:p>
            <w:r>
              <w:rPr>
                <w:rFonts w:ascii="Times New Roman" w:hAnsi="Times New Roman"/>
                <w:sz w:val="20"/>
              </w:rPr>
              <w:t>Cha mẹ ly hôn/ly thân</w:t>
            </w:r>
          </w:p>
        </w:tc>
        <w:tc>
          <w:tcPr>
            <w:tcW w:type="dxa" w:w="3135"/>
            <w:tcW w:w="2268" w:type="dxa"/>
          </w:tcPr>
          <w:p>
            <w:r>
              <w:rPr>
                <w:rFonts w:ascii="Times New Roman" w:hAnsi="Times New Roman"/>
                <w:sz w:val="20"/>
              </w:rPr>
              <w:t>Trầm cảm</w:t>
            </w:r>
          </w:p>
        </w:tc>
        <w:tc>
          <w:tcPr>
            <w:tcW w:type="dxa" w:w="3135"/>
            <w:tcW w:w="1701" w:type="dxa"/>
          </w:tcPr>
          <w:p>
            <w:r>
              <w:rPr>
                <w:rFonts w:ascii="Times New Roman" w:hAnsi="Times New Roman"/>
                <w:sz w:val="20"/>
              </w:rPr>
              <w:t>Tăng nguy cơ</w:t>
            </w:r>
          </w:p>
        </w:tc>
      </w:tr>
      <w:tr>
        <w:tc>
          <w:tcPr>
            <w:tcW w:type="dxa" w:w="3135"/>
            <w:tcW w:w="2551" w:type="dxa"/>
          </w:tcPr>
          <w:p>
            <w:r>
              <w:rPr>
                <w:rFonts w:ascii="Times New Roman" w:hAnsi="Times New Roman"/>
                <w:sz w:val="20"/>
              </w:rPr>
              <w:t>Kinh tế gia đình khó khăn</w:t>
            </w:r>
          </w:p>
        </w:tc>
        <w:tc>
          <w:tcPr>
            <w:tcW w:type="dxa" w:w="3135"/>
            <w:tcW w:w="2268" w:type="dxa"/>
          </w:tcPr>
          <w:p>
            <w:r>
              <w:rPr>
                <w:rFonts w:ascii="Times New Roman" w:hAnsi="Times New Roman"/>
                <w:sz w:val="20"/>
              </w:rPr>
              <w:t>Trầm cảm + Căng thẳng</w:t>
            </w:r>
          </w:p>
        </w:tc>
        <w:tc>
          <w:tcPr>
            <w:tcW w:type="dxa" w:w="3135"/>
            <w:tcW w:w="1701" w:type="dxa"/>
          </w:tcPr>
          <w:p>
            <w:r>
              <w:rPr>
                <w:rFonts w:ascii="Times New Roman" w:hAnsi="Times New Roman"/>
                <w:sz w:val="20"/>
              </w:rPr>
              <w:t>Tăng nguy cơ</w:t>
            </w:r>
          </w:p>
        </w:tc>
      </w:tr>
      <w:tr>
        <w:tc>
          <w:tcPr>
            <w:tcW w:type="dxa" w:w="3135"/>
            <w:tcW w:w="2551" w:type="dxa"/>
          </w:tcPr>
          <w:p>
            <w:r>
              <w:rPr>
                <w:rFonts w:ascii="Times New Roman" w:hAnsi="Times New Roman"/>
                <w:sz w:val="20"/>
              </w:rPr>
              <w:t>Trình độ học vấn mẹ thấp</w:t>
            </w:r>
          </w:p>
        </w:tc>
        <w:tc>
          <w:tcPr>
            <w:tcW w:type="dxa" w:w="3135"/>
            <w:tcW w:w="2268" w:type="dxa"/>
          </w:tcPr>
          <w:p>
            <w:r>
              <w:rPr>
                <w:rFonts w:ascii="Times New Roman" w:hAnsi="Times New Roman"/>
                <w:sz w:val="20"/>
              </w:rPr>
              <w:t>Lo âu</w:t>
            </w:r>
          </w:p>
        </w:tc>
        <w:tc>
          <w:tcPr>
            <w:tcW w:type="dxa" w:w="3135"/>
            <w:tcW w:w="1701" w:type="dxa"/>
          </w:tcPr>
          <w:p>
            <w:r>
              <w:rPr>
                <w:rFonts w:ascii="Times New Roman" w:hAnsi="Times New Roman"/>
                <w:sz w:val="20"/>
              </w:rPr>
              <w:t>Tăng nguy cơ</w:t>
            </w:r>
          </w:p>
        </w:tc>
      </w:tr>
    </w:tbl>
    <w:p/>
    <w:p>
      <w:pPr>
        <w:pStyle w:val="Heading3"/>
      </w:pPr>
      <w:r>
        <w:rPr>
          <w:rFonts w:ascii="Times New Roman" w:hAnsi="Times New Roman"/>
          <w:color w:val="0070C0"/>
        </w:rPr>
        <w:t>Đối chiếu giới tính (KT3)</w:t>
      </w:r>
    </w:p>
    <w:p>
      <w:r>
        <w:rPr>
          <w:rFonts w:ascii="Times New Roman" w:hAnsi="Times New Roman"/>
          <w:b w:val="0"/>
          <w:i w:val="0"/>
          <w:sz w:val="24"/>
        </w:rPr>
        <w:t>Y văn quốc tế xác nhận nữ &gt; nam về lo âu (McLean, 2011). Nghiên cứu tại TPHCM phù hợp xu hướng — nữ có nguy cơ cao hơn cả 3 chỉ số (p &lt; 0,05). Đặc biệt, tác giả khuyến nghị "các chương trình dành cho nữ sinh" — gợi ý can thiệp nhạy cảm giới.</w:t>
      </w:r>
    </w:p>
    <w:p>
      <w:pPr>
        <w:pStyle w:val="Heading3"/>
      </w:pPr>
      <w:r>
        <w:rPr>
          <w:rFonts w:ascii="Times New Roman" w:hAnsi="Times New Roman"/>
          <w:color w:val="0070C0"/>
        </w:rPr>
        <w:t>Nhận định tổng hợp (Kiến trúc B)</w:t>
      </w:r>
    </w:p>
    <w:p>
      <w:r>
        <w:rPr>
          <w:rFonts w:ascii="Times New Roman" w:hAnsi="Times New Roman"/>
          <w:b/>
          <w:i w:val="0"/>
          <w:sz w:val="24"/>
        </w:rPr>
        <w:t>Dữ liệu của nghiên cứu này, cho thấy tỷ lệ lo âu 25,1% ở 976 HS THPT TPHCM — thấp hơn đáng kể so với các NC dùng DASS-21 (Hoa 2024: 40,6%; Bảo Quyên 2025: 86,2%), gợi ý rằng DASS-Y với ngưỡng cắt riêng cho thanh thiếu niên có thể cho kết quả bảo thủ hơn và phù hợp hơn cho sàng lọc dân số trẻ. Áp lực học tập (ESSA) và cấu trúc gia đình là hai nhóm yếu tố mạnh nhất — phù hợp với Wen 2020 (áp lực OR=11,6) và Hoàng Trung Học 2025 (gia đình Beta=0,272).</w:t>
      </w:r>
    </w:p>
    <w:p>
      <w:pPr>
        <w:pStyle w:val="Heading2"/>
      </w:pPr>
      <w:r>
        <w:rPr>
          <w:rFonts w:ascii="Times New Roman" w:hAnsi="Times New Roman"/>
          <w:color w:val="000000"/>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1. DASS-Y — phiên bản DÀNH RIÊNG cho VTN, ngưỡng cắt phù hợp hơn DASS-21 người lớn.</w:t>
      </w:r>
    </w:p>
    <w:p>
      <w:r>
        <w:rPr>
          <w:rFonts w:ascii="Times New Roman" w:hAnsi="Times New Roman"/>
          <w:b w:val="0"/>
          <w:color w:val="FF0000"/>
          <w:sz w:val="24"/>
        </w:rPr>
        <w:t>2. n = 976, lấy mẫu ngẫu nhiên nhiều bậc — phương pháp tốt hơn đa số NC VN.</w:t>
      </w:r>
    </w:p>
    <w:p>
      <w:r>
        <w:rPr>
          <w:rFonts w:ascii="Times New Roman" w:hAnsi="Times New Roman"/>
          <w:b w:val="0"/>
          <w:color w:val="FF0000"/>
          <w:sz w:val="24"/>
        </w:rPr>
        <w:t>3. ESSA đo áp lực học tập chuẩn hóa (Cronbach alpha = 0,81) — ít NC VN dùng.</w:t>
      </w:r>
    </w:p>
    <w:p>
      <w:r>
        <w:rPr>
          <w:rFonts w:ascii="Times New Roman" w:hAnsi="Times New Roman"/>
          <w:b w:val="0"/>
          <w:color w:val="FF0000"/>
          <w:sz w:val="24"/>
        </w:rPr>
        <w:t>4. Phân tích hồi quy đa biến — xác định yếu tố độc lập.</w:t>
      </w:r>
    </w:p>
    <w:p>
      <w:r>
        <w:rPr>
          <w:rFonts w:ascii="Times New Roman" w:hAnsi="Times New Roman"/>
          <w:b w:val="0"/>
          <w:color w:val="FF0000"/>
          <w:sz w:val="24"/>
        </w:rPr>
        <w:t>5. ĐH Y Dược TPHCM — cơ sở đào tạo hàng đầu, có DOI, pilot test.</w:t>
      </w:r>
    </w:p>
    <w:p>
      <w:r>
        <w:rPr>
          <w:rFonts w:ascii="Times New Roman" w:hAnsi="Times New Roman"/>
          <w:b/>
          <w:color w:val="FF0000"/>
          <w:sz w:val="24"/>
        </w:rPr>
        <w:t>Hạn chế:</w:t>
      </w:r>
    </w:p>
    <w:p>
      <w:r>
        <w:rPr>
          <w:rFonts w:ascii="Times New Roman" w:hAnsi="Times New Roman"/>
          <w:b w:val="0"/>
          <w:color w:val="FF0000"/>
          <w:sz w:val="24"/>
        </w:rPr>
        <w:t>1. Chỉ 2 trường — không đại diện TPHCM (239.501 HS THPT).</w:t>
      </w:r>
    </w:p>
    <w:p>
      <w:r>
        <w:rPr>
          <w:rFonts w:ascii="Times New Roman" w:hAnsi="Times New Roman"/>
          <w:b w:val="0"/>
          <w:color w:val="FF0000"/>
          <w:sz w:val="24"/>
        </w:rPr>
        <w:t>2. Chọn lớp thuận tiện 4/khối — mâu thuẫn với "ngẫu nhiên nhiều bậc" (chỉ bậc trường ngẫu nhiên).</w:t>
      </w:r>
    </w:p>
    <w:p>
      <w:r>
        <w:rPr>
          <w:rFonts w:ascii="Times New Roman" w:hAnsi="Times New Roman"/>
          <w:b w:val="0"/>
          <w:color w:val="FF0000"/>
          <w:sz w:val="24"/>
        </w:rPr>
        <w:t>3. DASS-Y chưa phổ biến quốc tế — khó so sánh với NC dùng DASS-21/GAD-7.</w:t>
      </w:r>
    </w:p>
    <w:p>
      <w:r>
        <w:rPr>
          <w:rFonts w:ascii="Times New Roman" w:hAnsi="Times New Roman"/>
          <w:b w:val="0"/>
          <w:color w:val="FF0000"/>
          <w:sz w:val="24"/>
        </w:rPr>
        <w:t>4. Không đo giấc ngủ, mạng xã hội — 2 yếu tố mạnh nhất theo y văn (Chen 2023: giấc ngủ OR=6,99).</w:t>
      </w:r>
    </w:p>
    <w:p>
      <w:r>
        <w:rPr>
          <w:rFonts w:ascii="Times New Roman" w:hAnsi="Times New Roman"/>
          <w:b w:val="0"/>
          <w:color w:val="FF0000"/>
          <w:sz w:val="24"/>
        </w:rPr>
        <w:t>5. Tạp chí Y học TPHCM — không lập chỉ mục PubMed/Scopus.</w:t>
      </w:r>
    </w:p>
    <w:p>
      <w:r>
        <w:rPr>
          <w:rFonts w:ascii="Times New Roman" w:hAnsi="Times New Roman"/>
          <w:b/>
          <w:color w:val="FF0000"/>
          <w:sz w:val="24"/>
        </w:rPr>
        <w:t>Gap:</w:t>
      </w:r>
    </w:p>
    <w:p>
      <w:r>
        <w:rPr>
          <w:rFonts w:ascii="Times New Roman" w:hAnsi="Times New Roman"/>
          <w:b w:val="0"/>
          <w:color w:val="FF0000"/>
          <w:sz w:val="24"/>
        </w:rPr>
        <w:t>1. So sánh DASS-Y vs DASS-21 vs GAD-7 trên cùng mẫu VTN — xác định ngưỡng phù hợp.</w:t>
      </w:r>
    </w:p>
    <w:p>
      <w:r>
        <w:rPr>
          <w:rFonts w:ascii="Times New Roman" w:hAnsi="Times New Roman"/>
          <w:b w:val="0"/>
          <w:color w:val="FF0000"/>
          <w:sz w:val="24"/>
        </w:rPr>
        <w:t>2. Thêm biến giấc ngủ, mạng xã hội vào mô hình.</w:t>
      </w:r>
    </w:p>
    <w:p>
      <w:r>
        <w:rPr>
          <w:rFonts w:ascii="Times New Roman" w:hAnsi="Times New Roman"/>
          <w:b w:val="0"/>
          <w:color w:val="FF0000"/>
          <w:sz w:val="24"/>
        </w:rPr>
        <w:t>3. Mở rộng nhiều trường TPHCM (công + tư + chuyên).</w:t>
      </w:r>
    </w:p>
    <w:p>
      <w:r>
        <w:rPr>
          <w:rFonts w:ascii="Times New Roman" w:hAnsi="Times New Roman"/>
          <w:b w:val="0"/>
          <w:color w:val="FF0000"/>
          <w:sz w:val="24"/>
        </w:rPr>
        <w:t>4. Can thiệp giảm áp lực học tập + hỗ trợ gia đình ly hôn tại trường.</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DASS-Y</w:t>
            </w:r>
          </w:p>
        </w:tc>
        <w:tc>
          <w:tcPr>
            <w:tcW w:type="dxa" w:w="4702"/>
            <w:tcW w:w="7371" w:type="dxa"/>
          </w:tcPr>
          <w:p>
            <w:r>
              <w:rPr>
                <w:rFonts w:ascii="Times New Roman" w:hAnsi="Times New Roman"/>
                <w:sz w:val="20"/>
              </w:rPr>
              <w:t>Depression Anxiety Stress Scales for Youth — Thang đo TCC dành cho thanh thiếu niên</w:t>
            </w:r>
          </w:p>
        </w:tc>
      </w:tr>
      <w:tr>
        <w:tc>
          <w:tcPr>
            <w:tcW w:type="dxa" w:w="4702"/>
            <w:tcW w:w="1701" w:type="dxa"/>
          </w:tcPr>
          <w:p>
            <w:r>
              <w:rPr>
                <w:rFonts w:ascii="Times New Roman" w:hAnsi="Times New Roman"/>
                <w:sz w:val="20"/>
              </w:rPr>
              <w:t>ESSA</w:t>
            </w:r>
          </w:p>
        </w:tc>
        <w:tc>
          <w:tcPr>
            <w:tcW w:type="dxa" w:w="4702"/>
            <w:tcW w:w="7371" w:type="dxa"/>
          </w:tcPr>
          <w:p>
            <w:r>
              <w:rPr>
                <w:rFonts w:ascii="Times New Roman" w:hAnsi="Times New Roman"/>
                <w:sz w:val="20"/>
              </w:rPr>
              <w:t>Educational Stress Scale for Adolescents — Thang đo Áp lực Học tập</w:t>
            </w:r>
          </w:p>
        </w:tc>
      </w:tr>
      <w:tr>
        <w:tc>
          <w:tcPr>
            <w:tcW w:type="dxa" w:w="4702"/>
            <w:tcW w:w="1701" w:type="dxa"/>
          </w:tcPr>
          <w:p>
            <w:r>
              <w:rPr>
                <w:rFonts w:ascii="Times New Roman" w:hAnsi="Times New Roman"/>
                <w:sz w:val="20"/>
              </w:rPr>
              <w:t>TPHCM</w:t>
            </w:r>
          </w:p>
        </w:tc>
        <w:tc>
          <w:tcPr>
            <w:tcW w:type="dxa" w:w="4702"/>
            <w:tcW w:w="7371" w:type="dxa"/>
          </w:tcPr>
          <w:p>
            <w:r>
              <w:rPr>
                <w:rFonts w:ascii="Times New Roman" w:hAnsi="Times New Roman"/>
                <w:sz w:val="20"/>
              </w:rPr>
              <w:t>Thành phố Hồ Chí Minh</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TCC</w:t>
            </w:r>
          </w:p>
        </w:tc>
        <w:tc>
          <w:tcPr>
            <w:tcW w:type="dxa" w:w="4702"/>
            <w:tcW w:w="7371" w:type="dxa"/>
          </w:tcPr>
          <w:p>
            <w:r>
              <w:rPr>
                <w:rFonts w:ascii="Times New Roman" w:hAnsi="Times New Roman"/>
                <w:sz w:val="20"/>
              </w:rPr>
              <w:t>Trầm cảm, căng thẳng (Depression, Stress)</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