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https://doi.org/10.51298/vmj.v541i1.10696</w:t>
      </w:r>
    </w:p>
    <w:p>
      <w:pPr>
        <w:pStyle w:val="Heading1"/>
      </w:pPr>
      <w:r>
        <w:rPr>
          <w:rFonts w:ascii="Times New Roman" w:hAnsi="Times New Roman"/>
          <w:color w:val="000000"/>
        </w:rPr>
        <w:t>Trầm cảm và một số yếu tố liên quan của học sinh THPT tại TP Vĩnh Long, tỉnh Vĩnh Long năm 2023</w:t>
      </w:r>
    </w:p>
    <w:p>
      <w:r>
        <w:rPr>
          <w:rFonts w:ascii="Times New Roman" w:hAnsi="Times New Roman"/>
          <w:i/>
          <w:sz w:val="26"/>
        </w:rPr>
        <w:t>Depression and Associated Factors among High School Students in Vinh Long City, Vinh Long Province in 2023</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w:t>
            </w:r>
          </w:p>
        </w:tc>
        <w:tc>
          <w:tcPr>
            <w:tcW w:type="dxa" w:w="4702"/>
            <w:tcW w:w="7087" w:type="dxa"/>
          </w:tcPr>
          <w:p>
            <w:r>
              <w:rPr>
                <w:rFonts w:ascii="Times New Roman" w:hAnsi="Times New Roman"/>
                <w:sz w:val="20"/>
              </w:rPr>
              <w:t>Trầm cảm và một số yếu tố liên quan của HS THPT tại TP Vĩnh Long 2023</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Nguyễn Thanh Truyền (1), Đặng Phúc Vinh (2), Phạm Hồng Nhân (3), Nguyễn Minh Phương (4), Nguyễn Tấn Đạt (4)</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BV đa khoa Vĩnh Long; (2) TT Kiểm soát bệnh tật tỉnh Vĩnh Long; (3) QNQD Healthcare Solutions; (4) ĐH Y Dược Cần Thơ</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Tạp chí Y học Việt Nam, Tập 541, Số 1, tháng 8/2024, tr. 369–374</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10.51298/vmj.v541i1.10696</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mô tả có phân tích</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919 HS THPT (lớp 10–12), 4 trường, TP Vĩnh Long, 10–12/2023</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CES-D (20 câu, 0–60; &gt;21 triệu chứng, &gt;25 trầm cảm) + ESSA (áp lực HT)</w:t>
            </w:r>
          </w:p>
        </w:tc>
      </w:tr>
    </w:tbl>
    <w:p>
      <w:pPr>
        <w:pStyle w:val="Heading2"/>
      </w:pPr>
      <w:r>
        <w:rPr>
          <w:rFonts w:ascii="Times New Roman" w:hAnsi="Times New Roman"/>
          <w:color w:val="000000"/>
        </w:rPr>
        <w:t>TÓM TẮT ĐÁNH GIÁ NHANH</w:t>
      </w:r>
    </w:p>
    <w:p>
      <w:r>
        <w:rPr>
          <w:rFonts w:ascii="Times New Roman" w:hAnsi="Times New Roman"/>
          <w:b w:val="0"/>
          <w:i w:val="0"/>
          <w:sz w:val="24"/>
        </w:rPr>
        <w:t>• TC Y học VN — có DOI, peer-reviewed VN.</w:t>
      </w:r>
    </w:p>
    <w:p>
      <w:r>
        <w:rPr>
          <w:rFonts w:ascii="Times New Roman" w:hAnsi="Times New Roman"/>
          <w:b w:val="0"/>
          <w:i w:val="0"/>
          <w:sz w:val="24"/>
        </w:rPr>
        <w:t>• n = 919 — mẫu khá lớn cho NC VN cấp tỉnh.</w:t>
      </w:r>
    </w:p>
    <w:p>
      <w:r>
        <w:rPr>
          <w:rFonts w:ascii="Times New Roman" w:hAnsi="Times New Roman"/>
          <w:b w:val="0"/>
          <w:i w:val="0"/>
          <w:sz w:val="24"/>
        </w:rPr>
        <w:t>• CES-D + ESSA — kết hợp đo trầm cảm + áp lực HT. ESSA cũng dùng trong VN21 (α=0,88) và UNICEF VN22.</w:t>
      </w:r>
    </w:p>
    <w:p>
      <w:r>
        <w:rPr>
          <w:rFonts w:ascii="Times New Roman" w:hAnsi="Times New Roman"/>
          <w:b w:val="0"/>
          <w:i w:val="0"/>
          <w:sz w:val="24"/>
        </w:rPr>
        <w:t>• Trầm cảm 12,2% (CES-D &gt;25) — THẤP hơn DASS-21 (40–86%) do CES-D ngưỡng cao hơn.</w:t>
      </w:r>
    </w:p>
    <w:p>
      <w:r>
        <w:rPr>
          <w:rFonts w:ascii="Times New Roman" w:hAnsi="Times New Roman"/>
          <w:b w:val="0"/>
          <w:i w:val="0"/>
          <w:sz w:val="24"/>
        </w:rPr>
        <w:t>• Yếu tố gia đình + trường: sống cùng người nghiện rượu, bạo lực, thầy cô la mắng. Phù hợp UNICEF VN22.</w:t>
      </w:r>
    </w:p>
    <w:p>
      <w:r>
        <w:rPr>
          <w:rFonts w:ascii="Times New Roman" w:hAnsi="Times New Roman"/>
          <w:b w:val="0"/>
          <w:i w:val="0"/>
          <w:sz w:val="24"/>
        </w:rPr>
        <w:t>• Vĩnh Long — Miền Tây, ít NC SKTT so với HN/TPHCM.</w:t>
      </w:r>
    </w:p>
    <w:p>
      <w:r>
        <w:rPr>
          <w:rFonts w:ascii="Times New Roman" w:hAnsi="Times New Roman"/>
          <w:b/>
          <w:i w:val="0"/>
          <w:sz w:val="24"/>
        </w:rPr>
        <w:t>Hạn chế:</w:t>
      </w:r>
    </w:p>
    <w:p>
      <w:r>
        <w:rPr>
          <w:rFonts w:ascii="Times New Roman" w:hAnsi="Times New Roman"/>
          <w:b w:val="0"/>
          <w:i w:val="0"/>
          <w:sz w:val="24"/>
        </w:rPr>
        <w:t>• CES-D đo TRẦM CẢM — không đo LO ÂU riêng. Đề tài cần GAD-7/DASS-21.</w:t>
      </w:r>
    </w:p>
    <w:p>
      <w:r>
        <w:rPr>
          <w:rFonts w:ascii="Times New Roman" w:hAnsi="Times New Roman"/>
          <w:b w:val="0"/>
          <w:i w:val="0"/>
          <w:sz w:val="24"/>
        </w:rPr>
        <w:t>• Chỉ Vĩnh Long — không đại diện toàn quốc.</w:t>
      </w:r>
    </w:p>
    <w:p>
      <w:r>
        <w:rPr>
          <w:rFonts w:ascii="Times New Roman" w:hAnsi="Times New Roman"/>
          <w:b w:val="0"/>
          <w:i w:val="0"/>
          <w:sz w:val="24"/>
        </w:rPr>
        <w:t>• TC Y học VN — không PubMed/Scopus.</w:t>
      </w:r>
    </w:p>
    <w:p>
      <w:r>
        <w:rPr>
          <w:rFonts w:ascii="Times New Roman" w:hAnsi="Times New Roman"/>
          <w:b w:val="0"/>
          <w:i w:val="0"/>
          <w:sz w:val="24"/>
        </w:rPr>
        <w:t>• Bài không nêu OR cụ thể — chỉ p. Khó so sánh.</w:t>
      </w:r>
    </w:p>
    <w:p>
      <w:pPr>
        <w:pStyle w:val="Heading2"/>
      </w:pPr>
      <w:r>
        <w:rPr>
          <w:rFonts w:ascii="Times New Roman" w:hAnsi="Times New Roman"/>
          <w:color w:val="000000"/>
        </w:rPr>
        <w:t>KẾT QUẢ CHÍNH</w:t>
      </w:r>
    </w:p>
    <w:p>
      <w:pPr>
        <w:pStyle w:val="Heading3"/>
      </w:pPr>
      <w:r>
        <w:rPr>
          <w:rFonts w:ascii="Times New Roman" w:hAnsi="Times New Roman"/>
          <w:color w:val="000000"/>
        </w:rPr>
        <w:t>Bảng 1. Tỷ lệ trầm cảm và căng thẳng (n = 919)</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Chỉ số</w:t>
            </w:r>
          </w:p>
        </w:tc>
        <w:tc>
          <w:tcPr>
            <w:tcW w:type="dxa" w:w="3135"/>
            <w:tcW w:w="1134" w:type="dxa"/>
            <w:shd w:fill="D9E2F3" w:val="clear"/>
          </w:tcPr>
          <w:p>
            <w:pPr>
              <w:jc w:val="center"/>
            </w:pPr>
            <w:r>
              <w:rPr>
                <w:rFonts w:ascii="Times New Roman" w:hAnsi="Times New Roman"/>
                <w:b/>
                <w:sz w:val="20"/>
              </w:rPr>
              <w:t>Tỷ lệ</w:t>
            </w:r>
          </w:p>
        </w:tc>
        <w:tc>
          <w:tcPr>
            <w:tcW w:type="dxa" w:w="3135"/>
            <w:tcW w:w="2268" w:type="dxa"/>
            <w:shd w:fill="D9E2F3" w:val="clear"/>
          </w:tcPr>
          <w:p>
            <w:pPr>
              <w:jc w:val="center"/>
            </w:pPr>
            <w:r>
              <w:rPr>
                <w:rFonts w:ascii="Times New Roman" w:hAnsi="Times New Roman"/>
                <w:b/>
                <w:sz w:val="20"/>
              </w:rPr>
              <w:t>Ghi chú</w:t>
            </w:r>
          </w:p>
        </w:tc>
      </w:tr>
      <w:tr>
        <w:tc>
          <w:tcPr>
            <w:tcW w:type="dxa" w:w="3135"/>
            <w:tcW w:w="2835" w:type="dxa"/>
          </w:tcPr>
          <w:p>
            <w:r>
              <w:rPr>
                <w:rFonts w:ascii="Times New Roman" w:hAnsi="Times New Roman"/>
                <w:sz w:val="20"/>
              </w:rPr>
              <w:t>Triệu chứng trầm cảm (CES-D &gt;21)</w:t>
            </w:r>
          </w:p>
        </w:tc>
        <w:tc>
          <w:tcPr>
            <w:tcW w:type="dxa" w:w="3135"/>
            <w:tcW w:w="1134" w:type="dxa"/>
          </w:tcPr>
          <w:p>
            <w:r>
              <w:rPr>
                <w:rFonts w:ascii="Times New Roman" w:hAnsi="Times New Roman"/>
                <w:sz w:val="20"/>
              </w:rPr>
              <w:t>8,8%</w:t>
            </w:r>
          </w:p>
        </w:tc>
        <w:tc>
          <w:tcPr>
            <w:tcW w:type="dxa" w:w="3135"/>
            <w:tcW w:w="2268" w:type="dxa"/>
          </w:tcPr>
          <w:p>
            <w:r>
              <w:rPr>
                <w:rFonts w:ascii="Times New Roman" w:hAnsi="Times New Roman"/>
                <w:sz w:val="20"/>
              </w:rPr>
            </w:r>
          </w:p>
        </w:tc>
      </w:tr>
      <w:tr>
        <w:tc>
          <w:tcPr>
            <w:tcW w:type="dxa" w:w="3135"/>
            <w:tcW w:w="2835" w:type="dxa"/>
          </w:tcPr>
          <w:p>
            <w:r>
              <w:rPr>
                <w:rFonts w:ascii="Times New Roman" w:hAnsi="Times New Roman"/>
                <w:sz w:val="20"/>
              </w:rPr>
              <w:t>Trầm cảm (CES-D &gt;25)</w:t>
            </w:r>
          </w:p>
        </w:tc>
        <w:tc>
          <w:tcPr>
            <w:tcW w:type="dxa" w:w="3135"/>
            <w:tcW w:w="1134" w:type="dxa"/>
          </w:tcPr>
          <w:p>
            <w:r>
              <w:rPr>
                <w:rFonts w:ascii="Times New Roman" w:hAnsi="Times New Roman"/>
                <w:sz w:val="20"/>
              </w:rPr>
              <w:t>12,2%</w:t>
            </w:r>
          </w:p>
        </w:tc>
        <w:tc>
          <w:tcPr>
            <w:tcW w:type="dxa" w:w="3135"/>
            <w:tcW w:w="2268" w:type="dxa"/>
          </w:tcPr>
          <w:p>
            <w:r>
              <w:rPr>
                <w:rFonts w:ascii="Times New Roman" w:hAnsi="Times New Roman"/>
                <w:sz w:val="20"/>
              </w:rPr>
              <w:t>Ngưỡng chẩn đoán</w:t>
            </w:r>
          </w:p>
        </w:tc>
      </w:tr>
      <w:tr>
        <w:tc>
          <w:tcPr>
            <w:tcW w:type="dxa" w:w="3135"/>
            <w:tcW w:w="2835" w:type="dxa"/>
          </w:tcPr>
          <w:p>
            <w:r>
              <w:rPr>
                <w:rFonts w:ascii="Times New Roman" w:hAnsi="Times New Roman"/>
                <w:sz w:val="20"/>
              </w:rPr>
              <w:t>Căng thẳng thấp (ESSA)</w:t>
            </w:r>
          </w:p>
        </w:tc>
        <w:tc>
          <w:tcPr>
            <w:tcW w:type="dxa" w:w="3135"/>
            <w:tcW w:w="1134" w:type="dxa"/>
          </w:tcPr>
          <w:p>
            <w:r>
              <w:rPr>
                <w:rFonts w:ascii="Times New Roman" w:hAnsi="Times New Roman"/>
                <w:sz w:val="20"/>
              </w:rPr>
              <w:t>42,8%</w:t>
            </w:r>
          </w:p>
        </w:tc>
        <w:tc>
          <w:tcPr>
            <w:tcW w:type="dxa" w:w="3135"/>
            <w:tcW w:w="2268" w:type="dxa"/>
          </w:tcPr>
          <w:p>
            <w:r>
              <w:rPr>
                <w:rFonts w:ascii="Times New Roman" w:hAnsi="Times New Roman"/>
                <w:sz w:val="20"/>
              </w:rPr>
            </w:r>
          </w:p>
        </w:tc>
      </w:tr>
      <w:tr>
        <w:tc>
          <w:tcPr>
            <w:tcW w:type="dxa" w:w="3135"/>
            <w:tcW w:w="2835" w:type="dxa"/>
          </w:tcPr>
          <w:p>
            <w:r>
              <w:rPr>
                <w:rFonts w:ascii="Times New Roman" w:hAnsi="Times New Roman"/>
                <w:sz w:val="20"/>
              </w:rPr>
              <w:t>Căng thẳng trung bình</w:t>
            </w:r>
          </w:p>
        </w:tc>
        <w:tc>
          <w:tcPr>
            <w:tcW w:type="dxa" w:w="3135"/>
            <w:tcW w:w="1134" w:type="dxa"/>
          </w:tcPr>
          <w:p>
            <w:r>
              <w:rPr>
                <w:rFonts w:ascii="Times New Roman" w:hAnsi="Times New Roman"/>
                <w:sz w:val="20"/>
              </w:rPr>
              <w:t>35,6%</w:t>
            </w:r>
          </w:p>
        </w:tc>
        <w:tc>
          <w:tcPr>
            <w:tcW w:type="dxa" w:w="3135"/>
            <w:tcW w:w="2268" w:type="dxa"/>
          </w:tcPr>
          <w:p>
            <w:r>
              <w:rPr>
                <w:rFonts w:ascii="Times New Roman" w:hAnsi="Times New Roman"/>
                <w:sz w:val="20"/>
              </w:rPr>
            </w:r>
          </w:p>
        </w:tc>
      </w:tr>
      <w:tr>
        <w:tc>
          <w:tcPr>
            <w:tcW w:type="dxa" w:w="3135"/>
            <w:tcW w:w="2835" w:type="dxa"/>
          </w:tcPr>
          <w:p>
            <w:r>
              <w:rPr>
                <w:rFonts w:ascii="Times New Roman" w:hAnsi="Times New Roman"/>
                <w:sz w:val="20"/>
              </w:rPr>
              <w:t>Căng thẳng cao</w:t>
            </w:r>
          </w:p>
        </w:tc>
        <w:tc>
          <w:tcPr>
            <w:tcW w:type="dxa" w:w="3135"/>
            <w:tcW w:w="1134" w:type="dxa"/>
          </w:tcPr>
          <w:p>
            <w:r>
              <w:rPr>
                <w:rFonts w:ascii="Times New Roman" w:hAnsi="Times New Roman"/>
                <w:sz w:val="20"/>
              </w:rPr>
              <w:t>21,7%</w:t>
            </w:r>
          </w:p>
        </w:tc>
        <w:tc>
          <w:tcPr>
            <w:tcW w:type="dxa" w:w="3135"/>
            <w:tcW w:w="2268" w:type="dxa"/>
          </w:tcPr>
          <w:p>
            <w:r>
              <w:rPr>
                <w:rFonts w:ascii="Times New Roman" w:hAnsi="Times New Roman"/>
                <w:sz w:val="20"/>
              </w:rPr>
              <w:t>1/5 HS áp lực cao</w:t>
            </w:r>
          </w:p>
        </w:tc>
      </w:tr>
    </w:tbl>
    <w:p>
      <w:pPr>
        <w:pStyle w:val="Heading3"/>
      </w:pPr>
      <w:r>
        <w:rPr>
          <w:rFonts w:ascii="Times New Roman" w:hAnsi="Times New Roman"/>
          <w:color w:val="000000"/>
        </w:rPr>
        <w:t>Bảng 2. Yếu tố nguy cơ trầm cảm (hồi quy đa biến)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Yếu tố</w:t>
            </w:r>
          </w:p>
        </w:tc>
        <w:tc>
          <w:tcPr>
            <w:tcW w:type="dxa" w:w="3135"/>
            <w:tcW w:w="1701" w:type="dxa"/>
            <w:shd w:fill="D9E2F3" w:val="clear"/>
          </w:tcPr>
          <w:p>
            <w:pPr>
              <w:jc w:val="center"/>
            </w:pPr>
            <w:r>
              <w:rPr>
                <w:rFonts w:ascii="Times New Roman" w:hAnsi="Times New Roman"/>
                <w:b/>
                <w:sz w:val="20"/>
              </w:rPr>
              <w:t>Hướng</w:t>
            </w:r>
          </w:p>
        </w:tc>
        <w:tc>
          <w:tcPr>
            <w:tcW w:type="dxa" w:w="3135"/>
            <w:tcW w:w="1134" w:type="dxa"/>
            <w:shd w:fill="D9E2F3" w:val="clear"/>
          </w:tcPr>
          <w:p>
            <w:pPr>
              <w:jc w:val="center"/>
            </w:pPr>
            <w:r>
              <w:rPr>
                <w:rFonts w:ascii="Times New Roman" w:hAnsi="Times New Roman"/>
                <w:b/>
                <w:sz w:val="20"/>
              </w:rPr>
              <w:t>p</w:t>
            </w:r>
          </w:p>
        </w:tc>
      </w:tr>
      <w:tr>
        <w:tc>
          <w:tcPr>
            <w:tcW w:type="dxa" w:w="3135"/>
            <w:tcW w:w="2835" w:type="dxa"/>
          </w:tcPr>
          <w:p>
            <w:r>
              <w:rPr>
                <w:rFonts w:ascii="Times New Roman" w:hAnsi="Times New Roman"/>
                <w:sz w:val="20"/>
              </w:rPr>
              <w:t>Sống cùng người nghiện rượu</w:t>
            </w:r>
          </w:p>
        </w:tc>
        <w:tc>
          <w:tcPr>
            <w:tcW w:type="dxa" w:w="3135"/>
            <w:tcW w:w="1701" w:type="dxa"/>
          </w:tcPr>
          <w:p>
            <w:r>
              <w:rPr>
                <w:rFonts w:ascii="Times New Roman" w:hAnsi="Times New Roman"/>
                <w:sz w:val="20"/>
              </w:rPr>
              <w:t>Tăng nguy cơ</w:t>
            </w:r>
          </w:p>
        </w:tc>
        <w:tc>
          <w:tcPr>
            <w:tcW w:type="dxa" w:w="3135"/>
            <w:tcW w:w="1134" w:type="dxa"/>
          </w:tcPr>
          <w:p>
            <w:r>
              <w:rPr>
                <w:rFonts w:ascii="Times New Roman" w:hAnsi="Times New Roman"/>
                <w:sz w:val="20"/>
              </w:rPr>
              <w:t>&lt;0,05</w:t>
            </w:r>
          </w:p>
        </w:tc>
      </w:tr>
      <w:tr>
        <w:tc>
          <w:tcPr>
            <w:tcW w:type="dxa" w:w="3135"/>
            <w:tcW w:w="2835" w:type="dxa"/>
          </w:tcPr>
          <w:p>
            <w:r>
              <w:rPr>
                <w:rFonts w:ascii="Times New Roman" w:hAnsi="Times New Roman"/>
                <w:sz w:val="20"/>
              </w:rPr>
              <w:t>Sống cùng người trầm cảm/tâm thần</w:t>
            </w:r>
          </w:p>
        </w:tc>
        <w:tc>
          <w:tcPr>
            <w:tcW w:type="dxa" w:w="3135"/>
            <w:tcW w:w="1701" w:type="dxa"/>
          </w:tcPr>
          <w:p>
            <w:r>
              <w:rPr>
                <w:rFonts w:ascii="Times New Roman" w:hAnsi="Times New Roman"/>
                <w:sz w:val="20"/>
              </w:rPr>
              <w:t>Tăng nguy cơ</w:t>
            </w:r>
          </w:p>
        </w:tc>
        <w:tc>
          <w:tcPr>
            <w:tcW w:type="dxa" w:w="3135"/>
            <w:tcW w:w="1134" w:type="dxa"/>
          </w:tcPr>
          <w:p>
            <w:r>
              <w:rPr>
                <w:rFonts w:ascii="Times New Roman" w:hAnsi="Times New Roman"/>
                <w:sz w:val="20"/>
              </w:rPr>
              <w:t>&lt;0,05</w:t>
            </w:r>
          </w:p>
        </w:tc>
      </w:tr>
      <w:tr>
        <w:tc>
          <w:tcPr>
            <w:tcW w:type="dxa" w:w="3135"/>
            <w:tcW w:w="2835" w:type="dxa"/>
          </w:tcPr>
          <w:p>
            <w:r>
              <w:rPr>
                <w:rFonts w:ascii="Times New Roman" w:hAnsi="Times New Roman"/>
                <w:sz w:val="20"/>
              </w:rPr>
              <w:t>Bị văng tục chế giễu</w:t>
            </w:r>
          </w:p>
        </w:tc>
        <w:tc>
          <w:tcPr>
            <w:tcW w:type="dxa" w:w="3135"/>
            <w:tcW w:w="1701" w:type="dxa"/>
          </w:tcPr>
          <w:p>
            <w:r>
              <w:rPr>
                <w:rFonts w:ascii="Times New Roman" w:hAnsi="Times New Roman"/>
                <w:sz w:val="20"/>
              </w:rPr>
              <w:t>Tăng nguy cơ</w:t>
            </w:r>
          </w:p>
        </w:tc>
        <w:tc>
          <w:tcPr>
            <w:tcW w:type="dxa" w:w="3135"/>
            <w:tcW w:w="1134" w:type="dxa"/>
          </w:tcPr>
          <w:p>
            <w:r>
              <w:rPr>
                <w:rFonts w:ascii="Times New Roman" w:hAnsi="Times New Roman"/>
                <w:sz w:val="20"/>
              </w:rPr>
              <w:t>&lt;0,05</w:t>
            </w:r>
          </w:p>
        </w:tc>
      </w:tr>
      <w:tr>
        <w:tc>
          <w:tcPr>
            <w:tcW w:type="dxa" w:w="3135"/>
            <w:tcW w:w="2835" w:type="dxa"/>
          </w:tcPr>
          <w:p>
            <w:r>
              <w:rPr>
                <w:rFonts w:ascii="Times New Roman" w:hAnsi="Times New Roman"/>
                <w:sz w:val="20"/>
              </w:rPr>
              <w:t>Bị đánh đập</w:t>
            </w:r>
          </w:p>
        </w:tc>
        <w:tc>
          <w:tcPr>
            <w:tcW w:type="dxa" w:w="3135"/>
            <w:tcW w:w="1701" w:type="dxa"/>
          </w:tcPr>
          <w:p>
            <w:r>
              <w:rPr>
                <w:rFonts w:ascii="Times New Roman" w:hAnsi="Times New Roman"/>
                <w:sz w:val="20"/>
              </w:rPr>
              <w:t>Tăng nguy cơ</w:t>
            </w:r>
          </w:p>
        </w:tc>
        <w:tc>
          <w:tcPr>
            <w:tcW w:type="dxa" w:w="3135"/>
            <w:tcW w:w="1134" w:type="dxa"/>
          </w:tcPr>
          <w:p>
            <w:r>
              <w:rPr>
                <w:rFonts w:ascii="Times New Roman" w:hAnsi="Times New Roman"/>
                <w:sz w:val="20"/>
              </w:rPr>
              <w:t>&lt;0,05</w:t>
            </w:r>
          </w:p>
        </w:tc>
      </w:tr>
      <w:tr>
        <w:tc>
          <w:tcPr>
            <w:tcW w:type="dxa" w:w="3135"/>
            <w:tcW w:w="2835" w:type="dxa"/>
          </w:tcPr>
          <w:p>
            <w:r>
              <w:rPr>
                <w:rFonts w:ascii="Times New Roman" w:hAnsi="Times New Roman"/>
                <w:sz w:val="20"/>
              </w:rPr>
              <w:t>Tranh cãi gay gắt</w:t>
            </w:r>
          </w:p>
        </w:tc>
        <w:tc>
          <w:tcPr>
            <w:tcW w:type="dxa" w:w="3135"/>
            <w:tcW w:w="1701" w:type="dxa"/>
          </w:tcPr>
          <w:p>
            <w:r>
              <w:rPr>
                <w:rFonts w:ascii="Times New Roman" w:hAnsi="Times New Roman"/>
                <w:sz w:val="20"/>
              </w:rPr>
              <w:t>Tăng nguy cơ</w:t>
            </w:r>
          </w:p>
        </w:tc>
        <w:tc>
          <w:tcPr>
            <w:tcW w:type="dxa" w:w="3135"/>
            <w:tcW w:w="1134" w:type="dxa"/>
          </w:tcPr>
          <w:p>
            <w:r>
              <w:rPr>
                <w:rFonts w:ascii="Times New Roman" w:hAnsi="Times New Roman"/>
                <w:sz w:val="20"/>
              </w:rPr>
              <w:t>&lt;0,05</w:t>
            </w:r>
          </w:p>
        </w:tc>
      </w:tr>
      <w:tr>
        <w:tc>
          <w:tcPr>
            <w:tcW w:type="dxa" w:w="3135"/>
            <w:tcW w:w="2835" w:type="dxa"/>
          </w:tcPr>
          <w:p>
            <w:r>
              <w:rPr>
                <w:rFonts w:ascii="Times New Roman" w:hAnsi="Times New Roman"/>
                <w:sz w:val="20"/>
              </w:rPr>
              <w:t>Bị thầy cô la mắng hăm dọa</w:t>
            </w:r>
          </w:p>
        </w:tc>
        <w:tc>
          <w:tcPr>
            <w:tcW w:type="dxa" w:w="3135"/>
            <w:tcW w:w="1701" w:type="dxa"/>
          </w:tcPr>
          <w:p>
            <w:r>
              <w:rPr>
                <w:rFonts w:ascii="Times New Roman" w:hAnsi="Times New Roman"/>
                <w:sz w:val="20"/>
              </w:rPr>
              <w:t>Tăng nguy cơ</w:t>
            </w:r>
          </w:p>
        </w:tc>
        <w:tc>
          <w:tcPr>
            <w:tcW w:type="dxa" w:w="3135"/>
            <w:tcW w:w="1134" w:type="dxa"/>
          </w:tcPr>
          <w:p>
            <w:r>
              <w:rPr>
                <w:rFonts w:ascii="Times New Roman" w:hAnsi="Times New Roman"/>
                <w:sz w:val="20"/>
              </w:rPr>
              <w:t>&lt;0,05</w:t>
            </w:r>
          </w:p>
        </w:tc>
      </w:tr>
    </w:tbl>
    <w:p>
      <w:r>
        <w:rPr>
          <w:rFonts w:ascii="Times New Roman" w:hAnsi="Times New Roman"/>
          <w:b w:val="0"/>
          <w:i/>
          <w:sz w:val="18"/>
        </w:rPr>
        <w:t>Lưu ý: Bài gốc không nêu OR cụ thể — chỉ nêu p &lt; 0,05. Cần xem PDF gốc Bảng 4.</w:t>
      </w:r>
    </w:p>
    <w:p>
      <w:r>
        <w:rPr>
          <w:rFonts w:ascii="Times New Roman" w:hAnsi="Times New Roman"/>
          <w:b/>
          <w:i w:val="0"/>
          <w:sz w:val="24"/>
        </w:rPr>
        <w:t>Đối chiếu liên bài</w:t>
      </w:r>
    </w:p>
    <w:p>
      <w:r>
        <w:rPr>
          <w:rFonts w:ascii="Times New Roman" w:hAnsi="Times New Roman"/>
          <w:b w:val="0"/>
          <w:i w:val="0"/>
          <w:sz w:val="24"/>
        </w:rPr>
        <w:t>Trầm cảm 12,2% (CES-D) — thấp hơn DASS-21 (VN16 Bảo Quyên: 78,8%; VN18 An Giang: 47,3%) nhưng phù hợp V-NAMHS 2022 (VN02: chẩn đoán DISC-5 thấp). Yếu tố gia đình (bạo lực, nghiện rượu) phù hợp UNICEF VN22, Ngô Anh Vinh VN15 (ACEs→lo âu), Islam QT31 (bắt nạt AOR=1,68). Yếu tố thầy cô la mắng — phù hợp UNICEF VN22 (HS không thoải mái tìm GV) và Ireland QT32 (OGA bảo vệ). ESSA cũng dùng trong VN21 (β=4,73 học thêm).</w:t>
      </w:r>
    </w:p>
    <w:p>
      <w:pPr>
        <w:pStyle w:val="Heading2"/>
      </w:pPr>
      <w:r>
        <w:rPr>
          <w:rFonts w:ascii="Times New Roman" w:hAnsi="Times New Roman"/>
          <w:color w:val="000000"/>
        </w:rPr>
        <w:t>KẾT LUẬN</w:t>
      </w:r>
    </w:p>
    <w:p>
      <w:r>
        <w:rPr>
          <w:rFonts w:ascii="Times New Roman" w:hAnsi="Times New Roman"/>
          <w:b w:val="0"/>
          <w:i w:val="0"/>
          <w:sz w:val="24"/>
        </w:rPr>
        <w:t>Trầm cảm 12,2% (CES-D &gt;25) ở 919 HS THPT Vĩnh Long. Yếu tố gia đình (nghiện rượu, bạo lực, chế giễu) và trường học (thầy cô la mắng) là nguy cơ chính. Mặc dù tỷ lệ trầm cảm trung bình cả nước, các yếu tố gia đình và trường học ảnh hưởng lớn — cần giải pháp phối hợp nhà trường + gia đình.</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CES-D</w:t>
            </w:r>
          </w:p>
        </w:tc>
        <w:tc>
          <w:tcPr>
            <w:tcW w:type="dxa" w:w="4702"/>
            <w:tcW w:w="7371" w:type="dxa"/>
          </w:tcPr>
          <w:p>
            <w:r>
              <w:rPr>
                <w:rFonts w:ascii="Times New Roman" w:hAnsi="Times New Roman"/>
                <w:sz w:val="20"/>
              </w:rPr>
              <w:t>Center for Epidemiologic Studies Depression Scale — Thang Trầm cảm CES</w:t>
            </w:r>
          </w:p>
        </w:tc>
      </w:tr>
      <w:tr>
        <w:tc>
          <w:tcPr>
            <w:tcW w:type="dxa" w:w="4702"/>
            <w:tcW w:w="1701" w:type="dxa"/>
          </w:tcPr>
          <w:p>
            <w:r>
              <w:rPr>
                <w:rFonts w:ascii="Times New Roman" w:hAnsi="Times New Roman"/>
                <w:sz w:val="20"/>
              </w:rPr>
              <w:t>ESSA</w:t>
            </w:r>
          </w:p>
        </w:tc>
        <w:tc>
          <w:tcPr>
            <w:tcW w:type="dxa" w:w="4702"/>
            <w:tcW w:w="7371" w:type="dxa"/>
          </w:tcPr>
          <w:p>
            <w:r>
              <w:rPr>
                <w:rFonts w:ascii="Times New Roman" w:hAnsi="Times New Roman"/>
                <w:sz w:val="20"/>
              </w:rPr>
              <w:t>Educational Stress Scale for Adolescents</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TC Y học VN có DOI (10.51298/vmj). n=919 khá lớn. Vĩnh Long — Miền Tây ít NC.</w:t>
      </w:r>
    </w:p>
    <w:p>
      <w:r>
        <w:rPr>
          <w:rFonts w:ascii="Times New Roman" w:hAnsi="Times New Roman"/>
          <w:b w:val="0"/>
          <w:color w:val="FF0000"/>
          <w:sz w:val="24"/>
        </w:rPr>
        <w:t>• CES-D + ESSA — kết hợp 2 thang đo. Hồi quy đa biến.</w:t>
      </w:r>
    </w:p>
    <w:p>
      <w:r>
        <w:rPr>
          <w:rFonts w:ascii="Times New Roman" w:hAnsi="Times New Roman"/>
          <w:b w:val="0"/>
          <w:color w:val="FF0000"/>
          <w:sz w:val="24"/>
        </w:rPr>
        <w:t>• Yếu tố gia đình (nghiện rượu, bạo lực) — phù hợp UNICEF VN22 và Ngô Anh Vinh VN15 (ACEs).</w:t>
      </w:r>
    </w:p>
    <w:p>
      <w:r>
        <w:rPr>
          <w:rFonts w:ascii="Times New Roman" w:hAnsi="Times New Roman"/>
          <w:b w:val="0"/>
          <w:color w:val="FF0000"/>
          <w:sz w:val="24"/>
        </w:rPr>
        <w:t>• Yếu tố thầy cô la mắng — phù hợp UNICEF VN22 (HS không thoải mái tìm GV), Ireland QT32 (OGA bảo vệ).</w:t>
      </w:r>
    </w:p>
    <w:p>
      <w:r>
        <w:rPr>
          <w:rFonts w:ascii="Times New Roman" w:hAnsi="Times New Roman"/>
          <w:b/>
          <w:color w:val="FF0000"/>
          <w:sz w:val="24"/>
        </w:rPr>
        <w:t>Hạn chế chi tiết:</w:t>
      </w:r>
    </w:p>
    <w:p>
      <w:r>
        <w:rPr>
          <w:rFonts w:ascii="Times New Roman" w:hAnsi="Times New Roman"/>
          <w:b w:val="0"/>
          <w:color w:val="FF0000"/>
          <w:sz w:val="24"/>
        </w:rPr>
        <w:t>• CES-D đo TRẦM CẢM — KHÔNG đo LO ÂU riêng. Đề tài cần GAD-7 hoặc DASS-21 cho lo âu.</w:t>
      </w:r>
    </w:p>
    <w:p>
      <w:r>
        <w:rPr>
          <w:rFonts w:ascii="Times New Roman" w:hAnsi="Times New Roman"/>
          <w:b w:val="0"/>
          <w:color w:val="FF0000"/>
          <w:sz w:val="24"/>
        </w:rPr>
        <w:t>• Chỉ TP Vĩnh Long — không đại diện toàn tỉnh/quốc.</w:t>
      </w:r>
    </w:p>
    <w:p>
      <w:r>
        <w:rPr>
          <w:rFonts w:ascii="Times New Roman" w:hAnsi="Times New Roman"/>
          <w:b w:val="0"/>
          <w:color w:val="FF0000"/>
          <w:sz w:val="24"/>
        </w:rPr>
        <w:t>• TC Y học VN — không lập chỉ mục PubMed/Scopus. Peer-review VN.</w:t>
      </w:r>
    </w:p>
    <w:p>
      <w:r>
        <w:rPr>
          <w:rFonts w:ascii="Times New Roman" w:hAnsi="Times New Roman"/>
          <w:b w:val="0"/>
          <w:color w:val="FF0000"/>
          <w:sz w:val="24"/>
        </w:rPr>
        <w:t>• Bài KHÔNG nêu OR cụ thể — chỉ p &lt; 0,05. Rất khó so sánh.</w:t>
      </w:r>
    </w:p>
    <w:p>
      <w:r>
        <w:rPr>
          <w:rFonts w:ascii="Times New Roman" w:hAnsi="Times New Roman"/>
          <w:b w:val="0"/>
          <w:color w:val="FF0000"/>
          <w:sz w:val="24"/>
        </w:rPr>
        <w:t>• Không đo: screen time/MXH, giấc ngủ, bắt nạt mạng — yếu tố quan trọng.</w:t>
      </w:r>
    </w:p>
    <w:p>
      <w:r>
        <w:rPr>
          <w:rFonts w:ascii="Times New Roman" w:hAnsi="Times New Roman"/>
          <w:b w:val="0"/>
          <w:color w:val="FF0000"/>
          <w:sz w:val="24"/>
        </w:rPr>
        <w:t>• CES-D ngưỡng &gt;25 (60 điểm) — khác DASS-21 ngưỡng. Không so sánh trực tiếp được.</w:t>
      </w:r>
    </w:p>
    <w:p>
      <w:r>
        <w:rPr>
          <w:rFonts w:ascii="Times New Roman" w:hAnsi="Times New Roman"/>
          <w:b/>
          <w:color w:val="FF0000"/>
          <w:sz w:val="24"/>
        </w:rPr>
        <w:t>Khoảng trống NC / Gap:</w:t>
      </w:r>
    </w:p>
    <w:p>
      <w:r>
        <w:rPr>
          <w:rFonts w:ascii="Times New Roman" w:hAnsi="Times New Roman"/>
          <w:b w:val="0"/>
          <w:color w:val="FF0000"/>
          <w:sz w:val="24"/>
        </w:rPr>
        <w:t>• Cần NC lo âu riêng (GAD-7/DASS-21) tại Miền Tây — chưa có.</w:t>
      </w:r>
    </w:p>
    <w:p>
      <w:r>
        <w:rPr>
          <w:rFonts w:ascii="Times New Roman" w:hAnsi="Times New Roman"/>
          <w:b w:val="0"/>
          <w:color w:val="FF0000"/>
          <w:sz w:val="24"/>
        </w:rPr>
        <w:t>• So sánh CES-D vs DASS-21 vs GAD-7 trên cùng mẫu HS Miền Tây.</w:t>
      </w:r>
    </w:p>
    <w:p>
      <w:r>
        <w:rPr>
          <w:rFonts w:ascii="Times New Roman" w:hAnsi="Times New Roman"/>
          <w:b w:val="0"/>
          <w:color w:val="FF0000"/>
          <w:sz w:val="24"/>
        </w:rPr>
        <w:t>• Thêm biến MXH, giấc ngủ, bắt nạt mạng vào mô hình.</w:t>
      </w:r>
    </w:p>
    <w:p>
      <w:r>
        <w:rPr>
          <w:rFonts w:ascii="Times New Roman" w:hAnsi="Times New Roman"/>
          <w:b w:val="0"/>
          <w:color w:val="FF0000"/>
          <w:sz w:val="24"/>
        </w:rPr>
        <w:t>• Mở rộng: các tỉnh Miền Tây khác (Cần Thơ, Đồng Tháp — UNICEF VN22 có Đồng Tháp).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