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rFonts w:ascii="Times New Roman" w:hAnsi="Times New Roman"/>
          <w:b w:val="0"/>
          <w:i w:val="0"/>
          <w:sz w:val="20"/>
        </w:rPr>
        <w:t>Link bài báo gốc: TCNCYH 187 (02) - 2025, Tạp chí Nghiên cứu Y học, tr. 296-303</w:t>
      </w:r>
    </w:p>
    <w:p>
      <w:pPr>
        <w:pStyle w:val="Heading1"/>
      </w:pPr>
      <w:r>
        <w:rPr>
          <w:rFonts w:ascii="Times New Roman" w:hAnsi="Times New Roman"/>
          <w:color w:val="000000"/>
        </w:rPr>
        <w:t>Thực trạng tâm lý của sinh viên năm thứ tư Trường Đại học Y Hà Nội năm học 2023-2024</w:t>
      </w:r>
    </w:p>
    <w:p>
      <w:pPr>
        <w:pStyle w:val="Heading2"/>
      </w:pPr>
      <w:r>
        <w:rPr>
          <w:rFonts w:ascii="Times New Roman" w:hAnsi="Times New Roman"/>
          <w:color w:val="000000"/>
        </w:rPr>
        <w:t>THÔNG TIN THƯ MỤC</w:t>
      </w:r>
    </w:p>
    <w:tbl>
      <w:tblPr>
        <w:tblStyle w:val="TableGrid"/>
        <w:tblW w:type="auto" w:w="0"/>
        <w:jc w:val="center"/>
        <w:tblLook w:firstColumn="1" w:firstRow="1" w:lastColumn="0" w:lastRow="0" w:noHBand="0" w:noVBand="1" w:val="04A0"/>
        <w:tblLayout w:type="fixed"/>
      </w:tblPr>
      <w:tblGrid>
        <w:gridCol w:w="1984"/>
        <w:gridCol w:w="6804"/>
      </w:tblGrid>
      <w:tr>
        <w:tc>
          <w:tcPr>
            <w:tcW w:w="1984" w:type="dxa"/>
            <w:shd w:fill="D9E2F3" w:val="clear"/>
          </w:tcPr>
          <w:p>
            <w:pPr>
              <w:jc w:val="center"/>
            </w:pPr>
            <w:r>
              <w:rPr>
                <w:rFonts w:ascii="Times New Roman" w:hAnsi="Times New Roman"/>
                <w:b/>
                <w:sz w:val="20"/>
              </w:rPr>
              <w:t>Mục</w:t>
            </w:r>
          </w:p>
        </w:tc>
        <w:tc>
          <w:tcPr>
            <w:tcW w:w="6804" w:type="dxa"/>
            <w:shd w:fill="D9E2F3" w:val="clear"/>
          </w:tcPr>
          <w:p>
            <w:pPr>
              <w:jc w:val="center"/>
            </w:pPr>
            <w:r>
              <w:rPr>
                <w:rFonts w:ascii="Times New Roman" w:hAnsi="Times New Roman"/>
                <w:b/>
                <w:sz w:val="20"/>
              </w:rPr>
              <w:t>Chi tiết</w:t>
            </w:r>
          </w:p>
        </w:tc>
      </w:tr>
      <w:tr>
        <w:tc>
          <w:tcPr>
            <w:tcW w:w="1984" w:type="dxa"/>
          </w:tcPr>
          <w:p>
            <w:r>
              <w:rPr>
                <w:rFonts w:ascii="Times New Roman" w:hAnsi="Times New Roman"/>
                <w:sz w:val="20"/>
              </w:rPr>
              <w:t>Tác giả</w:t>
            </w:r>
          </w:p>
        </w:tc>
        <w:tc>
          <w:tcPr>
            <w:tcW w:w="6804" w:type="dxa"/>
          </w:tcPr>
          <w:p>
            <w:r>
              <w:rPr>
                <w:rFonts w:ascii="Times New Roman" w:hAnsi="Times New Roman"/>
                <w:sz w:val="20"/>
              </w:rPr>
              <w:t>Đào Thị Ngoãn, Phạm Tùng Sơn, Trần Thị Ngọc Trang, Nguyễn Thị Nguyệt, Võ Trung Hiếu, Phó Tuấn Vinh, Trần Hồng Thái, Hoàng Bảo An, Trần Phạm Mạnh, Phan Thị Minh Ngọc</w:t>
            </w:r>
          </w:p>
        </w:tc>
      </w:tr>
      <w:tr>
        <w:tc>
          <w:tcPr>
            <w:tcW w:w="1984" w:type="dxa"/>
          </w:tcPr>
          <w:p>
            <w:r>
              <w:rPr>
                <w:rFonts w:ascii="Times New Roman" w:hAnsi="Times New Roman"/>
                <w:sz w:val="20"/>
              </w:rPr>
              <w:t>Đơn vị</w:t>
            </w:r>
          </w:p>
        </w:tc>
        <w:tc>
          <w:tcPr>
            <w:tcW w:w="6804" w:type="dxa"/>
          </w:tcPr>
          <w:p>
            <w:r>
              <w:rPr>
                <w:rFonts w:ascii="Times New Roman" w:hAnsi="Times New Roman"/>
                <w:sz w:val="20"/>
              </w:rPr>
              <w:t>Trường Đại học Y Hà Nội</w:t>
            </w:r>
          </w:p>
        </w:tc>
      </w:tr>
      <w:tr>
        <w:tc>
          <w:tcPr>
            <w:tcW w:w="1984" w:type="dxa"/>
          </w:tcPr>
          <w:p>
            <w:r>
              <w:rPr>
                <w:rFonts w:ascii="Times New Roman" w:hAnsi="Times New Roman"/>
                <w:sz w:val="20"/>
              </w:rPr>
              <w:t>Tạp chí</w:t>
            </w:r>
          </w:p>
        </w:tc>
        <w:tc>
          <w:tcPr>
            <w:tcW w:w="6804" w:type="dxa"/>
          </w:tcPr>
          <w:p>
            <w:r>
              <w:rPr>
                <w:rFonts w:ascii="Times New Roman" w:hAnsi="Times New Roman"/>
                <w:sz w:val="20"/>
              </w:rPr>
              <w:t>Tạp chí Nghiên cứu Y học (TCNCYH), tập 187, số 02-2025</w:t>
            </w:r>
          </w:p>
        </w:tc>
      </w:tr>
      <w:tr>
        <w:tc>
          <w:tcPr>
            <w:tcW w:w="1984" w:type="dxa"/>
          </w:tcPr>
          <w:p>
            <w:r>
              <w:rPr>
                <w:rFonts w:ascii="Times New Roman" w:hAnsi="Times New Roman"/>
                <w:sz w:val="20"/>
              </w:rPr>
              <w:t>Trang</w:t>
            </w:r>
          </w:p>
        </w:tc>
        <w:tc>
          <w:tcPr>
            <w:tcW w:w="6804" w:type="dxa"/>
          </w:tcPr>
          <w:p>
            <w:r>
              <w:rPr>
                <w:rFonts w:ascii="Times New Roman" w:hAnsi="Times New Roman"/>
                <w:sz w:val="20"/>
              </w:rPr>
              <w:t>296–303</w:t>
            </w:r>
          </w:p>
        </w:tc>
      </w:tr>
      <w:tr>
        <w:tc>
          <w:tcPr>
            <w:tcW w:w="1984" w:type="dxa"/>
          </w:tcPr>
          <w:p>
            <w:r>
              <w:rPr>
                <w:rFonts w:ascii="Times New Roman" w:hAnsi="Times New Roman"/>
                <w:sz w:val="20"/>
              </w:rPr>
              <w:t>Tác giả liên hệ</w:t>
            </w:r>
          </w:p>
        </w:tc>
        <w:tc>
          <w:tcPr>
            <w:tcW w:w="6804" w:type="dxa"/>
          </w:tcPr>
          <w:p>
            <w:r>
              <w:rPr>
                <w:rFonts w:ascii="Times New Roman" w:hAnsi="Times New Roman"/>
                <w:sz w:val="20"/>
              </w:rPr>
              <w:t>Đào Thị Ngoãn — daothingoan@hmu.edu.vn</w:t>
            </w:r>
          </w:p>
        </w:tc>
      </w:tr>
      <w:tr>
        <w:tc>
          <w:tcPr>
            <w:tcW w:w="1984" w:type="dxa"/>
          </w:tcPr>
          <w:p>
            <w:r>
              <w:rPr>
                <w:rFonts w:ascii="Times New Roman" w:hAnsi="Times New Roman"/>
                <w:sz w:val="20"/>
              </w:rPr>
              <w:t>Ngày nhận</w:t>
            </w:r>
          </w:p>
        </w:tc>
        <w:tc>
          <w:tcPr>
            <w:tcW w:w="6804" w:type="dxa"/>
          </w:tcPr>
          <w:p>
            <w:r>
              <w:rPr>
                <w:rFonts w:ascii="Times New Roman" w:hAnsi="Times New Roman"/>
                <w:sz w:val="20"/>
              </w:rPr>
              <w:t>19/11/2024</w:t>
            </w:r>
          </w:p>
        </w:tc>
      </w:tr>
      <w:tr>
        <w:tc>
          <w:tcPr>
            <w:tcW w:w="1984" w:type="dxa"/>
          </w:tcPr>
          <w:p>
            <w:r>
              <w:rPr>
                <w:rFonts w:ascii="Times New Roman" w:hAnsi="Times New Roman"/>
                <w:sz w:val="20"/>
              </w:rPr>
              <w:t>Ngày chấp nhận</w:t>
            </w:r>
          </w:p>
        </w:tc>
        <w:tc>
          <w:tcPr>
            <w:tcW w:w="6804" w:type="dxa"/>
          </w:tcPr>
          <w:p>
            <w:r>
              <w:rPr>
                <w:rFonts w:ascii="Times New Roman" w:hAnsi="Times New Roman"/>
                <w:sz w:val="20"/>
              </w:rPr>
              <w:t>24/12/2024</w:t>
            </w:r>
          </w:p>
        </w:tc>
      </w:tr>
      <w:tr>
        <w:tc>
          <w:tcPr>
            <w:tcW w:w="1984" w:type="dxa"/>
          </w:tcPr>
          <w:p>
            <w:r>
              <w:rPr>
                <w:rFonts w:ascii="Times New Roman" w:hAnsi="Times New Roman"/>
                <w:sz w:val="20"/>
              </w:rPr>
              <w:t>Loại NC</w:t>
            </w:r>
          </w:p>
        </w:tc>
        <w:tc>
          <w:tcPr>
            <w:tcW w:w="6804" w:type="dxa"/>
          </w:tcPr>
          <w:p>
            <w:r>
              <w:rPr>
                <w:rFonts w:ascii="Times New Roman" w:hAnsi="Times New Roman"/>
                <w:sz w:val="20"/>
              </w:rPr>
              <w:t>Mô tả cắt ngang</w:t>
            </w:r>
          </w:p>
        </w:tc>
      </w:tr>
      <w:tr>
        <w:tc>
          <w:tcPr>
            <w:tcW w:w="1984" w:type="dxa"/>
          </w:tcPr>
          <w:p>
            <w:r>
              <w:rPr>
                <w:rFonts w:ascii="Times New Roman" w:hAnsi="Times New Roman"/>
                <w:sz w:val="20"/>
              </w:rPr>
              <w:t>Mẫu</w:t>
            </w:r>
          </w:p>
        </w:tc>
        <w:tc>
          <w:tcPr>
            <w:tcW w:w="6804" w:type="dxa"/>
          </w:tcPr>
          <w:p>
            <w:r>
              <w:rPr>
                <w:rFonts w:ascii="Times New Roman" w:hAnsi="Times New Roman"/>
                <w:sz w:val="20"/>
              </w:rPr>
              <w:t>196 sinh viên năm thứ 4 Trường ĐH Y Hà Nội (126 ngành bác sĩ + 70 cử nhân)</w:t>
            </w:r>
          </w:p>
        </w:tc>
      </w:tr>
      <w:tr>
        <w:tc>
          <w:tcPr>
            <w:tcW w:w="1984" w:type="dxa"/>
          </w:tcPr>
          <w:p>
            <w:r>
              <w:rPr>
                <w:rFonts w:ascii="Times New Roman" w:hAnsi="Times New Roman"/>
                <w:sz w:val="20"/>
              </w:rPr>
              <w:t>Công cụ</w:t>
            </w:r>
          </w:p>
        </w:tc>
        <w:tc>
          <w:tcPr>
            <w:tcW w:w="6804" w:type="dxa"/>
          </w:tcPr>
          <w:p>
            <w:r>
              <w:rPr>
                <w:rFonts w:ascii="Times New Roman" w:hAnsi="Times New Roman"/>
                <w:sz w:val="20"/>
              </w:rPr>
              <w:t>DASS-21 + Bộ câu hỏi nhu cầu tham vấn tâm lý (Viện ĐTYHDP&amp;YTCC, ĐH Y Hà Nội)</w:t>
            </w:r>
          </w:p>
        </w:tc>
      </w:tr>
      <w:tr>
        <w:tc>
          <w:tcPr>
            <w:tcW w:w="1984" w:type="dxa"/>
          </w:tcPr>
          <w:p>
            <w:r>
              <w:rPr>
                <w:rFonts w:ascii="Times New Roman" w:hAnsi="Times New Roman"/>
                <w:sz w:val="20"/>
              </w:rPr>
              <w:t>Thời gian</w:t>
            </w:r>
          </w:p>
        </w:tc>
        <w:tc>
          <w:tcPr>
            <w:tcW w:w="6804" w:type="dxa"/>
          </w:tcPr>
          <w:p>
            <w:r>
              <w:rPr>
                <w:rFonts w:ascii="Times New Roman" w:hAnsi="Times New Roman"/>
                <w:sz w:val="20"/>
              </w:rPr>
              <w:t>01/2024 – 12/2024</w:t>
            </w:r>
          </w:p>
        </w:tc>
      </w:tr>
    </w:tbl>
    <w:p>
      <w:pPr>
        <w:pStyle w:val="Heading2"/>
      </w:pPr>
      <w:r>
        <w:rPr>
          <w:rFonts w:ascii="Times New Roman" w:hAnsi="Times New Roman"/>
          <w:color w:val="000000"/>
        </w:rPr>
        <w:t>TÓM TẮT</w:t>
      </w:r>
    </w:p>
    <w:p>
      <w:pPr>
        <w:jc w:val="both"/>
      </w:pPr>
      <w:r>
        <w:rPr>
          <w:rFonts w:ascii="Times New Roman" w:hAnsi="Times New Roman"/>
          <w:b w:val="0"/>
          <w:i w:val="0"/>
          <w:sz w:val="24"/>
        </w:rPr>
        <w:t>Sinh viên ngành y có nhiều áp lực do đặc thù về thời gian đào tạo kéo dài, khối lượng kiến thức lớn. Tại Trường Đại học Y Hà Nội, năm thứ 4 là thời điểm sinh viên bắt đầu học thực hành lâm sàng tại bệnh viện, phải đối mặt với nhiều mối quan hệ xã hội, gặp nhiều khó khăn hơn trong việc sắp xếp thời gian học tập và nghỉ ngơi, từ đó có thể phát sinh nhiều hơn các vấn đề về tâm lý. Nghiên cứu thực hiện với 2 mục tiêu: (1) Mô tả kết quả trắc nghiệm tâm lý DASS-21; (2) Đánh giá mối liên quan giữa kết quả DASS-21 với một số yếu tố. 196 sinh viên năm thứ 4 tất cả các ngành được lựa chọn ngẫu nhiên, được hướng dẫn trả lời bộ câu hỏi về một số vấn đề trong cuộc sống, học tập; thực hiện thang đánh giá tâm lý DASS-21. Kết quả DASS-21 cho thấy có 33,67 % sinh viên bị trầm cảm, 43,88 % bị lo âu và 31,63 % bị căng thẳng. 57,65 % sinh viên được khảo sát có mắc ít nhất 1 trong 3 rối loạn sức khoẻ tâm thần. 11,73 % sinh viên mắc ít nhất 1 rối loạn từ mức nghiêm trọng trở lên. Có một số mối liên quan giữa kết quả DASS-21 và các vấn đề gặp phải trong đời sống và học tập như điểm tích luỹ, tài chính, giấc ngủ, ngành học, sự hài lòng về học tập và các mối quan hệ xã hội.</w:t>
      </w:r>
    </w:p>
    <w:p>
      <w:pPr>
        <w:pStyle w:val="Heading2"/>
      </w:pPr>
      <w:r>
        <w:rPr>
          <w:rFonts w:ascii="Times New Roman" w:hAnsi="Times New Roman"/>
          <w:color w:val="000000"/>
        </w:rPr>
        <w:t>PHƯƠNG PHÁP</w:t>
      </w:r>
    </w:p>
    <w:p>
      <w:pPr>
        <w:jc w:val="both"/>
      </w:pPr>
      <w:r>
        <w:rPr>
          <w:rFonts w:ascii="Times New Roman" w:hAnsi="Times New Roman"/>
          <w:b w:val="0"/>
          <w:i w:val="0"/>
          <w:sz w:val="24"/>
        </w:rPr>
        <w:t>Thiết kế: Mô tả cắt ngang. Cỡ mẫu tính theo công thức cho một tỷ lệ quần thể với p = 0,85 (tỷ lệ tham khảo từ NC trước về sinh viên Y mắc rối loạn tâm thần), d = 0,05, α = 0,05 → n_min = 195. Thực tế khảo sát: 196 sinh viên (cao hơn yêu cầu).</w:t>
      </w:r>
    </w:p>
    <w:p>
      <w:pPr>
        <w:jc w:val="both"/>
      </w:pPr>
      <w:r>
        <w:rPr>
          <w:rFonts w:ascii="Times New Roman" w:hAnsi="Times New Roman"/>
          <w:b w:val="0"/>
          <w:i w:val="0"/>
          <w:sz w:val="24"/>
        </w:rPr>
        <w:t>Cách chọn mẫu: Chọn mẫu ngẫu nhiên đơn theo danh sách sinh viên năm 4 các ngành học (4 ngành hệ bác sĩ + 6 ngành hệ cử nhân) — danh sách quản lý bởi Phòng CTHVSV&amp;QLKTX. Dùng lệnh RAND của Excel sinh giá trị ngẫu nhiên cho từng sinh viên, sắp xếp tăng dần và lấy từ trên xuống. Số mẫu mỗi ngành xác định theo tương quan giữa số sinh viên ngành đó trên tổng 901 sinh viên toàn khối với cỡ mẫu mục tiêu 195.</w:t>
      </w:r>
    </w:p>
    <w:p>
      <w:pPr>
        <w:jc w:val="both"/>
      </w:pPr>
      <w:r>
        <w:rPr>
          <w:rFonts w:ascii="Times New Roman" w:hAnsi="Times New Roman"/>
          <w:b w:val="0"/>
          <w:i w:val="0"/>
          <w:sz w:val="24"/>
        </w:rPr>
        <w:t>Công cụ: (1) Bộ câu hỏi nhu cầu tham vấn tâm lý do Viện ĐTYHDP&amp;YTCC, ĐH Y Hà Nội phát triển năm 2019, gồm thông tin chung (ngành học, giới, BMI, nơi ở, đối tượng sống cùng, kết quả học tập tích luỹ) và thực trạng khó khăn ở các khía cạnh học tập, sinh hoạt, tài chính, mối quan hệ xã hội. (2) Bộ DASS-21 đã chuẩn hoá bằng tiếng Việt bởi Viện Sức khoẻ Tâm thần, Bệnh viện Bạch Mai.</w:t>
      </w:r>
    </w:p>
    <w:p>
      <w:pPr>
        <w:jc w:val="both"/>
      </w:pPr>
      <w:r>
        <w:rPr>
          <w:rFonts w:ascii="Times New Roman" w:hAnsi="Times New Roman"/>
          <w:b w:val="0"/>
          <w:i w:val="0"/>
          <w:sz w:val="24"/>
        </w:rPr>
        <w:t>Quy trình: Sinh viên ký cam kết tự nguyện, trả lời tự điền tại phòng LAB Bộ môn Sinh lý học (tầng 1 nhà B1, ĐH Y Hà Nội). Nhập liệu Excel, phân tích STATA 15.0. Thống kê mô tả (tỷ lệ %), phân tích χ²/Fisher để so sánh khác biệt giữa các tỷ lệ, ngưỡng p &lt; 0,05. Với liên quan có ý nghĩa thống kê, tính tỷ suất chênh OR.</w:t>
      </w:r>
    </w:p>
    <w:p>
      <w:pPr>
        <w:pStyle w:val="Heading2"/>
      </w:pPr>
      <w:r>
        <w:rPr>
          <w:rFonts w:ascii="Times New Roman" w:hAnsi="Times New Roman"/>
          <w:color w:val="000000"/>
        </w:rPr>
        <w:t>KẾT QUẢ</w:t>
      </w:r>
    </w:p>
    <w:p>
      <w:pPr>
        <w:pStyle w:val="Heading3"/>
      </w:pPr>
      <w:r>
        <w:rPr>
          <w:rFonts w:ascii="Times New Roman" w:hAnsi="Times New Roman"/>
          <w:color w:val="000000"/>
        </w:rPr>
        <w:t>Bảng 1. Phân loại DASS-21 theo mức độ (n = 196)</w:t>
      </w:r>
    </w:p>
    <w:tbl>
      <w:tblPr>
        <w:tblStyle w:val="TableGrid"/>
        <w:tblW w:type="auto" w:w="0"/>
        <w:jc w:val="center"/>
        <w:tblLook w:firstColumn="1" w:firstRow="1" w:lastColumn="0" w:lastRow="0" w:noHBand="0" w:noVBand="1" w:val="04A0"/>
        <w:tblLayout w:type="fixed"/>
      </w:tblPr>
      <w:tblGrid>
        <w:gridCol w:w="2835"/>
        <w:gridCol w:w="1984"/>
        <w:gridCol w:w="1984"/>
        <w:gridCol w:w="1984"/>
      </w:tblGrid>
      <w:tr>
        <w:tc>
          <w:tcPr>
            <w:tcW w:w="2835" w:type="dxa"/>
            <w:shd w:fill="D9E2F3" w:val="clear"/>
          </w:tcPr>
          <w:p>
            <w:pPr>
              <w:jc w:val="center"/>
            </w:pPr>
            <w:r>
              <w:rPr>
                <w:rFonts w:ascii="Times New Roman" w:hAnsi="Times New Roman"/>
                <w:b/>
                <w:sz w:val="20"/>
              </w:rPr>
              <w:t>Mức độ</w:t>
            </w:r>
          </w:p>
        </w:tc>
        <w:tc>
          <w:tcPr>
            <w:tcW w:w="1984" w:type="dxa"/>
            <w:shd w:fill="D9E2F3" w:val="clear"/>
          </w:tcPr>
          <w:p>
            <w:pPr>
              <w:jc w:val="center"/>
            </w:pPr>
            <w:r>
              <w:rPr>
                <w:rFonts w:ascii="Times New Roman" w:hAnsi="Times New Roman"/>
                <w:b/>
                <w:sz w:val="20"/>
              </w:rPr>
              <w:t>Trầm cảm n (%)</w:t>
            </w:r>
          </w:p>
        </w:tc>
        <w:tc>
          <w:tcPr>
            <w:tcW w:w="1984" w:type="dxa"/>
            <w:shd w:fill="D9E2F3" w:val="clear"/>
          </w:tcPr>
          <w:p>
            <w:pPr>
              <w:jc w:val="center"/>
            </w:pPr>
            <w:r>
              <w:rPr>
                <w:rFonts w:ascii="Times New Roman" w:hAnsi="Times New Roman"/>
                <w:b/>
                <w:sz w:val="20"/>
              </w:rPr>
              <w:t>Lo âu n (%)</w:t>
            </w:r>
          </w:p>
        </w:tc>
        <w:tc>
          <w:tcPr>
            <w:tcW w:w="1984" w:type="dxa"/>
            <w:shd w:fill="D9E2F3" w:val="clear"/>
          </w:tcPr>
          <w:p>
            <w:pPr>
              <w:jc w:val="center"/>
            </w:pPr>
            <w:r>
              <w:rPr>
                <w:rFonts w:ascii="Times New Roman" w:hAnsi="Times New Roman"/>
                <w:b/>
                <w:sz w:val="20"/>
              </w:rPr>
              <w:t>Căng thẳng n (%)</w:t>
            </w:r>
          </w:p>
        </w:tc>
      </w:tr>
      <w:tr>
        <w:tc>
          <w:tcPr>
            <w:tcW w:w="2835" w:type="dxa"/>
          </w:tcPr>
          <w:p>
            <w:r>
              <w:rPr>
                <w:rFonts w:ascii="Times New Roman" w:hAnsi="Times New Roman"/>
                <w:sz w:val="20"/>
              </w:rPr>
              <w:t>Bình thường</w:t>
            </w:r>
          </w:p>
        </w:tc>
        <w:tc>
          <w:tcPr>
            <w:tcW w:w="1984" w:type="dxa"/>
          </w:tcPr>
          <w:p>
            <w:r>
              <w:rPr>
                <w:rFonts w:ascii="Times New Roman" w:hAnsi="Times New Roman"/>
                <w:sz w:val="20"/>
              </w:rPr>
              <w:t>130 (66,33 %)</w:t>
            </w:r>
          </w:p>
        </w:tc>
        <w:tc>
          <w:tcPr>
            <w:tcW w:w="1984" w:type="dxa"/>
          </w:tcPr>
          <w:p>
            <w:r>
              <w:rPr>
                <w:rFonts w:ascii="Times New Roman" w:hAnsi="Times New Roman"/>
                <w:sz w:val="20"/>
              </w:rPr>
              <w:t>110 (56,12 %)</w:t>
            </w:r>
          </w:p>
        </w:tc>
        <w:tc>
          <w:tcPr>
            <w:tcW w:w="1984" w:type="dxa"/>
          </w:tcPr>
          <w:p>
            <w:r>
              <w:rPr>
                <w:rFonts w:ascii="Times New Roman" w:hAnsi="Times New Roman"/>
                <w:sz w:val="20"/>
              </w:rPr>
              <w:t>134 (68,37 %)</w:t>
            </w:r>
          </w:p>
        </w:tc>
      </w:tr>
      <w:tr>
        <w:tc>
          <w:tcPr>
            <w:tcW w:w="2835" w:type="dxa"/>
          </w:tcPr>
          <w:p>
            <w:r>
              <w:rPr>
                <w:rFonts w:ascii="Times New Roman" w:hAnsi="Times New Roman"/>
                <w:sz w:val="20"/>
              </w:rPr>
              <w:t>Nhẹ</w:t>
            </w:r>
          </w:p>
        </w:tc>
        <w:tc>
          <w:tcPr>
            <w:tcW w:w="1984" w:type="dxa"/>
          </w:tcPr>
          <w:p>
            <w:r>
              <w:rPr>
                <w:rFonts w:ascii="Times New Roman" w:hAnsi="Times New Roman"/>
                <w:sz w:val="20"/>
              </w:rPr>
              <w:t>35 (17,86 %)</w:t>
            </w:r>
          </w:p>
        </w:tc>
        <w:tc>
          <w:tcPr>
            <w:tcW w:w="1984" w:type="dxa"/>
          </w:tcPr>
          <w:p>
            <w:r>
              <w:rPr>
                <w:rFonts w:ascii="Times New Roman" w:hAnsi="Times New Roman"/>
                <w:sz w:val="20"/>
              </w:rPr>
              <w:t>31 (15,82 %)</w:t>
            </w:r>
          </w:p>
        </w:tc>
        <w:tc>
          <w:tcPr>
            <w:tcW w:w="1984" w:type="dxa"/>
          </w:tcPr>
          <w:p>
            <w:r>
              <w:rPr>
                <w:rFonts w:ascii="Times New Roman" w:hAnsi="Times New Roman"/>
                <w:sz w:val="20"/>
              </w:rPr>
              <w:t>28 (14,29 %)</w:t>
            </w:r>
          </w:p>
        </w:tc>
      </w:tr>
      <w:tr>
        <w:tc>
          <w:tcPr>
            <w:tcW w:w="2835" w:type="dxa"/>
          </w:tcPr>
          <w:p>
            <w:r>
              <w:rPr>
                <w:rFonts w:ascii="Times New Roman" w:hAnsi="Times New Roman"/>
                <w:sz w:val="20"/>
              </w:rPr>
              <w:t>Trung bình</w:t>
            </w:r>
          </w:p>
        </w:tc>
        <w:tc>
          <w:tcPr>
            <w:tcW w:w="1984" w:type="dxa"/>
          </w:tcPr>
          <w:p>
            <w:r>
              <w:rPr>
                <w:rFonts w:ascii="Times New Roman" w:hAnsi="Times New Roman"/>
                <w:sz w:val="20"/>
              </w:rPr>
              <w:t>22 (11,22 %)</w:t>
            </w:r>
          </w:p>
        </w:tc>
        <w:tc>
          <w:tcPr>
            <w:tcW w:w="1984" w:type="dxa"/>
          </w:tcPr>
          <w:p>
            <w:r>
              <w:rPr>
                <w:rFonts w:ascii="Times New Roman" w:hAnsi="Times New Roman"/>
                <w:sz w:val="20"/>
              </w:rPr>
              <w:t>39 (19,90 %)</w:t>
            </w:r>
          </w:p>
        </w:tc>
        <w:tc>
          <w:tcPr>
            <w:tcW w:w="1984" w:type="dxa"/>
          </w:tcPr>
          <w:p>
            <w:r>
              <w:rPr>
                <w:rFonts w:ascii="Times New Roman" w:hAnsi="Times New Roman"/>
                <w:sz w:val="20"/>
              </w:rPr>
              <w:t>25 (12,76 %)</w:t>
            </w:r>
          </w:p>
        </w:tc>
      </w:tr>
      <w:tr>
        <w:tc>
          <w:tcPr>
            <w:tcW w:w="2835" w:type="dxa"/>
          </w:tcPr>
          <w:p>
            <w:r>
              <w:rPr>
                <w:rFonts w:ascii="Times New Roman" w:hAnsi="Times New Roman"/>
                <w:sz w:val="20"/>
              </w:rPr>
              <w:t>Nghiêm trọng</w:t>
            </w:r>
          </w:p>
        </w:tc>
        <w:tc>
          <w:tcPr>
            <w:tcW w:w="1984" w:type="dxa"/>
          </w:tcPr>
          <w:p>
            <w:r>
              <w:rPr>
                <w:rFonts w:ascii="Times New Roman" w:hAnsi="Times New Roman"/>
                <w:sz w:val="20"/>
              </w:rPr>
              <w:t>7 (3,57 %)</w:t>
            </w:r>
          </w:p>
        </w:tc>
        <w:tc>
          <w:tcPr>
            <w:tcW w:w="1984" w:type="dxa"/>
          </w:tcPr>
          <w:p>
            <w:r>
              <w:rPr>
                <w:rFonts w:ascii="Times New Roman" w:hAnsi="Times New Roman"/>
                <w:sz w:val="20"/>
              </w:rPr>
              <w:t>9 (4,59 %)</w:t>
            </w:r>
          </w:p>
        </w:tc>
        <w:tc>
          <w:tcPr>
            <w:tcW w:w="1984" w:type="dxa"/>
          </w:tcPr>
          <w:p>
            <w:r>
              <w:rPr>
                <w:rFonts w:ascii="Times New Roman" w:hAnsi="Times New Roman"/>
                <w:sz w:val="20"/>
              </w:rPr>
              <w:t>6 (3,06 %)</w:t>
            </w:r>
          </w:p>
        </w:tc>
      </w:tr>
      <w:tr>
        <w:tc>
          <w:tcPr>
            <w:tcW w:w="2835" w:type="dxa"/>
          </w:tcPr>
          <w:p>
            <w:r>
              <w:rPr>
                <w:rFonts w:ascii="Times New Roman" w:hAnsi="Times New Roman"/>
                <w:sz w:val="20"/>
              </w:rPr>
              <w:t>Rất nghiêm trọng</w:t>
            </w:r>
          </w:p>
        </w:tc>
        <w:tc>
          <w:tcPr>
            <w:tcW w:w="1984" w:type="dxa"/>
          </w:tcPr>
          <w:p>
            <w:r>
              <w:rPr>
                <w:rFonts w:ascii="Times New Roman" w:hAnsi="Times New Roman"/>
                <w:sz w:val="20"/>
              </w:rPr>
              <w:t>2 (1,02 %)</w:t>
            </w:r>
          </w:p>
        </w:tc>
        <w:tc>
          <w:tcPr>
            <w:tcW w:w="1984" w:type="dxa"/>
          </w:tcPr>
          <w:p>
            <w:r>
              <w:rPr>
                <w:rFonts w:ascii="Times New Roman" w:hAnsi="Times New Roman"/>
                <w:sz w:val="20"/>
              </w:rPr>
              <w:t>7 (3,57 %)</w:t>
            </w:r>
          </w:p>
        </w:tc>
        <w:tc>
          <w:tcPr>
            <w:tcW w:w="1984" w:type="dxa"/>
          </w:tcPr>
          <w:p>
            <w:r>
              <w:rPr>
                <w:rFonts w:ascii="Times New Roman" w:hAnsi="Times New Roman"/>
                <w:sz w:val="20"/>
              </w:rPr>
              <w:t>3 (1,53 %)</w:t>
            </w:r>
          </w:p>
        </w:tc>
      </w:tr>
      <w:tr>
        <w:tc>
          <w:tcPr>
            <w:tcW w:w="2835" w:type="dxa"/>
          </w:tcPr>
          <w:p>
            <w:r>
              <w:rPr>
                <w:rFonts w:ascii="Times New Roman" w:hAnsi="Times New Roman"/>
                <w:sz w:val="20"/>
              </w:rPr>
              <w:t>Có rối loạn (≥ nhẹ)</w:t>
            </w:r>
          </w:p>
        </w:tc>
        <w:tc>
          <w:tcPr>
            <w:tcW w:w="1984" w:type="dxa"/>
          </w:tcPr>
          <w:p>
            <w:r>
              <w:rPr>
                <w:rFonts w:ascii="Times New Roman" w:hAnsi="Times New Roman"/>
                <w:sz w:val="20"/>
              </w:rPr>
              <w:t>66 (33,67 %)</w:t>
            </w:r>
          </w:p>
        </w:tc>
        <w:tc>
          <w:tcPr>
            <w:tcW w:w="1984" w:type="dxa"/>
          </w:tcPr>
          <w:p>
            <w:r>
              <w:rPr>
                <w:rFonts w:ascii="Times New Roman" w:hAnsi="Times New Roman"/>
                <w:sz w:val="20"/>
              </w:rPr>
              <w:t>86 (43,88 %)</w:t>
            </w:r>
          </w:p>
        </w:tc>
        <w:tc>
          <w:tcPr>
            <w:tcW w:w="1984" w:type="dxa"/>
          </w:tcPr>
          <w:p>
            <w:r>
              <w:rPr>
                <w:rFonts w:ascii="Times New Roman" w:hAnsi="Times New Roman"/>
                <w:sz w:val="20"/>
              </w:rPr>
              <w:t>62 (31,63 %)</w:t>
            </w:r>
          </w:p>
        </w:tc>
      </w:tr>
      <w:tr>
        <w:tc>
          <w:tcPr>
            <w:tcW w:w="2835" w:type="dxa"/>
          </w:tcPr>
          <w:p>
            <w:r>
              <w:rPr>
                <w:rFonts w:ascii="Times New Roman" w:hAnsi="Times New Roman"/>
                <w:sz w:val="20"/>
              </w:rPr>
              <w:t>Từ trung bình trở lên</w:t>
            </w:r>
          </w:p>
        </w:tc>
        <w:tc>
          <w:tcPr>
            <w:tcW w:w="1984" w:type="dxa"/>
          </w:tcPr>
          <w:p>
            <w:r>
              <w:rPr>
                <w:rFonts w:ascii="Times New Roman" w:hAnsi="Times New Roman"/>
                <w:sz w:val="20"/>
              </w:rPr>
              <w:t>15,81 %</w:t>
            </w:r>
          </w:p>
        </w:tc>
        <w:tc>
          <w:tcPr>
            <w:tcW w:w="1984" w:type="dxa"/>
          </w:tcPr>
          <w:p>
            <w:r>
              <w:rPr>
                <w:rFonts w:ascii="Times New Roman" w:hAnsi="Times New Roman"/>
                <w:sz w:val="20"/>
              </w:rPr>
              <w:t>28,06 %</w:t>
            </w:r>
          </w:p>
        </w:tc>
        <w:tc>
          <w:tcPr>
            <w:tcW w:w="1984" w:type="dxa"/>
          </w:tcPr>
          <w:p>
            <w:r>
              <w:rPr>
                <w:rFonts w:ascii="Times New Roman" w:hAnsi="Times New Roman"/>
                <w:sz w:val="20"/>
              </w:rPr>
              <w:t>17,35 %</w:t>
            </w:r>
          </w:p>
        </w:tc>
      </w:tr>
    </w:tbl>
    <w:p>
      <w:pPr>
        <w:pStyle w:val="Heading3"/>
      </w:pPr>
      <w:r>
        <w:rPr>
          <w:rFonts w:ascii="Times New Roman" w:hAnsi="Times New Roman"/>
          <w:color w:val="000000"/>
        </w:rPr>
        <w:t>Bảng 2. Phân loại theo số lượng và mức độ rối loạn (n = 196)</w:t>
      </w:r>
    </w:p>
    <w:tbl>
      <w:tblPr>
        <w:tblStyle w:val="TableGrid"/>
        <w:tblW w:type="auto" w:w="0"/>
        <w:jc w:val="center"/>
        <w:tblLook w:firstColumn="1" w:firstRow="1" w:lastColumn="0" w:lastRow="0" w:noHBand="0" w:noVBand="1" w:val="04A0"/>
        <w:tblLayout w:type="fixed"/>
      </w:tblPr>
      <w:tblGrid>
        <w:gridCol w:w="4819"/>
        <w:gridCol w:w="1984"/>
        <w:gridCol w:w="1984"/>
      </w:tblGrid>
      <w:tr>
        <w:tc>
          <w:tcPr>
            <w:tcW w:w="4819" w:type="dxa"/>
            <w:shd w:fill="D9E2F3" w:val="clear"/>
          </w:tcPr>
          <w:p>
            <w:pPr>
              <w:jc w:val="center"/>
            </w:pPr>
            <w:r>
              <w:rPr>
                <w:rFonts w:ascii="Times New Roman" w:hAnsi="Times New Roman"/>
                <w:b/>
                <w:sz w:val="20"/>
              </w:rPr>
              <w:t>Phân loại</w:t>
            </w:r>
          </w:p>
        </w:tc>
        <w:tc>
          <w:tcPr>
            <w:tcW w:w="1984" w:type="dxa"/>
            <w:shd w:fill="D9E2F3" w:val="clear"/>
          </w:tcPr>
          <w:p>
            <w:pPr>
              <w:jc w:val="center"/>
            </w:pPr>
            <w:r>
              <w:rPr>
                <w:rFonts w:ascii="Times New Roman" w:hAnsi="Times New Roman"/>
                <w:b/>
                <w:sz w:val="20"/>
              </w:rPr>
              <w:t>Số lượng</w:t>
            </w:r>
          </w:p>
        </w:tc>
        <w:tc>
          <w:tcPr>
            <w:tcW w:w="1984" w:type="dxa"/>
            <w:shd w:fill="D9E2F3" w:val="clear"/>
          </w:tcPr>
          <w:p>
            <w:pPr>
              <w:jc w:val="center"/>
            </w:pPr>
            <w:r>
              <w:rPr>
                <w:rFonts w:ascii="Times New Roman" w:hAnsi="Times New Roman"/>
                <w:b/>
                <w:sz w:val="20"/>
              </w:rPr>
              <w:t>Tỷ lệ (%)</w:t>
            </w:r>
          </w:p>
        </w:tc>
      </w:tr>
      <w:tr>
        <w:tc>
          <w:tcPr>
            <w:tcW w:w="4819" w:type="dxa"/>
          </w:tcPr>
          <w:p>
            <w:r>
              <w:rPr>
                <w:rFonts w:ascii="Times New Roman" w:hAnsi="Times New Roman"/>
                <w:sz w:val="20"/>
              </w:rPr>
              <w:t>Không mắc rối loạn nào</w:t>
            </w:r>
          </w:p>
        </w:tc>
        <w:tc>
          <w:tcPr>
            <w:tcW w:w="1984" w:type="dxa"/>
          </w:tcPr>
          <w:p>
            <w:r>
              <w:rPr>
                <w:rFonts w:ascii="Times New Roman" w:hAnsi="Times New Roman"/>
                <w:sz w:val="20"/>
              </w:rPr>
              <w:t>83</w:t>
            </w:r>
          </w:p>
        </w:tc>
        <w:tc>
          <w:tcPr>
            <w:tcW w:w="1984" w:type="dxa"/>
          </w:tcPr>
          <w:p>
            <w:r>
              <w:rPr>
                <w:rFonts w:ascii="Times New Roman" w:hAnsi="Times New Roman"/>
                <w:sz w:val="20"/>
              </w:rPr>
              <w:t>42,35</w:t>
            </w:r>
          </w:p>
        </w:tc>
      </w:tr>
      <w:tr>
        <w:tc>
          <w:tcPr>
            <w:tcW w:w="4819" w:type="dxa"/>
          </w:tcPr>
          <w:p>
            <w:r>
              <w:rPr>
                <w:rFonts w:ascii="Times New Roman" w:hAnsi="Times New Roman"/>
                <w:sz w:val="20"/>
              </w:rPr>
              <w:t>Mắc ít nhất 1 trong 3 rối loạn</w:t>
            </w:r>
          </w:p>
        </w:tc>
        <w:tc>
          <w:tcPr>
            <w:tcW w:w="1984" w:type="dxa"/>
          </w:tcPr>
          <w:p>
            <w:r>
              <w:rPr>
                <w:rFonts w:ascii="Times New Roman" w:hAnsi="Times New Roman"/>
                <w:sz w:val="20"/>
              </w:rPr>
              <w:t>113</w:t>
            </w:r>
          </w:p>
        </w:tc>
        <w:tc>
          <w:tcPr>
            <w:tcW w:w="1984" w:type="dxa"/>
          </w:tcPr>
          <w:p>
            <w:r>
              <w:rPr>
                <w:rFonts w:ascii="Times New Roman" w:hAnsi="Times New Roman"/>
                <w:sz w:val="20"/>
              </w:rPr>
              <w:t>57,65</w:t>
            </w:r>
          </w:p>
        </w:tc>
      </w:tr>
      <w:tr>
        <w:tc>
          <w:tcPr>
            <w:tcW w:w="4819" w:type="dxa"/>
          </w:tcPr>
          <w:p>
            <w:r>
              <w:rPr>
                <w:rFonts w:ascii="Times New Roman" w:hAnsi="Times New Roman"/>
                <w:sz w:val="20"/>
              </w:rPr>
              <w:t>Mắc ít nhất 1 rối loạn từ mức nghiêm trọng trở lên</w:t>
            </w:r>
          </w:p>
        </w:tc>
        <w:tc>
          <w:tcPr>
            <w:tcW w:w="1984" w:type="dxa"/>
          </w:tcPr>
          <w:p>
            <w:r>
              <w:rPr>
                <w:rFonts w:ascii="Times New Roman" w:hAnsi="Times New Roman"/>
                <w:sz w:val="20"/>
              </w:rPr>
              <w:t>23</w:t>
            </w:r>
          </w:p>
        </w:tc>
        <w:tc>
          <w:tcPr>
            <w:tcW w:w="1984" w:type="dxa"/>
          </w:tcPr>
          <w:p>
            <w:r>
              <w:rPr>
                <w:rFonts w:ascii="Times New Roman" w:hAnsi="Times New Roman"/>
                <w:sz w:val="20"/>
              </w:rPr>
              <w:t>11,73</w:t>
            </w:r>
          </w:p>
        </w:tc>
      </w:tr>
    </w:tbl>
    <w:p>
      <w:pPr>
        <w:pStyle w:val="Heading3"/>
      </w:pPr>
      <w:r>
        <w:rPr>
          <w:rFonts w:ascii="Times New Roman" w:hAnsi="Times New Roman"/>
          <w:color w:val="000000"/>
        </w:rPr>
        <w:t>Bảng 3. Yếu tố liên quan có ý nghĩa thống kê</w:t>
      </w:r>
    </w:p>
    <w:tbl>
      <w:tblPr>
        <w:tblStyle w:val="TableGrid"/>
        <w:tblW w:type="auto" w:w="0"/>
        <w:jc w:val="center"/>
        <w:tblLook w:firstColumn="1" w:firstRow="1" w:lastColumn="0" w:lastRow="0" w:noHBand="0" w:noVBand="1" w:val="04A0"/>
        <w:tblLayout w:type="fixed"/>
      </w:tblPr>
      <w:tblGrid>
        <w:gridCol w:w="1701"/>
        <w:gridCol w:w="3969"/>
        <w:gridCol w:w="1134"/>
        <w:gridCol w:w="1134"/>
      </w:tblGrid>
      <w:tr>
        <w:tc>
          <w:tcPr>
            <w:tcW w:w="1701" w:type="dxa"/>
            <w:shd w:fill="D9E2F3" w:val="clear"/>
          </w:tcPr>
          <w:p>
            <w:pPr>
              <w:jc w:val="center"/>
            </w:pPr>
            <w:r>
              <w:rPr>
                <w:rFonts w:ascii="Times New Roman" w:hAnsi="Times New Roman"/>
                <w:b/>
                <w:sz w:val="20"/>
              </w:rPr>
              <w:t>Outcome</w:t>
            </w:r>
          </w:p>
        </w:tc>
        <w:tc>
          <w:tcPr>
            <w:tcW w:w="3969" w:type="dxa"/>
            <w:shd w:fill="D9E2F3" w:val="clear"/>
          </w:tcPr>
          <w:p>
            <w:pPr>
              <w:jc w:val="center"/>
            </w:pPr>
            <w:r>
              <w:rPr>
                <w:rFonts w:ascii="Times New Roman" w:hAnsi="Times New Roman"/>
                <w:b/>
                <w:sz w:val="20"/>
              </w:rPr>
              <w:t>Yếu tố nguy cơ</w:t>
            </w:r>
          </w:p>
        </w:tc>
        <w:tc>
          <w:tcPr>
            <w:tcW w:w="1134" w:type="dxa"/>
            <w:shd w:fill="D9E2F3" w:val="clear"/>
          </w:tcPr>
          <w:p>
            <w:pPr>
              <w:jc w:val="center"/>
            </w:pPr>
            <w:r>
              <w:rPr>
                <w:rFonts w:ascii="Times New Roman" w:hAnsi="Times New Roman"/>
                <w:b/>
                <w:sz w:val="20"/>
              </w:rPr>
              <w:t>OR</w:t>
            </w:r>
          </w:p>
        </w:tc>
        <w:tc>
          <w:tcPr>
            <w:tcW w:w="1134" w:type="dxa"/>
            <w:shd w:fill="D9E2F3" w:val="clear"/>
          </w:tcPr>
          <w:p>
            <w:pPr>
              <w:jc w:val="center"/>
            </w:pPr>
            <w:r>
              <w:rPr>
                <w:rFonts w:ascii="Times New Roman" w:hAnsi="Times New Roman"/>
                <w:b/>
                <w:sz w:val="20"/>
              </w:rPr>
              <w:t>p</w:t>
            </w:r>
          </w:p>
        </w:tc>
      </w:tr>
      <w:tr>
        <w:tc>
          <w:tcPr>
            <w:tcW w:w="1701" w:type="dxa"/>
          </w:tcPr>
          <w:p>
            <w:r>
              <w:rPr>
                <w:rFonts w:ascii="Times New Roman" w:hAnsi="Times New Roman"/>
                <w:sz w:val="20"/>
              </w:rPr>
              <w:t>Trầm cảm</w:t>
            </w:r>
          </w:p>
        </w:tc>
        <w:tc>
          <w:tcPr>
            <w:tcW w:w="3969" w:type="dxa"/>
          </w:tcPr>
          <w:p>
            <w:r>
              <w:rPr>
                <w:rFonts w:ascii="Times New Roman" w:hAnsi="Times New Roman"/>
                <w:sz w:val="20"/>
              </w:rPr>
              <w:t>Điểm tích luỹ Giỏi (so với Khá–TB)</w:t>
            </w:r>
          </w:p>
        </w:tc>
        <w:tc>
          <w:tcPr>
            <w:tcW w:w="1134" w:type="dxa"/>
          </w:tcPr>
          <w:p>
            <w:r>
              <w:rPr>
                <w:rFonts w:ascii="Times New Roman" w:hAnsi="Times New Roman"/>
                <w:sz w:val="20"/>
              </w:rPr>
              <w:t>4,97</w:t>
            </w:r>
          </w:p>
        </w:tc>
        <w:tc>
          <w:tcPr>
            <w:tcW w:w="1134" w:type="dxa"/>
          </w:tcPr>
          <w:p>
            <w:r>
              <w:rPr>
                <w:rFonts w:ascii="Times New Roman" w:hAnsi="Times New Roman"/>
                <w:sz w:val="20"/>
              </w:rPr>
              <w:t>0,005</w:t>
            </w:r>
          </w:p>
        </w:tc>
      </w:tr>
      <w:tr>
        <w:tc>
          <w:tcPr>
            <w:tcW w:w="1701" w:type="dxa"/>
          </w:tcPr>
          <w:p>
            <w:r>
              <w:rPr>
                <w:rFonts w:ascii="Times New Roman" w:hAnsi="Times New Roman"/>
                <w:sz w:val="20"/>
              </w:rPr>
              <w:t>Lo âu</w:t>
            </w:r>
          </w:p>
        </w:tc>
        <w:tc>
          <w:tcPr>
            <w:tcW w:w="3969" w:type="dxa"/>
          </w:tcPr>
          <w:p>
            <w:r>
              <w:rPr>
                <w:rFonts w:ascii="Times New Roman" w:hAnsi="Times New Roman"/>
                <w:sz w:val="20"/>
              </w:rPr>
              <w:t>Hệ Bác sĩ (so với Cử nhân)</w:t>
            </w:r>
          </w:p>
        </w:tc>
        <w:tc>
          <w:tcPr>
            <w:tcW w:w="1134" w:type="dxa"/>
          </w:tcPr>
          <w:p>
            <w:r>
              <w:rPr>
                <w:rFonts w:ascii="Times New Roman" w:hAnsi="Times New Roman"/>
                <w:sz w:val="20"/>
              </w:rPr>
              <w:t>1,86</w:t>
            </w:r>
          </w:p>
        </w:tc>
        <w:tc>
          <w:tcPr>
            <w:tcW w:w="1134" w:type="dxa"/>
          </w:tcPr>
          <w:p>
            <w:r>
              <w:rPr>
                <w:rFonts w:ascii="Times New Roman" w:hAnsi="Times New Roman"/>
                <w:sz w:val="20"/>
              </w:rPr>
              <w:t>0,044</w:t>
            </w:r>
          </w:p>
        </w:tc>
      </w:tr>
      <w:tr>
        <w:tc>
          <w:tcPr>
            <w:tcW w:w="1701" w:type="dxa"/>
          </w:tcPr>
          <w:p>
            <w:r>
              <w:rPr>
                <w:rFonts w:ascii="Times New Roman" w:hAnsi="Times New Roman"/>
                <w:sz w:val="20"/>
              </w:rPr>
              <w:t>Lo âu</w:t>
            </w:r>
          </w:p>
        </w:tc>
        <w:tc>
          <w:tcPr>
            <w:tcW w:w="3969" w:type="dxa"/>
          </w:tcPr>
          <w:p>
            <w:r>
              <w:rPr>
                <w:rFonts w:ascii="Times New Roman" w:hAnsi="Times New Roman"/>
                <w:sz w:val="20"/>
              </w:rPr>
              <w:t>Vấn đề giấc ngủ</w:t>
            </w:r>
          </w:p>
        </w:tc>
        <w:tc>
          <w:tcPr>
            <w:tcW w:w="1134" w:type="dxa"/>
          </w:tcPr>
          <w:p>
            <w:r>
              <w:rPr>
                <w:rFonts w:ascii="Times New Roman" w:hAnsi="Times New Roman"/>
                <w:sz w:val="20"/>
              </w:rPr>
              <w:t>1,84</w:t>
            </w:r>
          </w:p>
        </w:tc>
        <w:tc>
          <w:tcPr>
            <w:tcW w:w="1134" w:type="dxa"/>
          </w:tcPr>
          <w:p>
            <w:r>
              <w:rPr>
                <w:rFonts w:ascii="Times New Roman" w:hAnsi="Times New Roman"/>
                <w:sz w:val="20"/>
              </w:rPr>
              <w:t>0,038</w:t>
            </w:r>
          </w:p>
        </w:tc>
      </w:tr>
      <w:tr>
        <w:tc>
          <w:tcPr>
            <w:tcW w:w="1701" w:type="dxa"/>
          </w:tcPr>
          <w:p>
            <w:r>
              <w:rPr>
                <w:rFonts w:ascii="Times New Roman" w:hAnsi="Times New Roman"/>
                <w:sz w:val="20"/>
              </w:rPr>
              <w:t>Lo âu</w:t>
            </w:r>
          </w:p>
        </w:tc>
        <w:tc>
          <w:tcPr>
            <w:tcW w:w="3969" w:type="dxa"/>
          </w:tcPr>
          <w:p>
            <w:r>
              <w:rPr>
                <w:rFonts w:ascii="Times New Roman" w:hAnsi="Times New Roman"/>
                <w:sz w:val="20"/>
              </w:rPr>
              <w:t>Điểm tích luỹ Giỏi (so với Khá–TB)</w:t>
            </w:r>
          </w:p>
        </w:tc>
        <w:tc>
          <w:tcPr>
            <w:tcW w:w="1134" w:type="dxa"/>
          </w:tcPr>
          <w:p>
            <w:r>
              <w:rPr>
                <w:rFonts w:ascii="Times New Roman" w:hAnsi="Times New Roman"/>
                <w:sz w:val="20"/>
              </w:rPr>
              <w:t>4,69</w:t>
            </w:r>
          </w:p>
        </w:tc>
        <w:tc>
          <w:tcPr>
            <w:tcW w:w="1134" w:type="dxa"/>
          </w:tcPr>
          <w:p>
            <w:r>
              <w:rPr>
                <w:rFonts w:ascii="Times New Roman" w:hAnsi="Times New Roman"/>
                <w:sz w:val="20"/>
              </w:rPr>
              <w:t>0,013</w:t>
            </w:r>
          </w:p>
        </w:tc>
      </w:tr>
      <w:tr>
        <w:tc>
          <w:tcPr>
            <w:tcW w:w="1701" w:type="dxa"/>
          </w:tcPr>
          <w:p>
            <w:r>
              <w:rPr>
                <w:rFonts w:ascii="Times New Roman" w:hAnsi="Times New Roman"/>
                <w:sz w:val="20"/>
              </w:rPr>
              <w:t>Căng thẳng</w:t>
            </w:r>
          </w:p>
        </w:tc>
        <w:tc>
          <w:tcPr>
            <w:tcW w:w="3969" w:type="dxa"/>
          </w:tcPr>
          <w:p>
            <w:r>
              <w:rPr>
                <w:rFonts w:ascii="Times New Roman" w:hAnsi="Times New Roman"/>
                <w:sz w:val="20"/>
              </w:rPr>
              <w:t>Chưa hài lòng học tập (so với hài lòng)</w:t>
            </w:r>
          </w:p>
        </w:tc>
        <w:tc>
          <w:tcPr>
            <w:tcW w:w="1134" w:type="dxa"/>
          </w:tcPr>
          <w:p>
            <w:r>
              <w:rPr>
                <w:rFonts w:ascii="Times New Roman" w:hAnsi="Times New Roman"/>
                <w:sz w:val="20"/>
              </w:rPr>
              <w:t>10,70</w:t>
            </w:r>
          </w:p>
        </w:tc>
        <w:tc>
          <w:tcPr>
            <w:tcW w:w="1134" w:type="dxa"/>
          </w:tcPr>
          <w:p>
            <w:r>
              <w:rPr>
                <w:rFonts w:ascii="Times New Roman" w:hAnsi="Times New Roman"/>
                <w:sz w:val="20"/>
              </w:rPr>
              <w:t>0,005</w:t>
            </w:r>
          </w:p>
        </w:tc>
      </w:tr>
      <w:tr>
        <w:tc>
          <w:tcPr>
            <w:tcW w:w="1701" w:type="dxa"/>
          </w:tcPr>
          <w:p>
            <w:r>
              <w:rPr>
                <w:rFonts w:ascii="Times New Roman" w:hAnsi="Times New Roman"/>
                <w:sz w:val="20"/>
              </w:rPr>
              <w:t>Căng thẳng</w:t>
            </w:r>
          </w:p>
        </w:tc>
        <w:tc>
          <w:tcPr>
            <w:tcW w:w="3969" w:type="dxa"/>
          </w:tcPr>
          <w:p>
            <w:r>
              <w:rPr>
                <w:rFonts w:ascii="Times New Roman" w:hAnsi="Times New Roman"/>
                <w:sz w:val="20"/>
              </w:rPr>
              <w:t>Vấn đề giấc ngủ</w:t>
            </w:r>
          </w:p>
        </w:tc>
        <w:tc>
          <w:tcPr>
            <w:tcW w:w="1134" w:type="dxa"/>
          </w:tcPr>
          <w:p>
            <w:r>
              <w:rPr>
                <w:rFonts w:ascii="Times New Roman" w:hAnsi="Times New Roman"/>
                <w:sz w:val="20"/>
              </w:rPr>
              <w:t>2,90</w:t>
            </w:r>
          </w:p>
        </w:tc>
        <w:tc>
          <w:tcPr>
            <w:tcW w:w="1134" w:type="dxa"/>
          </w:tcPr>
          <w:p>
            <w:r>
              <w:rPr>
                <w:rFonts w:ascii="Times New Roman" w:hAnsi="Times New Roman"/>
                <w:sz w:val="20"/>
              </w:rPr>
              <w:t>0,001</w:t>
            </w:r>
          </w:p>
        </w:tc>
      </w:tr>
      <w:tr>
        <w:tc>
          <w:tcPr>
            <w:tcW w:w="1701" w:type="dxa"/>
          </w:tcPr>
          <w:p>
            <w:r>
              <w:rPr>
                <w:rFonts w:ascii="Times New Roman" w:hAnsi="Times New Roman"/>
                <w:sz w:val="20"/>
              </w:rPr>
              <w:t>Căng thẳng</w:t>
            </w:r>
          </w:p>
        </w:tc>
        <w:tc>
          <w:tcPr>
            <w:tcW w:w="3969" w:type="dxa"/>
          </w:tcPr>
          <w:p>
            <w:r>
              <w:rPr>
                <w:rFonts w:ascii="Times New Roman" w:hAnsi="Times New Roman"/>
                <w:sz w:val="20"/>
              </w:rPr>
              <w:t>Mối quan hệ xã hội có vấn đề</w:t>
            </w:r>
          </w:p>
        </w:tc>
        <w:tc>
          <w:tcPr>
            <w:tcW w:w="1134" w:type="dxa"/>
          </w:tcPr>
          <w:p>
            <w:r>
              <w:rPr>
                <w:rFonts w:ascii="Times New Roman" w:hAnsi="Times New Roman"/>
                <w:sz w:val="20"/>
              </w:rPr>
              <w:t>2,92</w:t>
            </w:r>
          </w:p>
        </w:tc>
        <w:tc>
          <w:tcPr>
            <w:tcW w:w="1134" w:type="dxa"/>
          </w:tcPr>
          <w:p>
            <w:r>
              <w:rPr>
                <w:rFonts w:ascii="Times New Roman" w:hAnsi="Times New Roman"/>
                <w:sz w:val="20"/>
              </w:rPr>
              <w:t>0,002</w:t>
            </w:r>
          </w:p>
        </w:tc>
      </w:tr>
      <w:tr>
        <w:tc>
          <w:tcPr>
            <w:tcW w:w="1701" w:type="dxa"/>
          </w:tcPr>
          <w:p>
            <w:r>
              <w:rPr>
                <w:rFonts w:ascii="Times New Roman" w:hAnsi="Times New Roman"/>
                <w:sz w:val="20"/>
              </w:rPr>
              <w:t>Căng thẳng</w:t>
            </w:r>
          </w:p>
        </w:tc>
        <w:tc>
          <w:tcPr>
            <w:tcW w:w="3969" w:type="dxa"/>
          </w:tcPr>
          <w:p>
            <w:r>
              <w:rPr>
                <w:rFonts w:ascii="Times New Roman" w:hAnsi="Times New Roman"/>
                <w:sz w:val="20"/>
              </w:rPr>
              <w:t>Tài chính không đủ</w:t>
            </w:r>
          </w:p>
        </w:tc>
        <w:tc>
          <w:tcPr>
            <w:tcW w:w="1134" w:type="dxa"/>
          </w:tcPr>
          <w:p>
            <w:r>
              <w:rPr>
                <w:rFonts w:ascii="Times New Roman" w:hAnsi="Times New Roman"/>
                <w:sz w:val="20"/>
              </w:rPr>
              <w:t>2,74</w:t>
            </w:r>
          </w:p>
        </w:tc>
        <w:tc>
          <w:tcPr>
            <w:tcW w:w="1134" w:type="dxa"/>
          </w:tcPr>
          <w:p>
            <w:r>
              <w:rPr>
                <w:rFonts w:ascii="Times New Roman" w:hAnsi="Times New Roman"/>
                <w:sz w:val="20"/>
              </w:rPr>
              <w:t>0,012</w:t>
            </w:r>
          </w:p>
        </w:tc>
      </w:tr>
      <w:tr>
        <w:tc>
          <w:tcPr>
            <w:tcW w:w="1701" w:type="dxa"/>
          </w:tcPr>
          <w:p>
            <w:r>
              <w:rPr>
                <w:rFonts w:ascii="Times New Roman" w:hAnsi="Times New Roman"/>
                <w:sz w:val="20"/>
              </w:rPr>
              <w:t>Căng thẳng</w:t>
            </w:r>
          </w:p>
        </w:tc>
        <w:tc>
          <w:tcPr>
            <w:tcW w:w="3969" w:type="dxa"/>
          </w:tcPr>
          <w:p>
            <w:r>
              <w:rPr>
                <w:rFonts w:ascii="Times New Roman" w:hAnsi="Times New Roman"/>
                <w:sz w:val="20"/>
              </w:rPr>
              <w:t>Điểm tích luỹ Giỏi</w:t>
            </w:r>
          </w:p>
        </w:tc>
        <w:tc>
          <w:tcPr>
            <w:tcW w:w="1134" w:type="dxa"/>
          </w:tcPr>
          <w:p>
            <w:r>
              <w:rPr>
                <w:rFonts w:ascii="Times New Roman" w:hAnsi="Times New Roman"/>
                <w:sz w:val="20"/>
              </w:rPr>
              <w:t>3,82</w:t>
            </w:r>
          </w:p>
        </w:tc>
        <w:tc>
          <w:tcPr>
            <w:tcW w:w="1134" w:type="dxa"/>
          </w:tcPr>
          <w:p>
            <w:r>
              <w:rPr>
                <w:rFonts w:ascii="Times New Roman" w:hAnsi="Times New Roman"/>
                <w:sz w:val="20"/>
              </w:rPr>
              <w:t>0,016</w:t>
            </w:r>
          </w:p>
        </w:tc>
      </w:tr>
      <w:tr>
        <w:tc>
          <w:tcPr>
            <w:tcW w:w="1701" w:type="dxa"/>
          </w:tcPr>
          <w:p>
            <w:r>
              <w:rPr>
                <w:rFonts w:ascii="Times New Roman" w:hAnsi="Times New Roman"/>
                <w:sz w:val="20"/>
              </w:rPr>
              <w:t>≥1 rối loạn</w:t>
            </w:r>
          </w:p>
        </w:tc>
        <w:tc>
          <w:tcPr>
            <w:tcW w:w="3969" w:type="dxa"/>
          </w:tcPr>
          <w:p>
            <w:r>
              <w:rPr>
                <w:rFonts w:ascii="Times New Roman" w:hAnsi="Times New Roman"/>
                <w:sz w:val="20"/>
              </w:rPr>
              <w:t>Vấn đề giấc ngủ</w:t>
            </w:r>
          </w:p>
        </w:tc>
        <w:tc>
          <w:tcPr>
            <w:tcW w:w="1134" w:type="dxa"/>
          </w:tcPr>
          <w:p>
            <w:r>
              <w:rPr>
                <w:rFonts w:ascii="Times New Roman" w:hAnsi="Times New Roman"/>
                <w:sz w:val="20"/>
              </w:rPr>
              <w:t>1,84</w:t>
            </w:r>
          </w:p>
        </w:tc>
        <w:tc>
          <w:tcPr>
            <w:tcW w:w="1134" w:type="dxa"/>
          </w:tcPr>
          <w:p>
            <w:r>
              <w:rPr>
                <w:rFonts w:ascii="Times New Roman" w:hAnsi="Times New Roman"/>
                <w:sz w:val="20"/>
              </w:rPr>
              <w:t>0,037</w:t>
            </w:r>
          </w:p>
        </w:tc>
      </w:tr>
      <w:tr>
        <w:tc>
          <w:tcPr>
            <w:tcW w:w="1701" w:type="dxa"/>
          </w:tcPr>
          <w:p>
            <w:r>
              <w:rPr>
                <w:rFonts w:ascii="Times New Roman" w:hAnsi="Times New Roman"/>
                <w:sz w:val="20"/>
              </w:rPr>
              <w:t>≥1 rối loạn</w:t>
            </w:r>
          </w:p>
        </w:tc>
        <w:tc>
          <w:tcPr>
            <w:tcW w:w="3969" w:type="dxa"/>
          </w:tcPr>
          <w:p>
            <w:r>
              <w:rPr>
                <w:rFonts w:ascii="Times New Roman" w:hAnsi="Times New Roman"/>
                <w:sz w:val="20"/>
              </w:rPr>
              <w:t>Mối quan hệ xã hội có vấn đề</w:t>
            </w:r>
          </w:p>
        </w:tc>
        <w:tc>
          <w:tcPr>
            <w:tcW w:w="1134" w:type="dxa"/>
          </w:tcPr>
          <w:p>
            <w:r>
              <w:rPr>
                <w:rFonts w:ascii="Times New Roman" w:hAnsi="Times New Roman"/>
                <w:sz w:val="20"/>
              </w:rPr>
              <w:t>2,37</w:t>
            </w:r>
          </w:p>
        </w:tc>
        <w:tc>
          <w:tcPr>
            <w:tcW w:w="1134" w:type="dxa"/>
          </w:tcPr>
          <w:p>
            <w:r>
              <w:rPr>
                <w:rFonts w:ascii="Times New Roman" w:hAnsi="Times New Roman"/>
                <w:sz w:val="20"/>
              </w:rPr>
              <w:t>0,024</w:t>
            </w:r>
          </w:p>
        </w:tc>
      </w:tr>
    </w:tbl>
    <w:p>
      <w:pPr>
        <w:jc w:val="both"/>
      </w:pPr>
      <w:r>
        <w:rPr>
          <w:rFonts w:ascii="Times New Roman" w:hAnsi="Times New Roman"/>
          <w:b w:val="0"/>
          <w:i w:val="0"/>
          <w:sz w:val="24"/>
        </w:rPr>
        <w:t>Phát hiện đáng chú ý: Sinh viên đạt điểm tích luỹ MỨC GIỎI có tỷ lệ trầm cảm gấp 4,97 lần so với nhóm Khá – Trung bình (p = 0,005), tỷ lệ lo âu gấp 4,69 lần (p = 0,013), tỷ lệ căng thẳng gấp 3,82 lần (p = 0,016). Đây là HIỆN TƯỢNG NGHỊCH ĐẢO so với giả thuyết thông thường — sinh viên giỏi lại có nguy cơ cao nhất, gợi ý "perfectionism trap" / áp lực thành tích.</w:t>
      </w:r>
    </w:p>
    <w:p>
      <w:pPr>
        <w:pStyle w:val="Heading2"/>
      </w:pPr>
      <w:r>
        <w:rPr>
          <w:rFonts w:ascii="Times New Roman" w:hAnsi="Times New Roman"/>
          <w:color w:val="000000"/>
        </w:rPr>
        <w:t>ĐẶC ĐIỂM ĐỐI TƯỢNG NGHIÊN CỨU</w:t>
      </w:r>
    </w:p>
    <w:p>
      <w:pPr>
        <w:jc w:val="both"/>
      </w:pPr>
      <w:r>
        <w:rPr>
          <w:rFonts w:ascii="Times New Roman" w:hAnsi="Times New Roman"/>
          <w:b w:val="0"/>
          <w:i w:val="0"/>
          <w:sz w:val="24"/>
        </w:rPr>
        <w:t>• 196 sinh viên: 126 ngành bác sĩ + 70 ngành cử nhân; nam 35,71 %, nữ 64,29 %.</w:t>
      </w:r>
    </w:p>
    <w:p>
      <w:pPr>
        <w:jc w:val="both"/>
      </w:pPr>
      <w:r>
        <w:rPr>
          <w:rFonts w:ascii="Times New Roman" w:hAnsi="Times New Roman"/>
          <w:b w:val="0"/>
          <w:i w:val="0"/>
          <w:sz w:val="24"/>
        </w:rPr>
        <w:t>• BMI: bình thường/khoẻ mạnh 60,71 %; thiếu cân 24,49 %; béo phì 4,59 %.</w:t>
      </w:r>
    </w:p>
    <w:p>
      <w:pPr>
        <w:jc w:val="both"/>
      </w:pPr>
      <w:r>
        <w:rPr>
          <w:rFonts w:ascii="Times New Roman" w:hAnsi="Times New Roman"/>
          <w:b w:val="0"/>
          <w:i w:val="0"/>
          <w:sz w:val="24"/>
        </w:rPr>
        <w:t>• Kết quả học tập: Giỏi 6,63 %, Khá 38,27 %, Trung bình khá 50,59 %, Trung bình 0,51 %.</w:t>
      </w:r>
    </w:p>
    <w:p>
      <w:pPr>
        <w:jc w:val="both"/>
      </w:pPr>
      <w:r>
        <w:rPr>
          <w:rFonts w:ascii="Times New Roman" w:hAnsi="Times New Roman"/>
          <w:b w:val="0"/>
          <w:i w:val="0"/>
          <w:sz w:val="24"/>
        </w:rPr>
        <w:t>• Sự hài lòng học tập: Hài lòng 10,89 %; chưa hài lòng phương pháp 56,05 %; chưa hài lòng môi trường 11,69 %; kết quả không tương xứng cố gắng 21,37 %.</w:t>
      </w:r>
    </w:p>
    <w:p>
      <w:pPr>
        <w:jc w:val="both"/>
      </w:pPr>
      <w:r>
        <w:rPr>
          <w:rFonts w:ascii="Times New Roman" w:hAnsi="Times New Roman"/>
          <w:b w:val="0"/>
          <w:i w:val="0"/>
          <w:sz w:val="24"/>
        </w:rPr>
        <w:t>• Tài chính: Đủ cho nhu cầu cơ bản 52 %; đủ cả giải trí 33 %; gặp khó khăn 15 %.</w:t>
      </w:r>
    </w:p>
    <w:p>
      <w:pPr>
        <w:jc w:val="both"/>
      </w:pPr>
      <w:r>
        <w:rPr>
          <w:rFonts w:ascii="Times New Roman" w:hAnsi="Times New Roman"/>
          <w:b w:val="0"/>
          <w:i w:val="0"/>
          <w:sz w:val="24"/>
        </w:rPr>
        <w:t>• Giấc ngủ: 55,61 % gặp vấn đề về thời lượng/khả năng vào giấc ngủ/chất lượng giấc ngủ.</w:t>
      </w:r>
    </w:p>
    <w:p>
      <w:pPr>
        <w:jc w:val="both"/>
      </w:pPr>
      <w:r>
        <w:rPr>
          <w:rFonts w:ascii="Times New Roman" w:hAnsi="Times New Roman"/>
          <w:b w:val="0"/>
          <w:i w:val="0"/>
          <w:sz w:val="24"/>
        </w:rPr>
        <w:t>• Mối quan hệ xã hội: 30,92 % gặp vấn đề về bạn bè, gia đình, tình yêu.</w:t>
      </w:r>
    </w:p>
    <w:p>
      <w:pPr>
        <w:pStyle w:val="Heading2"/>
      </w:pPr>
      <w:r>
        <w:rPr>
          <w:rFonts w:ascii="Times New Roman" w:hAnsi="Times New Roman"/>
          <w:color w:val="000000"/>
        </w:rPr>
        <w:t>KẾT LUẬN</w:t>
      </w:r>
    </w:p>
    <w:p>
      <w:pPr>
        <w:jc w:val="both"/>
      </w:pPr>
      <w:r>
        <w:rPr>
          <w:rFonts w:ascii="Times New Roman" w:hAnsi="Times New Roman"/>
          <w:b w:val="0"/>
          <w:i w:val="0"/>
          <w:sz w:val="24"/>
        </w:rPr>
        <w:t>Tỷ lệ rối loạn sức khoẻ tâm thần ở sinh viên năm 4 ĐH Y Hà Nội rất cao: 33,67 % trầm cảm, 43,88 % lo âu, 31,63 % căng thẳng; 57,65 % mắc ít nhất 1 trong 3 rối loạn; 11,73 % mắc rối loạn từ mức nghiêm trọng trở lên. Các yếu tố liên quan có ý nghĩa thống kê: ngành học, điểm tích luỹ, sự hài lòng học tập, giấc ngủ, tài chính, mối quan hệ xã hội. Cần có chương trình hỗ trợ tâm lý cho sinh viên y, đặc biệt nhóm điểm cao có nguy cơ cao bất thường.</w:t>
      </w:r>
    </w:p>
    <w:p>
      <w:pPr>
        <w:pStyle w:val="Heading2"/>
      </w:pPr>
      <w:r>
        <w:rPr>
          <w:rFonts w:ascii="Times New Roman" w:hAnsi="Times New Roman"/>
          <w:color w:val="000000"/>
        </w:rPr>
        <w:t>QUAN ĐIỂM PHẢN BIỆN</w:t>
      </w:r>
    </w:p>
    <w:p>
      <w:pPr>
        <w:jc w:val="both"/>
      </w:pPr>
      <w:r>
        <w:rPr>
          <w:rFonts w:ascii="Times New Roman" w:hAnsi="Times New Roman"/>
          <w:b/>
          <w:i w:val="0"/>
          <w:color w:val="CC0000"/>
          <w:sz w:val="24"/>
        </w:rPr>
        <w:t>Điểm mạnh:</w:t>
      </w:r>
    </w:p>
    <w:p>
      <w:pPr>
        <w:jc w:val="both"/>
      </w:pPr>
      <w:r>
        <w:rPr>
          <w:rFonts w:ascii="Times New Roman" w:hAnsi="Times New Roman"/>
          <w:b w:val="0"/>
          <w:i w:val="0"/>
          <w:color w:val="CC0000"/>
          <w:sz w:val="24"/>
        </w:rPr>
        <w:t>• Cỡ mẫu chọn ngẫu nhiên đơn từ danh sách 901 sinh viên — không phải mẫu thuận tiện. Đây là điểm khác biệt tích cực so với đa số NC SKTT sinh viên VN khác.</w:t>
      </w:r>
    </w:p>
    <w:p>
      <w:pPr>
        <w:jc w:val="both"/>
      </w:pPr>
      <w:r>
        <w:rPr>
          <w:rFonts w:ascii="Times New Roman" w:hAnsi="Times New Roman"/>
          <w:b w:val="0"/>
          <w:i w:val="0"/>
          <w:color w:val="CC0000"/>
          <w:sz w:val="24"/>
        </w:rPr>
        <w:t>• Sử dụng DASS-21 đã chuẩn hoá tiếng Việt (Viện SKTT Bạch Mai) — công cụ tin cậy.</w:t>
      </w:r>
    </w:p>
    <w:p>
      <w:pPr>
        <w:jc w:val="both"/>
      </w:pPr>
      <w:r>
        <w:rPr>
          <w:rFonts w:ascii="Times New Roman" w:hAnsi="Times New Roman"/>
          <w:b w:val="0"/>
          <w:i w:val="0"/>
          <w:color w:val="CC0000"/>
          <w:sz w:val="24"/>
        </w:rPr>
        <w:t>• Đo CẢ 3 trục (trầm cảm + lo âu + căng thẳng) — toàn diện hơn các NC chỉ đo 1 trục.</w:t>
      </w:r>
    </w:p>
    <w:p>
      <w:pPr>
        <w:jc w:val="both"/>
      </w:pPr>
      <w:r>
        <w:rPr>
          <w:rFonts w:ascii="Times New Roman" w:hAnsi="Times New Roman"/>
          <w:b w:val="0"/>
          <w:i w:val="0"/>
          <w:color w:val="CC0000"/>
          <w:sz w:val="24"/>
        </w:rPr>
        <w:t>• Phát hiện CỰC THÚ VỊ về điểm tích luỹ Giỏi → nguy cơ rất cao (OR = 4–5), gợi ý hiện tượng "perfectionism trap" trong môi trường y khoa cạnh tranh.</w:t>
      </w:r>
    </w:p>
    <w:p>
      <w:pPr>
        <w:jc w:val="both"/>
      </w:pPr>
      <w:r>
        <w:rPr>
          <w:rFonts w:ascii="Times New Roman" w:hAnsi="Times New Roman"/>
          <w:b w:val="0"/>
          <w:i w:val="0"/>
          <w:color w:val="CC0000"/>
          <w:sz w:val="24"/>
        </w:rPr>
        <w:t>• Đối tượng SV năm 4 vừa bắt đầu lâm sàng — thời điểm chuyển giao quan trọng, có giá trị triển khai can thiệp sớm.</w:t>
      </w:r>
    </w:p>
    <w:p>
      <w:pPr>
        <w:jc w:val="both"/>
      </w:pPr>
      <w:r>
        <w:rPr>
          <w:rFonts w:ascii="Times New Roman" w:hAnsi="Times New Roman"/>
          <w:b/>
          <w:i w:val="0"/>
          <w:color w:val="CC0000"/>
          <w:sz w:val="24"/>
        </w:rPr>
        <w:t>Hạn chế:</w:t>
      </w:r>
    </w:p>
    <w:p>
      <w:pPr>
        <w:jc w:val="both"/>
      </w:pPr>
      <w:r>
        <w:rPr>
          <w:rFonts w:ascii="Times New Roman" w:hAnsi="Times New Roman"/>
          <w:b w:val="0"/>
          <w:i w:val="0"/>
          <w:color w:val="CC0000"/>
          <w:sz w:val="24"/>
        </w:rPr>
        <w:t>• Đối tượng SINH VIÊN ĐẠI HỌC, không phải VTN học sinh THCS/THPT — không thể ngoại suy trực tiếp cho đề tài lo âu VTN VN.</w:t>
      </w:r>
    </w:p>
    <w:p>
      <w:pPr>
        <w:jc w:val="both"/>
      </w:pPr>
      <w:r>
        <w:rPr>
          <w:rFonts w:ascii="Times New Roman" w:hAnsi="Times New Roman"/>
          <w:b w:val="0"/>
          <w:i w:val="0"/>
          <w:color w:val="CC0000"/>
          <w:sz w:val="24"/>
        </w:rPr>
        <w:t>• Cỡ mẫu n = 196 — nhỏ cho phân tích đa biến tinh tế. Cỡ mẫu chỉ vừa đủ cho mô tả (theo công thức n_min = 195).</w:t>
      </w:r>
    </w:p>
    <w:p>
      <w:pPr>
        <w:jc w:val="both"/>
      </w:pPr>
      <w:r>
        <w:rPr>
          <w:rFonts w:ascii="Times New Roman" w:hAnsi="Times New Roman"/>
          <w:b w:val="0"/>
          <w:i w:val="0"/>
          <w:color w:val="CC0000"/>
          <w:sz w:val="24"/>
        </w:rPr>
        <w:t>• Cắt ngang — không thể kết luận quan hệ nhân quả. Sinh viên giỏi có thể bị áp lực cao hoặc người bị áp lực cao mới đạt điểm giỏi (chiều ngược).</w:t>
      </w:r>
    </w:p>
    <w:p>
      <w:pPr>
        <w:jc w:val="both"/>
      </w:pPr>
      <w:r>
        <w:rPr>
          <w:rFonts w:ascii="Times New Roman" w:hAnsi="Times New Roman"/>
          <w:b w:val="0"/>
          <w:i w:val="0"/>
          <w:color w:val="CC0000"/>
          <w:sz w:val="24"/>
        </w:rPr>
        <w:t>• Chỉ 1 trường (ĐH Y Hà Nội), 1 năm học cụ thể (Y4) — không đại diện toàn bộ SV y VN.</w:t>
      </w:r>
    </w:p>
    <w:p>
      <w:pPr>
        <w:jc w:val="both"/>
      </w:pPr>
      <w:r>
        <w:rPr>
          <w:rFonts w:ascii="Times New Roman" w:hAnsi="Times New Roman"/>
          <w:b w:val="0"/>
          <w:i w:val="0"/>
          <w:color w:val="CC0000"/>
          <w:sz w:val="24"/>
        </w:rPr>
        <w:t>• Tự báo cáo giấc ngủ, tài chính → có thể có thiên lệch nhớ lại (recall bias).</w:t>
      </w:r>
    </w:p>
    <w:p>
      <w:pPr>
        <w:jc w:val="both"/>
      </w:pPr>
      <w:r>
        <w:rPr>
          <w:rFonts w:ascii="Times New Roman" w:hAnsi="Times New Roman"/>
          <w:b w:val="0"/>
          <w:i w:val="0"/>
          <w:color w:val="CC0000"/>
          <w:sz w:val="24"/>
        </w:rPr>
        <w:t>• Không phân tích đa biến (logistic regression với các biến cùng lúc) — chỉ phân tích từng cặp biến.</w:t>
      </w:r>
    </w:p>
    <w:p>
      <w:pPr>
        <w:jc w:val="both"/>
      </w:pPr>
      <w:r>
        <w:rPr>
          <w:rFonts w:ascii="Times New Roman" w:hAnsi="Times New Roman"/>
          <w:b/>
          <w:i w:val="0"/>
          <w:sz w:val="24"/>
        </w:rPr>
        <w:t>Áp dụng cho đề tài VTN:</w:t>
      </w:r>
    </w:p>
    <w:p>
      <w:pPr>
        <w:jc w:val="both"/>
      </w:pPr>
      <w:r>
        <w:rPr>
          <w:rFonts w:ascii="Times New Roman" w:hAnsi="Times New Roman"/>
          <w:b w:val="0"/>
          <w:i w:val="0"/>
          <w:sz w:val="24"/>
        </w:rPr>
        <w:t>Mặc dù đối tượng người trưởng thành, bài này cung cấp 2 bài học quý: (1) Hiện tượng PERFECTIONISM TRAP — học sinh/sinh viên giỏi nguy cơ cao, phù hợp với phát hiện của Trần Thị Mỵ Lương 2020 trên HS THPT chuyên (67,5 % cảm thấy "vô dụng"); (2) Vai trò của giấc ngủ — phù hợp Zheng 2025 (β = 0,615, mạnh nhất) và Zhu 2025 (AOR = 13,71 cho &lt; 5h). Đề cương VN cần đo CẢ 3 trục DASS + thêm câu hỏi giấc ngủ chi tiết.</w:t>
      </w:r>
    </w:p>
    <w:p>
      <w:pPr>
        <w:jc w:val="both"/>
      </w:pPr>
      <w:r>
        <w:rPr>
          <w:rFonts w:ascii="Times New Roman" w:hAnsi="Times New Roman"/>
          <w:b/>
          <w:i w:val="0"/>
          <w:sz w:val="24"/>
        </w:rPr>
        <w:t>Đánh giá: ⭐⭐⭐ Trung bình–Khá. Tạp chí TCNCYH trong nước, mẫu vừa, công cụ chuẩn, phát hiện perfectionism thú vị nhưng đối tượng không phù hợp trực tiếp đề tài VTN.</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cp:version/>
</cp:coreProperties>
</file>