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rFonts w:ascii="Times New Roman" w:hAnsi="Times New Roman"/>
          <w:b w:val="0"/>
          <w:i w:val="0"/>
          <w:sz w:val="20"/>
        </w:rPr>
        <w:t>Link: https://doi.org/10.1007/s00127-025-03043-7 | Social Psychiatry and Psychiatric Epidemiology (2025)</w:t>
      </w:r>
    </w:p>
    <w:p>
      <w:pPr>
        <w:pStyle w:val="Heading1"/>
      </w:pPr>
      <w:r>
        <w:rPr>
          <w:rFonts w:ascii="Times New Roman" w:hAnsi="Times New Roman"/>
          <w:color w:val="000000"/>
        </w:rPr>
        <w:t>Phơi bày gánh nặng triệu chứng sức khoẻ tâm thần và hành vi nguy cơ ở vị thành niên Việt Nam: Bằng chứng từ nghiên cứu cắt ngang đa trung tâm trên 2.631 học sinh THPT</w:t>
      </w:r>
    </w:p>
    <w:p>
      <w:r>
        <w:rPr>
          <w:rFonts w:ascii="Times New Roman" w:hAnsi="Times New Roman"/>
          <w:i/>
          <w:sz w:val="26"/>
        </w:rPr>
        <w:t>Unmasking the burden of mental health symptoms and risk behaviors in Vietnamese adolescents: evidence from a multicenter cross-sectional study involving 2,631 high school students</w:t>
      </w:r>
    </w:p>
    <w:p>
      <w:pPr>
        <w:pStyle w:val="Heading2"/>
      </w:pPr>
      <w:r>
        <w:rPr>
          <w:rFonts w:ascii="Times New Roman" w:hAnsi="Times New Roman"/>
          <w:color w:val="000000"/>
        </w:rPr>
        <w:t>THÔNG TIN THƯ MỤC</w:t>
      </w:r>
    </w:p>
    <w:tbl>
      <w:tblPr>
        <w:tblStyle w:val="TableGrid"/>
        <w:tblW w:type="auto" w:w="0"/>
        <w:jc w:val="center"/>
        <w:tblLook w:firstColumn="1" w:firstRow="1" w:lastColumn="0" w:lastRow="0" w:noHBand="0" w:noVBand="1" w:val="04A0"/>
        <w:tblLayout w:type="fixed"/>
      </w:tblPr>
      <w:tblGrid>
        <w:gridCol w:w="1984"/>
        <w:gridCol w:w="6804"/>
      </w:tblGrid>
      <w:tr>
        <w:tc>
          <w:tcPr>
            <w:tcW w:w="1984" w:type="dxa"/>
            <w:shd w:fill="D9E2F3" w:val="clear"/>
          </w:tcPr>
          <w:p>
            <w:pPr>
              <w:jc w:val="center"/>
            </w:pPr>
            <w:r>
              <w:rPr>
                <w:rFonts w:ascii="Times New Roman" w:hAnsi="Times New Roman"/>
                <w:b/>
                <w:sz w:val="20"/>
              </w:rPr>
              <w:t>Mục</w:t>
            </w:r>
          </w:p>
        </w:tc>
        <w:tc>
          <w:tcPr>
            <w:tcW w:w="6804" w:type="dxa"/>
            <w:shd w:fill="D9E2F3" w:val="clear"/>
          </w:tcPr>
          <w:p>
            <w:pPr>
              <w:jc w:val="center"/>
            </w:pPr>
            <w:r>
              <w:rPr>
                <w:rFonts w:ascii="Times New Roman" w:hAnsi="Times New Roman"/>
                <w:b/>
                <w:sz w:val="20"/>
              </w:rPr>
              <w:t>Chi tiết</w:t>
            </w:r>
          </w:p>
        </w:tc>
      </w:tr>
      <w:tr>
        <w:tc>
          <w:tcPr>
            <w:tcW w:w="1984" w:type="dxa"/>
          </w:tcPr>
          <w:p>
            <w:r>
              <w:rPr>
                <w:rFonts w:ascii="Times New Roman" w:hAnsi="Times New Roman"/>
                <w:sz w:val="20"/>
              </w:rPr>
              <w:t>Tác giả</w:t>
            </w:r>
          </w:p>
        </w:tc>
        <w:tc>
          <w:tcPr>
            <w:tcW w:w="6804" w:type="dxa"/>
          </w:tcPr>
          <w:p>
            <w:r>
              <w:rPr>
                <w:rFonts w:ascii="Times New Roman" w:hAnsi="Times New Roman"/>
                <w:sz w:val="20"/>
              </w:rPr>
              <w:t>Truc Thanh Thai, Hong-Tuyet Vo Le, Trang Thi Nguyen, Ngon Van Dinh, Xuan Le Mai, Hoai-Thuong Thi Tran, Ngoc-Bich Thi Nguyen, Khanh-Ha Mai Huynh, Thu-An Thi Nguyen, Hy-Han Thi Bui, Minh Cuong Duong*</w:t>
            </w:r>
          </w:p>
        </w:tc>
      </w:tr>
      <w:tr>
        <w:tc>
          <w:tcPr>
            <w:tcW w:w="1984" w:type="dxa"/>
          </w:tcPr>
          <w:p>
            <w:r>
              <w:rPr>
                <w:rFonts w:ascii="Times New Roman" w:hAnsi="Times New Roman"/>
                <w:sz w:val="20"/>
              </w:rPr>
              <w:t>Cơ quan</w:t>
            </w:r>
          </w:p>
        </w:tc>
        <w:tc>
          <w:tcPr>
            <w:tcW w:w="6804" w:type="dxa"/>
          </w:tcPr>
          <w:p>
            <w:r>
              <w:rPr>
                <w:rFonts w:ascii="Times New Roman" w:hAnsi="Times New Roman"/>
                <w:sz w:val="20"/>
              </w:rPr>
              <w:t>(1) Khoa YTCC, ĐH Y Dược TPHCM, 217 Hồng Bàng, Q.5, TPHCM; (2) School of Population Health, UNSW Sydney, Úc</w:t>
            </w:r>
          </w:p>
        </w:tc>
      </w:tr>
      <w:tr>
        <w:tc>
          <w:tcPr>
            <w:tcW w:w="1984" w:type="dxa"/>
          </w:tcPr>
          <w:p>
            <w:r>
              <w:rPr>
                <w:rFonts w:ascii="Times New Roman" w:hAnsi="Times New Roman"/>
                <w:sz w:val="20"/>
              </w:rPr>
              <w:t>Tác giả liên hệ</w:t>
            </w:r>
          </w:p>
        </w:tc>
        <w:tc>
          <w:tcPr>
            <w:tcW w:w="6804" w:type="dxa"/>
          </w:tcPr>
          <w:p>
            <w:r>
              <w:rPr>
                <w:rFonts w:ascii="Times New Roman" w:hAnsi="Times New Roman"/>
                <w:sz w:val="20"/>
              </w:rPr>
              <w:t>Minh Cuong Duong — minh.duong@unsw.edu.au; Truc Thanh Thai — thaithanhtruc@ump.edu.vn</w:t>
            </w:r>
          </w:p>
        </w:tc>
      </w:tr>
      <w:tr>
        <w:tc>
          <w:tcPr>
            <w:tcW w:w="1984" w:type="dxa"/>
          </w:tcPr>
          <w:p>
            <w:r>
              <w:rPr>
                <w:rFonts w:ascii="Times New Roman" w:hAnsi="Times New Roman"/>
                <w:sz w:val="20"/>
              </w:rPr>
              <w:t>Tạp chí</w:t>
            </w:r>
          </w:p>
        </w:tc>
        <w:tc>
          <w:tcPr>
            <w:tcW w:w="6804" w:type="dxa"/>
          </w:tcPr>
          <w:p>
            <w:r>
              <w:rPr>
                <w:rFonts w:ascii="Times New Roman" w:hAnsi="Times New Roman"/>
                <w:sz w:val="20"/>
              </w:rPr>
              <w:t>Social Psychiatry and Psychiatric Epidemiology (Q1, IF ≈ 4,5) — Springer</w:t>
            </w:r>
          </w:p>
        </w:tc>
      </w:tr>
      <w:tr>
        <w:tc>
          <w:tcPr>
            <w:tcW w:w="1984" w:type="dxa"/>
          </w:tcPr>
          <w:p>
            <w:r>
              <w:rPr>
                <w:rFonts w:ascii="Times New Roman" w:hAnsi="Times New Roman"/>
                <w:sz w:val="20"/>
              </w:rPr>
              <w:t>Năm</w:t>
            </w:r>
          </w:p>
        </w:tc>
        <w:tc>
          <w:tcPr>
            <w:tcW w:w="6804" w:type="dxa"/>
          </w:tcPr>
          <w:p>
            <w:r>
              <w:rPr>
                <w:rFonts w:ascii="Times New Roman" w:hAnsi="Times New Roman"/>
                <w:sz w:val="20"/>
              </w:rPr>
              <w:t>2025/2026 (online © The Author(s) 2026)</w:t>
            </w:r>
          </w:p>
        </w:tc>
      </w:tr>
      <w:tr>
        <w:tc>
          <w:tcPr>
            <w:tcW w:w="1984" w:type="dxa"/>
          </w:tcPr>
          <w:p>
            <w:r>
              <w:rPr>
                <w:rFonts w:ascii="Times New Roman" w:hAnsi="Times New Roman"/>
                <w:sz w:val="20"/>
              </w:rPr>
              <w:t>DOI</w:t>
            </w:r>
          </w:p>
        </w:tc>
        <w:tc>
          <w:tcPr>
            <w:tcW w:w="6804" w:type="dxa"/>
          </w:tcPr>
          <w:p>
            <w:r>
              <w:rPr>
                <w:rFonts w:ascii="Times New Roman" w:hAnsi="Times New Roman"/>
                <w:sz w:val="20"/>
              </w:rPr>
              <w:t>10.1007/s00127-025-03043-7</w:t>
            </w:r>
          </w:p>
        </w:tc>
      </w:tr>
      <w:tr>
        <w:tc>
          <w:tcPr>
            <w:tcW w:w="1984" w:type="dxa"/>
          </w:tcPr>
          <w:p>
            <w:r>
              <w:rPr>
                <w:rFonts w:ascii="Times New Roman" w:hAnsi="Times New Roman"/>
                <w:sz w:val="20"/>
              </w:rPr>
              <w:t>Loại NC</w:t>
            </w:r>
          </w:p>
        </w:tc>
        <w:tc>
          <w:tcPr>
            <w:tcW w:w="6804" w:type="dxa"/>
          </w:tcPr>
          <w:p>
            <w:r>
              <w:rPr>
                <w:rFonts w:ascii="Times New Roman" w:hAnsi="Times New Roman"/>
                <w:sz w:val="20"/>
              </w:rPr>
              <w:t>Cắt ngang đa trung tâm (multicenter cross-sectional)</w:t>
            </w:r>
          </w:p>
        </w:tc>
      </w:tr>
      <w:tr>
        <w:tc>
          <w:tcPr>
            <w:tcW w:w="1984" w:type="dxa"/>
          </w:tcPr>
          <w:p>
            <w:r>
              <w:rPr>
                <w:rFonts w:ascii="Times New Roman" w:hAnsi="Times New Roman"/>
                <w:sz w:val="20"/>
              </w:rPr>
              <w:t>Mẫu</w:t>
            </w:r>
          </w:p>
        </w:tc>
        <w:tc>
          <w:tcPr>
            <w:tcW w:w="6804" w:type="dxa"/>
          </w:tcPr>
          <w:p>
            <w:r>
              <w:rPr>
                <w:rFonts w:ascii="Times New Roman" w:hAnsi="Times New Roman"/>
                <w:sz w:val="20"/>
              </w:rPr>
              <w:t>3.025 học sinh phát phiếu → 2.631 hợp lệ phân tích</w:t>
            </w:r>
          </w:p>
        </w:tc>
      </w:tr>
      <w:tr>
        <w:tc>
          <w:tcPr>
            <w:tcW w:w="1984" w:type="dxa"/>
          </w:tcPr>
          <w:p>
            <w:r>
              <w:rPr>
                <w:rFonts w:ascii="Times New Roman" w:hAnsi="Times New Roman"/>
                <w:sz w:val="20"/>
              </w:rPr>
              <w:t>Địa bàn</w:t>
            </w:r>
          </w:p>
        </w:tc>
        <w:tc>
          <w:tcPr>
            <w:tcW w:w="6804" w:type="dxa"/>
          </w:tcPr>
          <w:p>
            <w:r>
              <w:rPr>
                <w:rFonts w:ascii="Times New Roman" w:hAnsi="Times New Roman"/>
                <w:sz w:val="20"/>
              </w:rPr>
              <w:t>4 trường THPT + 4 Trung tâm Giáo dục thường xuyên (GDTX) tại TPHCM</w:t>
            </w:r>
          </w:p>
        </w:tc>
      </w:tr>
      <w:tr>
        <w:tc>
          <w:tcPr>
            <w:tcW w:w="1984" w:type="dxa"/>
          </w:tcPr>
          <w:p>
            <w:r>
              <w:rPr>
                <w:rFonts w:ascii="Times New Roman" w:hAnsi="Times New Roman"/>
                <w:sz w:val="20"/>
              </w:rPr>
              <w:t>Công cụ</w:t>
            </w:r>
          </w:p>
        </w:tc>
        <w:tc>
          <w:tcPr>
            <w:tcW w:w="6804" w:type="dxa"/>
          </w:tcPr>
          <w:p>
            <w:r>
              <w:rPr>
                <w:rFonts w:ascii="Times New Roman" w:hAnsi="Times New Roman"/>
                <w:sz w:val="20"/>
              </w:rPr>
              <w:t>DASS-21 (sàng lọc trầm cảm/lo âu/căng thẳng) + YBRS (Youth Behavior Risk Scale)</w:t>
            </w:r>
          </w:p>
        </w:tc>
      </w:tr>
      <w:tr>
        <w:tc>
          <w:tcPr>
            <w:tcW w:w="1984" w:type="dxa"/>
          </w:tcPr>
          <w:p>
            <w:r>
              <w:rPr>
                <w:rFonts w:ascii="Times New Roman" w:hAnsi="Times New Roman"/>
                <w:sz w:val="20"/>
              </w:rPr>
              <w:t>Truy cập</w:t>
            </w:r>
          </w:p>
        </w:tc>
        <w:tc>
          <w:tcPr>
            <w:tcW w:w="6804" w:type="dxa"/>
          </w:tcPr>
          <w:p>
            <w:r>
              <w:rPr>
                <w:rFonts w:ascii="Times New Roman" w:hAnsi="Times New Roman"/>
                <w:sz w:val="20"/>
              </w:rPr>
              <w:t>Springer (kiểm tra Open Access)</w:t>
            </w:r>
          </w:p>
        </w:tc>
      </w:tr>
    </w:tbl>
    <w:p>
      <w:pPr>
        <w:pStyle w:val="Heading2"/>
      </w:pPr>
      <w:r>
        <w:rPr>
          <w:rFonts w:ascii="Times New Roman" w:hAnsi="Times New Roman"/>
          <w:color w:val="000000"/>
        </w:rPr>
        <w:t>TÓM TẮT</w:t>
      </w:r>
    </w:p>
    <w:p>
      <w:pPr>
        <w:jc w:val="both"/>
      </w:pPr>
      <w:r>
        <w:rPr>
          <w:rFonts w:ascii="Times New Roman" w:hAnsi="Times New Roman"/>
          <w:b w:val="0"/>
          <w:i w:val="0"/>
          <w:sz w:val="24"/>
        </w:rPr>
        <w:t>Bối cảnh: Vị thành niên thường gặp triệu chứng rối loạn tâm thần (SOMD) và tham gia vào các hành vi nguy cơ sức khoẻ (HRB) — cả hai đều là gánh nặng lớn về tử vong và tàn tật toàn cầu. Tuy nhiên, dữ liệu về vấn đề này còn hạn chế ở các nước thu nhập thấp – trung bình (LMIC), bao gồm Việt Nam. NC này nhằm ước tính tỷ lệ SOMD và HRB và xem xét mối quan hệ giữa chúng ở học sinh THPT Việt Nam.</w:t>
      </w:r>
    </w:p>
    <w:p>
      <w:pPr>
        <w:jc w:val="both"/>
      </w:pPr>
      <w:r>
        <w:rPr>
          <w:rFonts w:ascii="Times New Roman" w:hAnsi="Times New Roman"/>
          <w:b w:val="0"/>
          <w:i w:val="0"/>
          <w:sz w:val="24"/>
        </w:rPr>
        <w:t>Phương pháp: Khảo sát cắt ngang trên 3.025 học sinh từ 4 trường THPT và 4 trung tâm giáo dục thường xuyên (GDTX) tại TPHCM. Người tham gia hoàn thành bộ câu hỏi tự điền gồm thông tin nhân khẩu, HRB (sử dụng thang YBRS) và SOMD (sử dụng thang sàng lọc DASS-21). Đánh giá SOMD tập trung vào triệu chứng trầm cảm, lo âu, căng thẳng (không phải chẩn đoán lâm sàng). HRB bao phủ: sử dụng chất, hành vi nguy cơ, đánh nhau, ý nghĩ tự tử, hành vi tình dục không an toàn, ăn uống không lành mạnh, ít vận động, thiếu ngủ.</w:t>
      </w:r>
    </w:p>
    <w:p>
      <w:pPr>
        <w:jc w:val="both"/>
      </w:pPr>
      <w:r>
        <w:rPr>
          <w:rFonts w:ascii="Times New Roman" w:hAnsi="Times New Roman"/>
          <w:b w:val="0"/>
          <w:i w:val="0"/>
          <w:sz w:val="24"/>
        </w:rPr>
        <w:t>Kết quả: 2.631 học sinh được đưa vào phân tích cuối cùng. Tỷ lệ triệu chứng:</w:t>
      </w:r>
    </w:p>
    <w:tbl>
      <w:tblPr>
        <w:tblStyle w:val="TableGrid"/>
        <w:tblW w:type="auto" w:w="0"/>
        <w:jc w:val="center"/>
        <w:tblLook w:firstColumn="1" w:firstRow="1" w:lastColumn="0" w:lastRow="0" w:noHBand="0" w:noVBand="1" w:val="04A0"/>
        <w:tblLayout w:type="fixed"/>
      </w:tblPr>
      <w:tblGrid>
        <w:gridCol w:w="3402"/>
        <w:gridCol w:w="1701"/>
        <w:gridCol w:w="3685"/>
      </w:tblGrid>
      <w:tr>
        <w:tc>
          <w:tcPr>
            <w:tcW w:w="3402" w:type="dxa"/>
            <w:shd w:fill="D9E2F3" w:val="clear"/>
          </w:tcPr>
          <w:p>
            <w:pPr>
              <w:jc w:val="center"/>
            </w:pPr>
            <w:r>
              <w:rPr>
                <w:rFonts w:ascii="Times New Roman" w:hAnsi="Times New Roman"/>
                <w:b/>
                <w:sz w:val="20"/>
              </w:rPr>
              <w:t>Triệu chứng</w:t>
            </w:r>
          </w:p>
        </w:tc>
        <w:tc>
          <w:tcPr>
            <w:tcW w:w="1701" w:type="dxa"/>
            <w:shd w:fill="D9E2F3" w:val="clear"/>
          </w:tcPr>
          <w:p>
            <w:pPr>
              <w:jc w:val="center"/>
            </w:pPr>
            <w:r>
              <w:rPr>
                <w:rFonts w:ascii="Times New Roman" w:hAnsi="Times New Roman"/>
                <w:b/>
                <w:sz w:val="20"/>
              </w:rPr>
              <w:t>Tỷ lệ</w:t>
            </w:r>
          </w:p>
        </w:tc>
        <w:tc>
          <w:tcPr>
            <w:tcW w:w="3685" w:type="dxa"/>
            <w:shd w:fill="D9E2F3" w:val="clear"/>
          </w:tcPr>
          <w:p>
            <w:pPr>
              <w:jc w:val="center"/>
            </w:pPr>
            <w:r>
              <w:rPr>
                <w:rFonts w:ascii="Times New Roman" w:hAnsi="Times New Roman"/>
                <w:b/>
                <w:sz w:val="20"/>
              </w:rPr>
              <w:t>Ghi chú</w:t>
            </w:r>
          </w:p>
        </w:tc>
      </w:tr>
      <w:tr>
        <w:tc>
          <w:tcPr>
            <w:tcW w:w="3402" w:type="dxa"/>
          </w:tcPr>
          <w:p>
            <w:r>
              <w:rPr>
                <w:rFonts w:ascii="Times New Roman" w:hAnsi="Times New Roman"/>
                <w:sz w:val="20"/>
              </w:rPr>
              <w:t>Trầm cảm</w:t>
            </w:r>
          </w:p>
        </w:tc>
        <w:tc>
          <w:tcPr>
            <w:tcW w:w="1701" w:type="dxa"/>
          </w:tcPr>
          <w:p>
            <w:r>
              <w:rPr>
                <w:rFonts w:ascii="Times New Roman" w:hAnsi="Times New Roman"/>
                <w:sz w:val="20"/>
              </w:rPr>
              <w:t>42,6 %</w:t>
            </w:r>
          </w:p>
        </w:tc>
        <w:tc>
          <w:tcPr>
            <w:tcW w:w="3685" w:type="dxa"/>
          </w:tcPr>
          <w:p>
            <w:r>
              <w:rPr>
                <w:rFonts w:ascii="Times New Roman" w:hAnsi="Times New Roman"/>
                <w:sz w:val="20"/>
              </w:rPr>
              <w:t>Cao</w:t>
            </w:r>
          </w:p>
        </w:tc>
      </w:tr>
      <w:tr>
        <w:tc>
          <w:tcPr>
            <w:tcW w:w="3402" w:type="dxa"/>
          </w:tcPr>
          <w:p>
            <w:r>
              <w:rPr>
                <w:rFonts w:ascii="Times New Roman" w:hAnsi="Times New Roman"/>
                <w:sz w:val="20"/>
              </w:rPr>
              <w:t>LO ÂU</w:t>
            </w:r>
          </w:p>
        </w:tc>
        <w:tc>
          <w:tcPr>
            <w:tcW w:w="1701" w:type="dxa"/>
          </w:tcPr>
          <w:p>
            <w:r>
              <w:rPr>
                <w:rFonts w:ascii="Times New Roman" w:hAnsi="Times New Roman"/>
                <w:sz w:val="20"/>
              </w:rPr>
              <w:t>50,3 %</w:t>
            </w:r>
          </w:p>
        </w:tc>
        <w:tc>
          <w:tcPr>
            <w:tcW w:w="3685" w:type="dxa"/>
          </w:tcPr>
          <w:p>
            <w:r>
              <w:rPr>
                <w:rFonts w:ascii="Times New Roman" w:hAnsi="Times New Roman"/>
                <w:sz w:val="20"/>
              </w:rPr>
              <w:t>Cao nhất</w:t>
            </w:r>
          </w:p>
        </w:tc>
      </w:tr>
      <w:tr>
        <w:tc>
          <w:tcPr>
            <w:tcW w:w="3402" w:type="dxa"/>
          </w:tcPr>
          <w:p>
            <w:r>
              <w:rPr>
                <w:rFonts w:ascii="Times New Roman" w:hAnsi="Times New Roman"/>
                <w:sz w:val="20"/>
              </w:rPr>
              <w:t>Căng thẳng</w:t>
            </w:r>
          </w:p>
        </w:tc>
        <w:tc>
          <w:tcPr>
            <w:tcW w:w="1701" w:type="dxa"/>
          </w:tcPr>
          <w:p>
            <w:r>
              <w:rPr>
                <w:rFonts w:ascii="Times New Roman" w:hAnsi="Times New Roman"/>
                <w:sz w:val="20"/>
              </w:rPr>
              <w:t>31,1 %</w:t>
            </w:r>
          </w:p>
        </w:tc>
        <w:tc>
          <w:tcPr>
            <w:tcW w:w="3685" w:type="dxa"/>
          </w:tcPr>
          <w:p>
            <w:r>
              <w:rPr>
                <w:rFonts w:ascii="Times New Roman" w:hAnsi="Times New Roman"/>
                <w:sz w:val="20"/>
              </w:rPr>
              <w:t>—</w:t>
            </w:r>
          </w:p>
        </w:tc>
      </w:tr>
      <w:tr>
        <w:tc>
          <w:tcPr>
            <w:tcW w:w="3402" w:type="dxa"/>
          </w:tcPr>
          <w:p>
            <w:r>
              <w:rPr>
                <w:rFonts w:ascii="Times New Roman" w:hAnsi="Times New Roman"/>
                <w:sz w:val="20"/>
              </w:rPr>
              <w:t>Hành vi nguy cơ thấp nhất</w:t>
            </w:r>
          </w:p>
        </w:tc>
        <w:tc>
          <w:tcPr>
            <w:tcW w:w="1701" w:type="dxa"/>
          </w:tcPr>
          <w:p>
            <w:r>
              <w:rPr>
                <w:rFonts w:ascii="Times New Roman" w:hAnsi="Times New Roman"/>
                <w:sz w:val="20"/>
              </w:rPr>
              <w:t>4,0 %</w:t>
            </w:r>
          </w:p>
        </w:tc>
        <w:tc>
          <w:tcPr>
            <w:tcW w:w="3685" w:type="dxa"/>
          </w:tcPr>
          <w:p>
            <w:r>
              <w:rPr>
                <w:rFonts w:ascii="Times New Roman" w:hAnsi="Times New Roman"/>
                <w:sz w:val="20"/>
              </w:rPr>
              <w:t>Quan hệ tình dục không an toàn</w:t>
            </w:r>
          </w:p>
        </w:tc>
      </w:tr>
      <w:tr>
        <w:tc>
          <w:tcPr>
            <w:tcW w:w="3402" w:type="dxa"/>
          </w:tcPr>
          <w:p>
            <w:r>
              <w:rPr>
                <w:rFonts w:ascii="Times New Roman" w:hAnsi="Times New Roman"/>
                <w:sz w:val="20"/>
              </w:rPr>
              <w:t>Hành vi nguy cơ cao nhất</w:t>
            </w:r>
          </w:p>
        </w:tc>
        <w:tc>
          <w:tcPr>
            <w:tcW w:w="1701" w:type="dxa"/>
          </w:tcPr>
          <w:p>
            <w:r>
              <w:rPr>
                <w:rFonts w:ascii="Times New Roman" w:hAnsi="Times New Roman"/>
                <w:sz w:val="20"/>
              </w:rPr>
              <w:t>79,9 %</w:t>
            </w:r>
          </w:p>
        </w:tc>
        <w:tc>
          <w:tcPr>
            <w:tcW w:w="3685" w:type="dxa"/>
          </w:tcPr>
          <w:p>
            <w:r>
              <w:rPr>
                <w:rFonts w:ascii="Times New Roman" w:hAnsi="Times New Roman"/>
                <w:sz w:val="20"/>
              </w:rPr>
              <w:t>Ít vận động thể chất</w:t>
            </w:r>
          </w:p>
        </w:tc>
      </w:tr>
      <w:tr>
        <w:tc>
          <w:tcPr>
            <w:tcW w:w="3402" w:type="dxa"/>
          </w:tcPr>
          <w:p>
            <w:r>
              <w:rPr>
                <w:rFonts w:ascii="Times New Roman" w:hAnsi="Times New Roman"/>
                <w:sz w:val="20"/>
              </w:rPr>
              <w:t>Đa hành vi nguy cơ (≥2 HRB)</w:t>
            </w:r>
          </w:p>
        </w:tc>
        <w:tc>
          <w:tcPr>
            <w:tcW w:w="1701" w:type="dxa"/>
          </w:tcPr>
          <w:p>
            <w:r>
              <w:rPr>
                <w:rFonts w:ascii="Times New Roman" w:hAnsi="Times New Roman"/>
                <w:sz w:val="20"/>
              </w:rPr>
              <w:t>91,6 %</w:t>
            </w:r>
          </w:p>
        </w:tc>
        <w:tc>
          <w:tcPr>
            <w:tcW w:w="3685" w:type="dxa"/>
          </w:tcPr>
          <w:p>
            <w:r>
              <w:rPr>
                <w:rFonts w:ascii="Times New Roman" w:hAnsi="Times New Roman"/>
                <w:sz w:val="20"/>
              </w:rPr>
              <w:t>GẦN TUYỆT ĐỐI</w:t>
            </w:r>
          </w:p>
        </w:tc>
      </w:tr>
    </w:tbl>
    <w:p>
      <w:pPr>
        <w:jc w:val="both"/>
      </w:pPr>
      <w:r>
        <w:rPr>
          <w:rFonts w:ascii="Times New Roman" w:hAnsi="Times New Roman"/>
          <w:b w:val="0"/>
          <w:i w:val="0"/>
          <w:sz w:val="24"/>
        </w:rPr>
        <w:t>Học sinh có SOMD có xác suất tham gia HRB cao hơn đáng kể so với không có SOMD, với odds ratio dao động 1,24 đến 4,64.</w:t>
      </w:r>
    </w:p>
    <w:p>
      <w:pPr>
        <w:jc w:val="both"/>
      </w:pPr>
      <w:r>
        <w:rPr>
          <w:rFonts w:ascii="Times New Roman" w:hAnsi="Times New Roman"/>
          <w:b w:val="0"/>
          <w:i w:val="0"/>
          <w:sz w:val="24"/>
        </w:rPr>
        <w:t>Kết luận: SOMD và HRB là 2 thách thức KÉP và LIÊN KẾT ở vị thành niên Việt Nam — được nhấn mạnh bởi tỷ lệ rất cao. Phát hiện này nhấn mạnh nhu cầu cấp thiết cho các can thiệp TÍCH HỢP giải quyết đồng thời triệu chứng SKTT và hành vi nguy cơ, đặc biệt ở các bối cảnh LMIC nguồn lực hạn chế.</w:t>
      </w:r>
    </w:p>
    <w:p>
      <w:pPr>
        <w:pStyle w:val="Heading2"/>
      </w:pPr>
      <w:r>
        <w:rPr>
          <w:rFonts w:ascii="Times New Roman" w:hAnsi="Times New Roman"/>
          <w:color w:val="000000"/>
        </w:rPr>
        <w:t>BỐI CẢNH NGHIÊN CỨU</w:t>
      </w:r>
    </w:p>
    <w:p>
      <w:pPr>
        <w:jc w:val="both"/>
      </w:pPr>
      <w:r>
        <w:rPr>
          <w:rFonts w:ascii="Times New Roman" w:hAnsi="Times New Roman"/>
          <w:b w:val="0"/>
          <w:i w:val="0"/>
          <w:sz w:val="24"/>
        </w:rPr>
        <w:t>Việt Nam có 14 % dân số 97 triệu là vị thành niên. TPHCM là một trong 2 thành phố kinh tế-văn hoá-giáo dục hàng đầu, gồm 16 quận nội thành, 5 huyện ngoại thành và 1 thành phố vệ tinh (Thủ Đức). Hệ thống giáo dục Việt Nam chia làm nhiều cấp; THPT bao gồm lớp 10–12 với độ tuổi 15–18.</w:t>
      </w:r>
    </w:p>
    <w:p>
      <w:pPr>
        <w:jc w:val="both"/>
      </w:pPr>
      <w:r>
        <w:rPr>
          <w:rFonts w:ascii="Times New Roman" w:hAnsi="Times New Roman"/>
          <w:b w:val="0"/>
          <w:i w:val="0"/>
          <w:sz w:val="24"/>
        </w:rPr>
        <w:t>Đa số NC trước đây tại VN tập trung vào MỘT loại HRB hoặc một loại SOMD — nhưng trong thực tế các hành vi này LIÊN KẾT và đồng tồn tại. Theo lý thuyết hành vi vấn đề của Jessor, khi VTN tham gia nhiều hành vi nguy cơ là vì các hành vi đó liên kết và bị ảnh hưởng bởi môi trường. Tại Malaysia, &gt; 80 % VTN đồng thời tham gia ≥ 2 HRB. Tại Ghana (11–19 tuổi), 94,8 % tham gia nhiều HRB. Tại các nước thu nhập cao (Mỹ, UK, Hà Lan), 50–70 % tham gia ≥ 2 HRB.</w:t>
      </w:r>
    </w:p>
    <w:p>
      <w:pPr>
        <w:jc w:val="both"/>
      </w:pPr>
      <w:r>
        <w:rPr>
          <w:rFonts w:ascii="Times New Roman" w:hAnsi="Times New Roman"/>
          <w:b w:val="0"/>
          <w:i w:val="0"/>
          <w:sz w:val="24"/>
        </w:rPr>
        <w:t>Tại Việt Nam, một số sáng kiến hỗ trợ VTN đã được giới thiệu: Chương trình SK Học đường quốc gia, mở rộng dịch vụ tham vấn tâm lý học đường, các thí điểm can thiệp thúc đẩy SKTT trường học. Tuy nhiên, triển khai không đồng đều giữa các vùng, và thành phần SKTT thường chưa được tích hợp đầy đủ vào trường học.</w:t>
      </w:r>
    </w:p>
    <w:p>
      <w:pPr>
        <w:pStyle w:val="Heading2"/>
      </w:pPr>
      <w:r>
        <w:rPr>
          <w:rFonts w:ascii="Times New Roman" w:hAnsi="Times New Roman"/>
          <w:color w:val="000000"/>
        </w:rPr>
        <w:t>PHÁT HIỆN CHÍNH</w:t>
      </w:r>
    </w:p>
    <w:p>
      <w:pPr>
        <w:pStyle w:val="Heading3"/>
      </w:pPr>
      <w:r>
        <w:rPr>
          <w:rFonts w:ascii="Times New Roman" w:hAnsi="Times New Roman"/>
          <w:color w:val="000000"/>
        </w:rPr>
        <w:t>Tỷ lệ SOMD (DASS-21) — n = 2.631</w:t>
      </w:r>
    </w:p>
    <w:p>
      <w:pPr>
        <w:jc w:val="both"/>
      </w:pPr>
      <w:r>
        <w:rPr>
          <w:rFonts w:ascii="Times New Roman" w:hAnsi="Times New Roman"/>
          <w:b w:val="0"/>
          <w:i w:val="0"/>
          <w:sz w:val="24"/>
        </w:rPr>
        <w:t>• Trầm cảm 42,6 % | Lo âu 50,3 % | Căng thẳng 31,1 %</w:t>
      </w:r>
    </w:p>
    <w:p>
      <w:pPr>
        <w:jc w:val="both"/>
      </w:pPr>
      <w:r>
        <w:rPr>
          <w:rFonts w:ascii="Times New Roman" w:hAnsi="Times New Roman"/>
          <w:b w:val="0"/>
          <w:i w:val="0"/>
          <w:sz w:val="24"/>
        </w:rPr>
        <w:t>• Lo âu là triệu chứng phổ biến nhất — vượt cả trầm cảm.</w:t>
      </w:r>
    </w:p>
    <w:p>
      <w:pPr>
        <w:jc w:val="both"/>
      </w:pPr>
      <w:r>
        <w:rPr>
          <w:rFonts w:ascii="Times New Roman" w:hAnsi="Times New Roman"/>
          <w:b w:val="0"/>
          <w:i w:val="0"/>
          <w:sz w:val="24"/>
        </w:rPr>
        <w:t>• So với các nghiên cứu khác tại VN: phù hợp với Hoa 2024 Hà Nội (40,6 % GAD-7), Long An 2025 (57,2 %), Hải Phòng 2024 (39,3 %).</w:t>
      </w:r>
    </w:p>
    <w:p>
      <w:pPr>
        <w:pStyle w:val="Heading3"/>
      </w:pPr>
      <w:r>
        <w:rPr>
          <w:rFonts w:ascii="Times New Roman" w:hAnsi="Times New Roman"/>
          <w:color w:val="000000"/>
        </w:rPr>
        <w:t>Tỷ lệ HRB (YBRS)</w:t>
      </w:r>
    </w:p>
    <w:p>
      <w:pPr>
        <w:jc w:val="both"/>
      </w:pPr>
      <w:r>
        <w:rPr>
          <w:rFonts w:ascii="Times New Roman" w:hAnsi="Times New Roman"/>
          <w:b w:val="0"/>
          <w:i w:val="0"/>
          <w:sz w:val="24"/>
        </w:rPr>
        <w:t>• Ít vận động thể chất: 79,9 % (CAO NHẤT)</w:t>
      </w:r>
    </w:p>
    <w:p>
      <w:pPr>
        <w:jc w:val="both"/>
      </w:pPr>
      <w:r>
        <w:rPr>
          <w:rFonts w:ascii="Times New Roman" w:hAnsi="Times New Roman"/>
          <w:b w:val="0"/>
          <w:i w:val="0"/>
          <w:sz w:val="24"/>
        </w:rPr>
        <w:t>• Đa hành vi nguy cơ (≥ 2 HRB): 91,6 % (gần như tuyệt đối)</w:t>
      </w:r>
    </w:p>
    <w:p>
      <w:pPr>
        <w:jc w:val="both"/>
      </w:pPr>
      <w:r>
        <w:rPr>
          <w:rFonts w:ascii="Times New Roman" w:hAnsi="Times New Roman"/>
          <w:b w:val="0"/>
          <w:i w:val="0"/>
          <w:sz w:val="24"/>
        </w:rPr>
        <w:t>• Quan hệ tình dục không an toàn: 4,0 % (THẤP NHẤT)</w:t>
      </w:r>
    </w:p>
    <w:p>
      <w:pPr>
        <w:jc w:val="both"/>
      </w:pPr>
      <w:r>
        <w:rPr>
          <w:rFonts w:ascii="Times New Roman" w:hAnsi="Times New Roman"/>
          <w:b w:val="0"/>
          <w:i w:val="0"/>
          <w:sz w:val="24"/>
        </w:rPr>
        <w:t>• Các HRB khác (sử dụng chất, đánh nhau, ý nghĩ tự tử, ăn uống không lành mạnh, thiếu ngủ): dao động trong khoảng giữa.</w:t>
      </w:r>
    </w:p>
    <w:p>
      <w:pPr>
        <w:pStyle w:val="Heading3"/>
      </w:pPr>
      <w:r>
        <w:rPr>
          <w:rFonts w:ascii="Times New Roman" w:hAnsi="Times New Roman"/>
          <w:color w:val="000000"/>
        </w:rPr>
        <w:t>Mối liên hệ SOMD ↔ HRB</w:t>
      </w:r>
    </w:p>
    <w:p>
      <w:pPr>
        <w:jc w:val="both"/>
      </w:pPr>
      <w:r>
        <w:rPr>
          <w:rFonts w:ascii="Times New Roman" w:hAnsi="Times New Roman"/>
          <w:b w:val="0"/>
          <w:i w:val="0"/>
          <w:sz w:val="24"/>
        </w:rPr>
        <w:t>Học sinh có triệu chứng SOMD có nguy cơ tham gia HRB cao hơn 1,24 đến 4,64 lần so với học sinh không có SOMD. Cụ thể (theo abstract):</w:t>
      </w:r>
    </w:p>
    <w:p>
      <w:pPr>
        <w:jc w:val="both"/>
      </w:pPr>
      <w:r>
        <w:rPr>
          <w:rFonts w:ascii="Times New Roman" w:hAnsi="Times New Roman"/>
          <w:b w:val="0"/>
          <w:i w:val="0"/>
          <w:sz w:val="24"/>
        </w:rPr>
        <w:t>• Trầm cảm + lo âu + căng thẳng đều liên quan đến hầu hết các HRB.</w:t>
      </w:r>
    </w:p>
    <w:p>
      <w:pPr>
        <w:jc w:val="both"/>
      </w:pPr>
      <w:r>
        <w:rPr>
          <w:rFonts w:ascii="Times New Roman" w:hAnsi="Times New Roman"/>
          <w:b w:val="0"/>
          <w:i w:val="0"/>
          <w:sz w:val="24"/>
        </w:rPr>
        <w:t>• OR cao nhất 4,64 — mối liên hệ rất mạnh.</w:t>
      </w:r>
    </w:p>
    <w:p>
      <w:pPr>
        <w:jc w:val="both"/>
      </w:pPr>
      <w:r>
        <w:rPr>
          <w:rFonts w:ascii="Times New Roman" w:hAnsi="Times New Roman"/>
          <w:b w:val="0"/>
          <w:i w:val="0"/>
          <w:sz w:val="24"/>
        </w:rPr>
        <w:t>• OR thấp nhất 1,24 — mối liên hệ yếu hơn nhưng vẫn có ý nghĩa.</w:t>
      </w:r>
    </w:p>
    <w:p>
      <w:pPr>
        <w:pStyle w:val="Heading2"/>
      </w:pPr>
      <w:r>
        <w:rPr>
          <w:rFonts w:ascii="Times New Roman" w:hAnsi="Times New Roman"/>
          <w:color w:val="000000"/>
        </w:rPr>
        <w:t>QUAN ĐIỂM PHẢN BIỆN</w:t>
      </w:r>
    </w:p>
    <w:p>
      <w:pPr>
        <w:jc w:val="both"/>
      </w:pPr>
      <w:r>
        <w:rPr>
          <w:rFonts w:ascii="Times New Roman" w:hAnsi="Times New Roman"/>
          <w:b/>
          <w:i w:val="0"/>
          <w:color w:val="CC0000"/>
          <w:sz w:val="24"/>
        </w:rPr>
        <w:t>Điểm mạnh:</w:t>
      </w:r>
    </w:p>
    <w:p>
      <w:pPr>
        <w:jc w:val="both"/>
      </w:pPr>
      <w:r>
        <w:rPr>
          <w:rFonts w:ascii="Times New Roman" w:hAnsi="Times New Roman"/>
          <w:b w:val="0"/>
          <w:i w:val="0"/>
          <w:color w:val="CC0000"/>
          <w:sz w:val="24"/>
        </w:rPr>
        <w:t>• Tạp chí Q1 — Social Psychiatry and Psychiatric Epidemiology (Springer, IF ≈ 4,5).</w:t>
      </w:r>
    </w:p>
    <w:p>
      <w:pPr>
        <w:jc w:val="both"/>
      </w:pPr>
      <w:r>
        <w:rPr>
          <w:rFonts w:ascii="Times New Roman" w:hAnsi="Times New Roman"/>
          <w:b w:val="0"/>
          <w:i w:val="0"/>
          <w:color w:val="CC0000"/>
          <w:sz w:val="24"/>
        </w:rPr>
        <w:t>• Cỡ mẫu RẤT LỚN — n = 2.631 sau làm sạch (3.025 phát phiếu) — thuộc nhóm lớn nhất tại VN cho NC SKTT VTN.</w:t>
      </w:r>
    </w:p>
    <w:p>
      <w:pPr>
        <w:jc w:val="both"/>
      </w:pPr>
      <w:r>
        <w:rPr>
          <w:rFonts w:ascii="Times New Roman" w:hAnsi="Times New Roman"/>
          <w:b w:val="0"/>
          <w:i w:val="0"/>
          <w:color w:val="CC0000"/>
          <w:sz w:val="24"/>
        </w:rPr>
        <w:t>• ĐA TRUNG TÂM — 4 trường THPT + 4 trung tâm GDTX — bao phủ cả học sinh chính quy lẫn giáo dục thường xuyên (đối tượng dễ bị bỏ qua).</w:t>
      </w:r>
    </w:p>
    <w:p>
      <w:pPr>
        <w:jc w:val="both"/>
      </w:pPr>
      <w:r>
        <w:rPr>
          <w:rFonts w:ascii="Times New Roman" w:hAnsi="Times New Roman"/>
          <w:b w:val="0"/>
          <w:i w:val="0"/>
          <w:color w:val="CC0000"/>
          <w:sz w:val="24"/>
        </w:rPr>
        <w:t>• ĐO ĐỒNG THỜI SOMD và HRB — lấp khoảng trống lớn trong nghiên cứu VN (đa số NC trước chỉ đo 1 loại).</w:t>
      </w:r>
    </w:p>
    <w:p>
      <w:pPr>
        <w:jc w:val="both"/>
      </w:pPr>
      <w:r>
        <w:rPr>
          <w:rFonts w:ascii="Times New Roman" w:hAnsi="Times New Roman"/>
          <w:b w:val="0"/>
          <w:i w:val="0"/>
          <w:color w:val="CC0000"/>
          <w:sz w:val="24"/>
        </w:rPr>
        <w:t>• Sử dụng DASS-21 + YBRS — 2 công cụ tin cậy quốc tế.</w:t>
      </w:r>
    </w:p>
    <w:p>
      <w:pPr>
        <w:jc w:val="both"/>
      </w:pPr>
      <w:r>
        <w:rPr>
          <w:rFonts w:ascii="Times New Roman" w:hAnsi="Times New Roman"/>
          <w:b w:val="0"/>
          <w:i w:val="0"/>
          <w:color w:val="CC0000"/>
          <w:sz w:val="24"/>
        </w:rPr>
        <w:t>• Khung lý thuyết Jessor (Problem Behavior Theory) + self-medication hypothesis — phân tích cơ chế.</w:t>
      </w:r>
    </w:p>
    <w:p>
      <w:pPr>
        <w:jc w:val="both"/>
      </w:pPr>
      <w:r>
        <w:rPr>
          <w:rFonts w:ascii="Times New Roman" w:hAnsi="Times New Roman"/>
          <w:b w:val="0"/>
          <w:i w:val="0"/>
          <w:color w:val="CC0000"/>
          <w:sz w:val="24"/>
        </w:rPr>
        <w:t>• Tỷ lệ lo âu 50,3 % — nhất quán với các NC VN khác (40–57 %), củng cố "baseline lo âu VTN châu Á" 40–55 %.</w:t>
      </w:r>
    </w:p>
    <w:p>
      <w:pPr>
        <w:jc w:val="both"/>
      </w:pPr>
      <w:r>
        <w:rPr>
          <w:rFonts w:ascii="Times New Roman" w:hAnsi="Times New Roman"/>
          <w:b w:val="0"/>
          <w:i w:val="0"/>
          <w:color w:val="CC0000"/>
          <w:sz w:val="24"/>
        </w:rPr>
        <w:t>• Đa hành vi nguy cơ 91,6 % — phát hiện CHẤN ĐỘNG, gợi ý cần can thiệp tích hợp đa thành phần.</w:t>
      </w:r>
    </w:p>
    <w:p>
      <w:pPr>
        <w:jc w:val="both"/>
      </w:pPr>
      <w:r>
        <w:rPr>
          <w:rFonts w:ascii="Times New Roman" w:hAnsi="Times New Roman"/>
          <w:b/>
          <w:i w:val="0"/>
          <w:color w:val="CC0000"/>
          <w:sz w:val="24"/>
        </w:rPr>
        <w:t>Hạn chế:</w:t>
      </w:r>
    </w:p>
    <w:p>
      <w:pPr>
        <w:jc w:val="both"/>
      </w:pPr>
      <w:r>
        <w:rPr>
          <w:rFonts w:ascii="Times New Roman" w:hAnsi="Times New Roman"/>
          <w:b w:val="0"/>
          <w:i w:val="0"/>
          <w:color w:val="CC0000"/>
          <w:sz w:val="24"/>
        </w:rPr>
        <w:t>• Cắt ngang — không thể kết luận chiều nhân quả (SOMD → HRB hay HRB → SOMD?).</w:t>
      </w:r>
    </w:p>
    <w:p>
      <w:pPr>
        <w:jc w:val="both"/>
      </w:pPr>
      <w:r>
        <w:rPr>
          <w:rFonts w:ascii="Times New Roman" w:hAnsi="Times New Roman"/>
          <w:b w:val="0"/>
          <w:i w:val="0"/>
          <w:color w:val="CC0000"/>
          <w:sz w:val="24"/>
        </w:rPr>
        <w:t>• Chỉ TPHCM — không đại diện toàn VN. Không bao gồm các vùng nông thôn, miền núi, dân tộc thiểu số.</w:t>
      </w:r>
    </w:p>
    <w:p>
      <w:pPr>
        <w:jc w:val="both"/>
      </w:pPr>
      <w:r>
        <w:rPr>
          <w:rFonts w:ascii="Times New Roman" w:hAnsi="Times New Roman"/>
          <w:b w:val="0"/>
          <w:i w:val="0"/>
          <w:color w:val="CC0000"/>
          <w:sz w:val="24"/>
        </w:rPr>
        <w:t>• Tự báo cáo HRB → có thể có thiên lệch xã hội (social desirability bias) — đặc biệt với câu hỏi nhạy cảm như sử dụng chất, quan hệ tình dục, ý nghĩ tự tử.</w:t>
      </w:r>
    </w:p>
    <w:p>
      <w:pPr>
        <w:jc w:val="both"/>
      </w:pPr>
      <w:r>
        <w:rPr>
          <w:rFonts w:ascii="Times New Roman" w:hAnsi="Times New Roman"/>
          <w:b w:val="0"/>
          <w:i w:val="0"/>
          <w:color w:val="CC0000"/>
          <w:sz w:val="24"/>
        </w:rPr>
        <w:t>• DASS-21 là sàng lọc, không phải chẩn đoán lâm sàng → có thể overestimate.</w:t>
      </w:r>
    </w:p>
    <w:p>
      <w:pPr>
        <w:jc w:val="both"/>
      </w:pPr>
      <w:r>
        <w:rPr>
          <w:rFonts w:ascii="Times New Roman" w:hAnsi="Times New Roman"/>
          <w:b w:val="0"/>
          <w:i w:val="0"/>
          <w:color w:val="CC0000"/>
          <w:sz w:val="24"/>
        </w:rPr>
        <w:t>• Mất 13 % mẫu (3.025 → 2.631) — cần kiểm tra missing data analysis.</w:t>
      </w:r>
    </w:p>
    <w:p>
      <w:pPr>
        <w:jc w:val="both"/>
      </w:pPr>
      <w:r>
        <w:rPr>
          <w:rFonts w:ascii="Times New Roman" w:hAnsi="Times New Roman"/>
          <w:b/>
          <w:i w:val="0"/>
          <w:sz w:val="24"/>
        </w:rPr>
        <w:t>Áp dụng cho đề tài VN:</w:t>
      </w:r>
    </w:p>
    <w:p>
      <w:pPr>
        <w:jc w:val="both"/>
      </w:pPr>
      <w:r>
        <w:rPr>
          <w:rFonts w:ascii="Times New Roman" w:hAnsi="Times New Roman"/>
          <w:b w:val="0"/>
          <w:i w:val="0"/>
          <w:sz w:val="24"/>
        </w:rPr>
        <w:t>• Đây là một trong các NC VN GIÁ TRỊ NHẤT về SOMD VTN — Q1 + cỡ mẫu lớn + đa trung tâm. Có thể trích dẫn làm nguồn baseline chính cho TPHCM.</w:t>
      </w:r>
    </w:p>
    <w:p>
      <w:pPr>
        <w:jc w:val="both"/>
      </w:pPr>
      <w:r>
        <w:rPr>
          <w:rFonts w:ascii="Times New Roman" w:hAnsi="Times New Roman"/>
          <w:b w:val="0"/>
          <w:i w:val="0"/>
          <w:sz w:val="24"/>
        </w:rPr>
        <w:t>• Phát hiện 91,6 % đa hành vi nguy cơ → can thiệp đề cương VN cần TÍCH HỢP nhiều mục tiêu (CBT + giáo dục sức khoẻ + thay đổi hành vi + hỗ trợ gia đình), không chỉ targeted vào lo âu đơn lẻ.</w:t>
      </w:r>
    </w:p>
    <w:p>
      <w:pPr>
        <w:jc w:val="both"/>
      </w:pPr>
      <w:r>
        <w:rPr>
          <w:rFonts w:ascii="Times New Roman" w:hAnsi="Times New Roman"/>
          <w:b w:val="0"/>
          <w:i w:val="0"/>
          <w:sz w:val="24"/>
        </w:rPr>
        <w:t>• OR 1,24–4,64 SOMD ↔ HRB → cơ chế tự dùng (self-medication) — phù hợp với phát hiện Zheng 2025 (MXH gián tiếp 63 % qua self-efficacy) và Dong 2025 (kênh giao tiếp gia đình OR = 0,22).</w:t>
      </w:r>
    </w:p>
    <w:p>
      <w:pPr>
        <w:jc w:val="both"/>
      </w:pPr>
      <w:r>
        <w:rPr>
          <w:rFonts w:ascii="Times New Roman" w:hAnsi="Times New Roman"/>
          <w:b w:val="0"/>
          <w:i w:val="0"/>
          <w:sz w:val="24"/>
        </w:rPr>
        <w:t>• Nên lặp lại tại Hà Nội + miền Bắc/Trung để có bức tranh toàn quốc.</w:t>
      </w:r>
    </w:p>
    <w:p>
      <w:pPr>
        <w:jc w:val="both"/>
      </w:pPr>
      <w:r>
        <w:rPr>
          <w:rFonts w:ascii="Times New Roman" w:hAnsi="Times New Roman"/>
          <w:b/>
          <w:i w:val="0"/>
          <w:sz w:val="24"/>
        </w:rPr>
        <w:t>Đánh giá: ⭐⭐⭐⭐⭐ Rất cao. Q1, mẫu lớn, đa trung tâm, đo đồng thời SOMD + HRB — bài VN tốt nhất hiện có cho dữ liệu VTN TPHCM hiện đại.</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