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val="0"/>
          <w:i w:val="0"/>
          <w:sz w:val="20"/>
        </w:rPr>
        <w:t>Link bài báo gốc: https://pmc.ncbi.nlm.nih.gov/articles/PMC10643236/</w:t>
      </w:r>
    </w:p>
    <w:p>
      <w:pPr>
        <w:jc w:val="both"/>
      </w:pPr>
      <w:r>
        <w:rPr>
          <w:rFonts w:ascii="Times New Roman" w:hAnsi="Times New Roman"/>
          <w:b w:val="0"/>
          <w:i/>
          <w:sz w:val="20"/>
        </w:rPr>
        <w:t>Open Access — Cambridge University Press</w:t>
      </w:r>
    </w:p>
    <w:p>
      <w:pPr>
        <w:pStyle w:val="Heading1"/>
      </w:pPr>
      <w:r>
        <w:rPr>
          <w:rFonts w:ascii="Times New Roman" w:hAnsi="Times New Roman"/>
          <w:color w:val="000000"/>
        </w:rPr>
        <w:t>HAPPY HOUSE — Can thiệp thúc đẩy sức khoẻ tâm thần phổ quát tại trường cho vị thành niên Việt Nam: Thử nghiệm đối chứng hai nhánh song song</w:t>
      </w:r>
    </w:p>
    <w:p>
      <w:r>
        <w:rPr>
          <w:rFonts w:ascii="Times New Roman" w:hAnsi="Times New Roman"/>
          <w:i/>
          <w:sz w:val="26"/>
        </w:rPr>
        <w:t>"School-based universal mental health promotion intervention for adolescents in Vietnam: Two-arm, parallel, controlled trial"</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Mục</w:t>
            </w:r>
          </w:p>
        </w:tc>
        <w:tc>
          <w:tcPr>
            <w:tcW w:w="6520" w:type="dxa"/>
            <w:shd w:fill="D9E2F3" w:val="clear"/>
          </w:tcPr>
          <w:p>
            <w:pPr>
              <w:jc w:val="center"/>
            </w:pPr>
            <w:r>
              <w:rPr>
                <w:rFonts w:ascii="Times New Roman" w:hAnsi="Times New Roman"/>
                <w:b/>
                <w:sz w:val="20"/>
              </w:rPr>
              <w:t>Chi tiết</w:t>
            </w:r>
          </w:p>
        </w:tc>
      </w:tr>
      <w:tr>
        <w:tc>
          <w:tcPr>
            <w:tcW w:w="2268" w:type="dxa"/>
          </w:tcPr>
          <w:p>
            <w:r>
              <w:rPr>
                <w:rFonts w:ascii="Times New Roman" w:hAnsi="Times New Roman"/>
                <w:sz w:val="20"/>
              </w:rPr>
              <w:t>Tác giả</w:t>
            </w:r>
          </w:p>
        </w:tc>
        <w:tc>
          <w:tcPr>
            <w:tcW w:w="6520" w:type="dxa"/>
          </w:tcPr>
          <w:p>
            <w:r>
              <w:rPr>
                <w:rFonts w:ascii="Times New Roman" w:hAnsi="Times New Roman"/>
                <w:sz w:val="20"/>
              </w:rPr>
              <w:t>Thach Duc Tran, Huong Nguyen, Ian Shochet, Nga Nguyen, Nga La, Astrid Wurfl, Jayne Orr, Hau Nguyen, Ruby Stocker, Jane Fisher</w:t>
            </w:r>
          </w:p>
        </w:tc>
      </w:tr>
      <w:tr>
        <w:tc>
          <w:tcPr>
            <w:tcW w:w="2268" w:type="dxa"/>
          </w:tcPr>
          <w:p>
            <w:r>
              <w:rPr>
                <w:rFonts w:ascii="Times New Roman" w:hAnsi="Times New Roman"/>
                <w:sz w:val="20"/>
              </w:rPr>
              <w:t>Đơn vị</w:t>
            </w:r>
          </w:p>
        </w:tc>
        <w:tc>
          <w:tcPr>
            <w:tcW w:w="6520" w:type="dxa"/>
          </w:tcPr>
          <w:p>
            <w:r>
              <w:rPr>
                <w:rFonts w:ascii="Times New Roman" w:hAnsi="Times New Roman"/>
                <w:sz w:val="20"/>
              </w:rPr>
              <w:t>Monash University (Melbourne, Úc); Hanoi University of Public Health (Hà Nội, VN); Queensland University of Technology (Brisbane, Úc)</w:t>
            </w:r>
          </w:p>
        </w:tc>
      </w:tr>
      <w:tr>
        <w:tc>
          <w:tcPr>
            <w:tcW w:w="2268" w:type="dxa"/>
          </w:tcPr>
          <w:p>
            <w:r>
              <w:rPr>
                <w:rFonts w:ascii="Times New Roman" w:hAnsi="Times New Roman"/>
                <w:sz w:val="20"/>
              </w:rPr>
              <w:t>Tạp chí</w:t>
            </w:r>
          </w:p>
        </w:tc>
        <w:tc>
          <w:tcPr>
            <w:tcW w:w="6520" w:type="dxa"/>
          </w:tcPr>
          <w:p>
            <w:r>
              <w:rPr>
                <w:rFonts w:ascii="Times New Roman" w:hAnsi="Times New Roman"/>
                <w:sz w:val="20"/>
              </w:rPr>
              <w:t>Cambridge Prisms: Global Mental Health, vol. 10, e58 (10/2023)</w:t>
            </w:r>
          </w:p>
        </w:tc>
      </w:tr>
      <w:tr>
        <w:tc>
          <w:tcPr>
            <w:tcW w:w="2268" w:type="dxa"/>
          </w:tcPr>
          <w:p>
            <w:r>
              <w:rPr>
                <w:rFonts w:ascii="Times New Roman" w:hAnsi="Times New Roman"/>
                <w:sz w:val="20"/>
              </w:rPr>
              <w:t>Link PMC</w:t>
            </w:r>
          </w:p>
        </w:tc>
        <w:tc>
          <w:tcPr>
            <w:tcW w:w="6520" w:type="dxa"/>
          </w:tcPr>
          <w:p>
            <w:r>
              <w:rPr>
                <w:rFonts w:ascii="Times New Roman" w:hAnsi="Times New Roman"/>
                <w:sz w:val="20"/>
              </w:rPr>
              <w:t>https://pmc.ncbi.nlm.nih.gov/articles/PMC10643236/</w:t>
            </w:r>
          </w:p>
        </w:tc>
      </w:tr>
      <w:tr>
        <w:tc>
          <w:tcPr>
            <w:tcW w:w="2268" w:type="dxa"/>
          </w:tcPr>
          <w:p>
            <w:r>
              <w:rPr>
                <w:rFonts w:ascii="Times New Roman" w:hAnsi="Times New Roman"/>
                <w:sz w:val="20"/>
              </w:rPr>
              <w:t>Đăng ký thử nghiệm</w:t>
            </w:r>
          </w:p>
        </w:tc>
        <w:tc>
          <w:tcPr>
            <w:tcW w:w="6520" w:type="dxa"/>
          </w:tcPr>
          <w:p>
            <w:r>
              <w:rPr>
                <w:rFonts w:ascii="Times New Roman" w:hAnsi="Times New Roman"/>
                <w:sz w:val="20"/>
              </w:rPr>
              <w:t>ACTRN12620000088943</w:t>
            </w:r>
          </w:p>
        </w:tc>
      </w:tr>
      <w:tr>
        <w:tc>
          <w:tcPr>
            <w:tcW w:w="2268" w:type="dxa"/>
          </w:tcPr>
          <w:p>
            <w:r>
              <w:rPr>
                <w:rFonts w:ascii="Times New Roman" w:hAnsi="Times New Roman"/>
                <w:sz w:val="20"/>
              </w:rPr>
              <w:t>Loại NC</w:t>
            </w:r>
          </w:p>
        </w:tc>
        <w:tc>
          <w:tcPr>
            <w:tcW w:w="6520" w:type="dxa"/>
          </w:tcPr>
          <w:p>
            <w:r>
              <w:rPr>
                <w:rFonts w:ascii="Times New Roman" w:hAnsi="Times New Roman"/>
                <w:sz w:val="20"/>
              </w:rPr>
              <w:t>Thử nghiệm đối chứng hai nhánh song song (cluster non-randomized)</w:t>
            </w:r>
          </w:p>
        </w:tc>
      </w:tr>
      <w:tr>
        <w:tc>
          <w:tcPr>
            <w:tcW w:w="2268" w:type="dxa"/>
          </w:tcPr>
          <w:p>
            <w:r>
              <w:rPr>
                <w:rFonts w:ascii="Times New Roman" w:hAnsi="Times New Roman"/>
                <w:sz w:val="20"/>
              </w:rPr>
              <w:t>Mẫu</w:t>
            </w:r>
          </w:p>
        </w:tc>
        <w:tc>
          <w:tcPr>
            <w:tcW w:w="6520" w:type="dxa"/>
          </w:tcPr>
          <w:p>
            <w:r>
              <w:rPr>
                <w:rFonts w:ascii="Times New Roman" w:hAnsi="Times New Roman"/>
                <w:sz w:val="20"/>
              </w:rPr>
              <w:t>1.084 HS lớp 10 (96,1 % tỷ lệ tham gia từ 1.128 HS đủ điều kiện); 531 can thiệp + 552 đối chứng; 8 trường THPT Hà Nội (4+4)</w:t>
            </w:r>
          </w:p>
        </w:tc>
      </w:tr>
      <w:tr>
        <w:tc>
          <w:tcPr>
            <w:tcW w:w="2268" w:type="dxa"/>
          </w:tcPr>
          <w:p>
            <w:r>
              <w:rPr>
                <w:rFonts w:ascii="Times New Roman" w:hAnsi="Times New Roman"/>
                <w:sz w:val="20"/>
              </w:rPr>
              <w:t>Tuổi</w:t>
            </w:r>
          </w:p>
        </w:tc>
        <w:tc>
          <w:tcPr>
            <w:tcW w:w="6520" w:type="dxa"/>
          </w:tcPr>
          <w:p>
            <w:r>
              <w:rPr>
                <w:rFonts w:ascii="Times New Roman" w:hAnsi="Times New Roman"/>
                <w:sz w:val="20"/>
              </w:rPr>
              <w:t>15–16 tuổi</w:t>
            </w:r>
          </w:p>
        </w:tc>
      </w:tr>
      <w:tr>
        <w:tc>
          <w:tcPr>
            <w:tcW w:w="2268" w:type="dxa"/>
          </w:tcPr>
          <w:p>
            <w:r>
              <w:rPr>
                <w:rFonts w:ascii="Times New Roman" w:hAnsi="Times New Roman"/>
                <w:sz w:val="20"/>
              </w:rPr>
              <w:t>Đặc điểm mẫu</w:t>
            </w:r>
          </w:p>
        </w:tc>
        <w:tc>
          <w:tcPr>
            <w:tcW w:w="6520" w:type="dxa"/>
          </w:tcPr>
          <w:p>
            <w:r>
              <w:rPr>
                <w:rFonts w:ascii="Times New Roman" w:hAnsi="Times New Roman"/>
                <w:sz w:val="20"/>
              </w:rPr>
              <w:t>Nữ 58,9 % (đối chứng) vs 62,3 % (can thiệp); đô thị ~50 %; sống cùng cả cha mẹ ~89 %; CESD-R ban đầu 11,4 ± 12,2 vs 12,0 ± 12,0 (p = 0,729)</w:t>
            </w:r>
          </w:p>
        </w:tc>
      </w:tr>
      <w:tr>
        <w:tc>
          <w:tcPr>
            <w:tcW w:w="2268" w:type="dxa"/>
          </w:tcPr>
          <w:p>
            <w:r>
              <w:rPr>
                <w:rFonts w:ascii="Times New Roman" w:hAnsi="Times New Roman"/>
                <w:sz w:val="20"/>
              </w:rPr>
              <w:t>Tài trợ</w:t>
            </w:r>
          </w:p>
        </w:tc>
        <w:tc>
          <w:tcPr>
            <w:tcW w:w="6520" w:type="dxa"/>
          </w:tcPr>
          <w:p>
            <w:r>
              <w:rPr>
                <w:rFonts w:ascii="Times New Roman" w:hAnsi="Times New Roman"/>
                <w:sz w:val="20"/>
              </w:rPr>
              <w:t>NHMRC Úc (GNT1158429) + NAFOSTED Việt Nam (NHMRC.108.01-2018.02)</w:t>
            </w:r>
          </w:p>
        </w:tc>
      </w:tr>
      <w:tr>
        <w:tc>
          <w:tcPr>
            <w:tcW w:w="2268" w:type="dxa"/>
          </w:tcPr>
          <w:p>
            <w:r>
              <w:rPr>
                <w:rFonts w:ascii="Times New Roman" w:hAnsi="Times New Roman"/>
                <w:sz w:val="20"/>
              </w:rPr>
              <w:t>Đạo đức</w:t>
            </w:r>
          </w:p>
        </w:tc>
        <w:tc>
          <w:tcPr>
            <w:tcW w:w="6520" w:type="dxa"/>
          </w:tcPr>
          <w:p>
            <w:r>
              <w:rPr>
                <w:rFonts w:ascii="Times New Roman" w:hAnsi="Times New Roman"/>
                <w:sz w:val="20"/>
              </w:rPr>
              <w:t>Monash HREC + HUPH IRB + QUT OREC</w:t>
            </w:r>
          </w:p>
        </w:tc>
      </w:tr>
    </w:tbl>
    <w:p>
      <w:pPr>
        <w:pStyle w:val="Heading2"/>
      </w:pPr>
      <w:r>
        <w:rPr>
          <w:rFonts w:ascii="Times New Roman" w:hAnsi="Times New Roman"/>
          <w:color w:val="000000"/>
        </w:rPr>
        <w:t>TÓM TẮT</w:t>
      </w:r>
    </w:p>
    <w:p>
      <w:pPr>
        <w:jc w:val="both"/>
      </w:pPr>
      <w:r>
        <w:rPr>
          <w:rFonts w:ascii="Times New Roman" w:hAnsi="Times New Roman"/>
          <w:b w:val="0"/>
          <w:i w:val="0"/>
          <w:sz w:val="24"/>
        </w:rPr>
        <w:t>Bối cảnh: Các can thiệp tâm lý dựa trên trường học đã cho thấy hiệu quả trong giảm các triệu chứng trầm cảm ở vị thành niên tại các nước thu nhập cao, nhưng bằng chứng từ các nước thu nhập thấp – trung bình (LMIC) còn hạn chế. Chương trình Tài nguyên Vị thành niên (Resourceful Adolescent Program — RAP) là một trong những can thiệp trường học dựa trên bằng chứng được nghiên cứu nhiều nhất. Nghiên cứu này đánh giá hiệu quả của chương trình "Happy House" — phiên bản thích ứng văn hoá Việt Nam của RAP — trong thúc đẩy sức khoẻ tâm thần của vị thành niên Việt Nam.</w:t>
      </w:r>
    </w:p>
    <w:p>
      <w:pPr>
        <w:jc w:val="both"/>
      </w:pPr>
      <w:r>
        <w:rPr>
          <w:rFonts w:ascii="Times New Roman" w:hAnsi="Times New Roman"/>
          <w:b w:val="0"/>
          <w:i w:val="0"/>
          <w:sz w:val="24"/>
        </w:rPr>
        <w:t>Phương pháp: Thử nghiệm đối chứng hai nhánh song song, không ngẫu nhiên cấp HS. 8 trường THPT tại Hà Nội được phân (4 can thiệp + 4 đối chứng) dựa trên sự đồng ý của ban giám hiệu. 1.084 học sinh lớp 10 được tuyển (96,1 % tỷ lệ) với 531 nhóm can thiệp và 552 nhóm đối chứng. Nhóm can thiệp nhận chương trình Happy House gồm 6 buổi, mỗi buổi 90 phút, trong 6 tuần, thay thế môn Giáo dục Công dân. Nhóm đối chứng tiếp tục chương trình học chính quy. Đánh giá tại ba thời điểm: trước can thiệp, 2 tuần sau, 6 tháng sau. Kết cục chính: triệu chứng trầm cảm theo Center for Epidemiologic Studies Depression Scale (CESD-R, 20 mục, thang 0–80, ngưỡng ≥ 16 cho triệu chứng lâm sàng có ý nghĩa). Kết cục phụ: phúc lợi tâm thần (MHC-SF), tự hiệu quả ứng phó (CSES), kết nối trường học. Phân tích hỗn hợp mixed-effects models kiểm soát cho hiệu ứng cụm và đặc điểm ban đầu. Phân tích theo chủ đích điều trị (ITT).</w:t>
      </w:r>
    </w:p>
    <w:p>
      <w:pPr>
        <w:jc w:val="both"/>
      </w:pPr>
      <w:r>
        <w:rPr>
          <w:rFonts w:ascii="Times New Roman" w:hAnsi="Times New Roman"/>
          <w:b w:val="0"/>
          <w:i w:val="0"/>
          <w:sz w:val="24"/>
        </w:rPr>
        <w:t>Kết quả: Thời điểm 2 tuần sau can thiệp, tỷ lệ học sinh có CESD-R ≥ 16 là 28,6 % (155/542) ở nhóm đối chứng so với 23,9 % (125/523) ở nhóm can thiệp. Tỷ suất chênh đã điều chỉnh aOR = 0,56 (KTC 95 %: 0,36 – 0,88; p = 0,011), với Cohen d = 0,11. Nhóm can thiệp cũng có cải thiện về phúc lợi tâm lý (effect size 0,13; p &lt; 0,05) và tự hiệu quả ứng phó (effect sizes 0,17 – 0,26) ở mọi ba khía cạnh (tập trung vào vấn đề, tập trung vào cảm xúc, tìm kiếm hỗ trợ xã hội). Tại 6 tháng, tỷ lệ CESD-R ≥ 16 là 29,2 % vs 26,3 % với aOR = 0,75 (KTC 0,51 – 1,09; p = 0,132) — không còn ý nghĩa thống kê. Tuy nhiên, tự hiệu quả ứng phó tập trung vào vấn đề và tìm kiếm hỗ trợ xã hội vẫn DUY TRÌ ý nghĩa ở 6 tháng.</w:t>
      </w:r>
    </w:p>
    <w:p>
      <w:pPr>
        <w:jc w:val="both"/>
      </w:pPr>
      <w:r>
        <w:rPr>
          <w:rFonts w:ascii="Times New Roman" w:hAnsi="Times New Roman"/>
          <w:b w:val="0"/>
          <w:i w:val="0"/>
          <w:sz w:val="24"/>
        </w:rPr>
        <w:t>Kết luận: Chương trình Happy House cho thấy tiềm năng lớn để tích hợp vào chương trình học hiện có nhằm giảm các vấn đề sức khoẻ tâm thần ở vị thành niên Việt Nam. Tuy nhiên, hiệu quả trên trầm cảm có FADE-OUT ở 6 tháng, một phần do đại dịch COVID-19 làm gián đoạn thời gian theo dõi. Các tác giả đề xuất bổ sung BOOSTER SESSIONS để duy trì hiệu quả, phân tích chi phí – hiệu quả, và giải quyết các rào cản về bản quyền chương trình RAP.</w:t>
      </w:r>
    </w:p>
    <w:p>
      <w:pPr>
        <w:pStyle w:val="Heading2"/>
      </w:pPr>
      <w:r>
        <w:rPr>
          <w:rFonts w:ascii="Times New Roman" w:hAnsi="Times New Roman"/>
          <w:color w:val="000000"/>
        </w:rPr>
        <w:t>GIỚI THIỆU</w:t>
      </w:r>
    </w:p>
    <w:p>
      <w:pPr>
        <w:jc w:val="both"/>
      </w:pPr>
      <w:r>
        <w:rPr>
          <w:rFonts w:ascii="Times New Roman" w:hAnsi="Times New Roman"/>
          <w:b w:val="0"/>
          <w:i w:val="0"/>
          <w:sz w:val="24"/>
        </w:rPr>
        <w:t>Sức khoẻ tâm thần là một vấn đề y tế công cộng ngày càng gia tăng ở trẻ vị thành niên toàn cầu. Tại Việt Nam, các nghiên cứu trước đã báo cáo tỷ lệ triệu chứng trầm cảm lâm sàng khoảng 23 % ở HS THPT. Các can thiệp trường học phổ quát — nhắm vào toàn bộ HS trong lớp, không chỉ HS có triệu chứng — được ưa chuộng tại LMIC vì khả năng tiếp cận rộng, giảm kỳ thị, và có thể tích hợp vào hệ thống giáo dục hiện có.</w:t>
      </w:r>
    </w:p>
    <w:p>
      <w:pPr>
        <w:jc w:val="both"/>
      </w:pPr>
      <w:r>
        <w:rPr>
          <w:rFonts w:ascii="Times New Roman" w:hAnsi="Times New Roman"/>
          <w:b w:val="0"/>
          <w:i w:val="0"/>
          <w:sz w:val="24"/>
        </w:rPr>
        <w:t>Chương trình RAP (Resourceful Adolescent Program) được phát triển tại Úc, kết hợp các thành phần của CBT và liệu pháp tương tác cá nhân (IPT). Mục tiêu: giúp HS phát triển kỹ năng nhận thức, cảm xúc, và xã hội để ứng phó với các thách thức phát triển. Các thử nghiệm RAP tại Úc và New Zealand cho thấy hiệu quả bền vững 10–18 tháng sau can thiệp. Tuy nhiên, việc áp dụng RAP tại LMIC còn hạn chế do khác biệt văn hoá, ngôn ngữ, và cấu trúc lớp học (lớp học châu Á thường đông hơn, 40–45 HS so với 16 HS ở Úc).</w:t>
      </w:r>
    </w:p>
    <w:p>
      <w:pPr>
        <w:jc w:val="both"/>
      </w:pPr>
      <w:r>
        <w:rPr>
          <w:rFonts w:ascii="Times New Roman" w:hAnsi="Times New Roman"/>
          <w:b w:val="0"/>
          <w:i w:val="0"/>
          <w:sz w:val="24"/>
        </w:rPr>
        <w:t>Nghiên cứu này nhằm: (1) thích ứng RAP cho bối cảnh văn hoá + giáo dục Việt Nam — tạo ra chương trình "Happy House"; (2) đánh giá hiệu quả của Happy House trong giảm triệu chứng trầm cảm và cải thiện phúc lợi tâm thần của HS lớp 10 tại Hà Nội.</w:t>
      </w:r>
    </w:p>
    <w:p>
      <w:pPr>
        <w:pStyle w:val="Heading2"/>
      </w:pPr>
      <w:r>
        <w:rPr>
          <w:rFonts w:ascii="Times New Roman" w:hAnsi="Times New Roman"/>
          <w:color w:val="000000"/>
        </w:rPr>
        <w:t>PHƯƠNG PHÁP</w:t>
      </w:r>
    </w:p>
    <w:p>
      <w:pPr>
        <w:pStyle w:val="Heading3"/>
      </w:pPr>
      <w:r>
        <w:rPr>
          <w:rFonts w:ascii="Times New Roman" w:hAnsi="Times New Roman"/>
          <w:color w:val="000000"/>
        </w:rPr>
        <w:t>Thiết kế nghiên cứu</w:t>
      </w:r>
    </w:p>
    <w:p>
      <w:pPr>
        <w:jc w:val="both"/>
      </w:pPr>
      <w:r>
        <w:rPr>
          <w:rFonts w:ascii="Times New Roman" w:hAnsi="Times New Roman"/>
          <w:b w:val="0"/>
          <w:i w:val="0"/>
          <w:sz w:val="24"/>
        </w:rPr>
        <w:t>Thử nghiệm đối chứng hai nhánh song song, không ngẫu nhiên. Phân bổ cấp trường (cluster non-randomized). Do các yêu cầu hành chính của Sở Giáo dục Hà Nội, 8 trường THPT được chọn dựa trên (a) sẵn sàng tham gia của ban giám hiệu, (b) cân bằng về đặc điểm kinh tế – xã hội, (c) địa lý (đô thị vs ngoại ô). 4 trường được phân vào nhóm can thiệp và 4 trường vào nhóm đối chứng.</w:t>
      </w:r>
    </w:p>
    <w:p>
      <w:pPr>
        <w:pStyle w:val="Heading3"/>
      </w:pPr>
      <w:r>
        <w:rPr>
          <w:rFonts w:ascii="Times New Roman" w:hAnsi="Times New Roman"/>
          <w:color w:val="000000"/>
        </w:rPr>
        <w:t>Mẫu nghiên cứu</w:t>
      </w:r>
    </w:p>
    <w:p>
      <w:pPr>
        <w:jc w:val="both"/>
      </w:pPr>
      <w:r>
        <w:rPr>
          <w:rFonts w:ascii="Times New Roman" w:hAnsi="Times New Roman"/>
          <w:b w:val="0"/>
          <w:i w:val="0"/>
          <w:sz w:val="24"/>
        </w:rPr>
        <w:t>Từ 1.128 HS lớp 10 đủ điều kiện tại 8 trường, 1.084 HS (96,1 %) đồng ý tham gia. Phân bổ: 531 nhóm can thiệp (8–14 lớp/trường) + 552 nhóm đối chứng (8–14 lớp/trường). Tuổi 15–16. Đặc điểm ban đầu:</w:t>
      </w:r>
    </w:p>
    <w:tbl>
      <w:tblPr>
        <w:tblStyle w:val="TableGrid"/>
        <w:tblW w:type="auto" w:w="0"/>
        <w:jc w:val="center"/>
        <w:tblLook w:firstColumn="1" w:firstRow="1" w:lastColumn="0" w:lastRow="0" w:noHBand="0" w:noVBand="1" w:val="04A0"/>
        <w:tblLayout w:type="fixed"/>
      </w:tblPr>
      <w:tblGrid>
        <w:gridCol w:w="2835"/>
        <w:gridCol w:w="1984"/>
        <w:gridCol w:w="1984"/>
        <w:gridCol w:w="1984"/>
      </w:tblGrid>
      <w:tr>
        <w:tc>
          <w:tcPr>
            <w:tcW w:w="2835" w:type="dxa"/>
            <w:shd w:fill="D9E2F3" w:val="clear"/>
          </w:tcPr>
          <w:p>
            <w:pPr>
              <w:jc w:val="center"/>
            </w:pPr>
            <w:r>
              <w:rPr>
                <w:rFonts w:ascii="Times New Roman" w:hAnsi="Times New Roman"/>
                <w:b/>
                <w:sz w:val="20"/>
              </w:rPr>
              <w:t>Đặc điểm</w:t>
            </w:r>
          </w:p>
        </w:tc>
        <w:tc>
          <w:tcPr>
            <w:tcW w:w="1984" w:type="dxa"/>
            <w:shd w:fill="D9E2F3" w:val="clear"/>
          </w:tcPr>
          <w:p>
            <w:pPr>
              <w:jc w:val="center"/>
            </w:pPr>
            <w:r>
              <w:rPr>
                <w:rFonts w:ascii="Times New Roman" w:hAnsi="Times New Roman"/>
                <w:b/>
                <w:sz w:val="20"/>
              </w:rPr>
              <w:t>Đối chứng (n=552)</w:t>
            </w:r>
          </w:p>
        </w:tc>
        <w:tc>
          <w:tcPr>
            <w:tcW w:w="1984" w:type="dxa"/>
            <w:shd w:fill="D9E2F3" w:val="clear"/>
          </w:tcPr>
          <w:p>
            <w:pPr>
              <w:jc w:val="center"/>
            </w:pPr>
            <w:r>
              <w:rPr>
                <w:rFonts w:ascii="Times New Roman" w:hAnsi="Times New Roman"/>
                <w:b/>
                <w:sz w:val="20"/>
              </w:rPr>
              <w:t>Can thiệp (n=531)</w:t>
            </w:r>
          </w:p>
        </w:tc>
        <w:tc>
          <w:tcPr>
            <w:tcW w:w="1984" w:type="dxa"/>
            <w:shd w:fill="D9E2F3" w:val="clear"/>
          </w:tcPr>
          <w:p>
            <w:pPr>
              <w:jc w:val="center"/>
            </w:pPr>
            <w:r>
              <w:rPr>
                <w:rFonts w:ascii="Times New Roman" w:hAnsi="Times New Roman"/>
                <w:b/>
                <w:sz w:val="20"/>
              </w:rPr>
              <w:t>p</w:t>
            </w:r>
          </w:p>
        </w:tc>
      </w:tr>
      <w:tr>
        <w:tc>
          <w:tcPr>
            <w:tcW w:w="2835" w:type="dxa"/>
          </w:tcPr>
          <w:p>
            <w:r>
              <w:rPr>
                <w:rFonts w:ascii="Times New Roman" w:hAnsi="Times New Roman"/>
                <w:sz w:val="20"/>
              </w:rPr>
              <w:t>Giới nữ</w:t>
            </w:r>
          </w:p>
        </w:tc>
        <w:tc>
          <w:tcPr>
            <w:tcW w:w="1984" w:type="dxa"/>
          </w:tcPr>
          <w:p>
            <w:r>
              <w:rPr>
                <w:rFonts w:ascii="Times New Roman" w:hAnsi="Times New Roman"/>
                <w:sz w:val="20"/>
              </w:rPr>
              <w:t>58,9 %</w:t>
            </w:r>
          </w:p>
        </w:tc>
        <w:tc>
          <w:tcPr>
            <w:tcW w:w="1984" w:type="dxa"/>
          </w:tcPr>
          <w:p>
            <w:r>
              <w:rPr>
                <w:rFonts w:ascii="Times New Roman" w:hAnsi="Times New Roman"/>
                <w:sz w:val="20"/>
              </w:rPr>
              <w:t>62,3 %</w:t>
            </w:r>
          </w:p>
        </w:tc>
        <w:tc>
          <w:tcPr>
            <w:tcW w:w="1984" w:type="dxa"/>
          </w:tcPr>
          <w:p>
            <w:r>
              <w:rPr>
                <w:rFonts w:ascii="Times New Roman" w:hAnsi="Times New Roman"/>
                <w:sz w:val="20"/>
              </w:rPr>
              <w:t>0,261</w:t>
            </w:r>
          </w:p>
        </w:tc>
      </w:tr>
      <w:tr>
        <w:tc>
          <w:tcPr>
            <w:tcW w:w="2835" w:type="dxa"/>
          </w:tcPr>
          <w:p>
            <w:r>
              <w:rPr>
                <w:rFonts w:ascii="Times New Roman" w:hAnsi="Times New Roman"/>
                <w:sz w:val="20"/>
              </w:rPr>
              <w:t>Đô thị</w:t>
            </w:r>
          </w:p>
        </w:tc>
        <w:tc>
          <w:tcPr>
            <w:tcW w:w="1984" w:type="dxa"/>
          </w:tcPr>
          <w:p>
            <w:r>
              <w:rPr>
                <w:rFonts w:ascii="Times New Roman" w:hAnsi="Times New Roman"/>
                <w:sz w:val="20"/>
              </w:rPr>
              <w:t>51,5 %</w:t>
            </w:r>
          </w:p>
        </w:tc>
        <w:tc>
          <w:tcPr>
            <w:tcW w:w="1984" w:type="dxa"/>
          </w:tcPr>
          <w:p>
            <w:r>
              <w:rPr>
                <w:rFonts w:ascii="Times New Roman" w:hAnsi="Times New Roman"/>
                <w:sz w:val="20"/>
              </w:rPr>
              <w:t>48,2 %</w:t>
            </w:r>
          </w:p>
        </w:tc>
        <w:tc>
          <w:tcPr>
            <w:tcW w:w="1984" w:type="dxa"/>
          </w:tcPr>
          <w:p>
            <w:r>
              <w:rPr>
                <w:rFonts w:ascii="Times New Roman" w:hAnsi="Times New Roman"/>
                <w:sz w:val="20"/>
              </w:rPr>
              <w:t>0,298</w:t>
            </w:r>
          </w:p>
        </w:tc>
      </w:tr>
      <w:tr>
        <w:tc>
          <w:tcPr>
            <w:tcW w:w="2835" w:type="dxa"/>
          </w:tcPr>
          <w:p>
            <w:r>
              <w:rPr>
                <w:rFonts w:ascii="Times New Roman" w:hAnsi="Times New Roman"/>
                <w:sz w:val="20"/>
              </w:rPr>
              <w:t>Sống cùng cả cha mẹ</w:t>
            </w:r>
          </w:p>
        </w:tc>
        <w:tc>
          <w:tcPr>
            <w:tcW w:w="1984" w:type="dxa"/>
          </w:tcPr>
          <w:p>
            <w:r>
              <w:rPr>
                <w:rFonts w:ascii="Times New Roman" w:hAnsi="Times New Roman"/>
                <w:sz w:val="20"/>
              </w:rPr>
              <w:t>89,9 %</w:t>
            </w:r>
          </w:p>
        </w:tc>
        <w:tc>
          <w:tcPr>
            <w:tcW w:w="1984" w:type="dxa"/>
          </w:tcPr>
          <w:p>
            <w:r>
              <w:rPr>
                <w:rFonts w:ascii="Times New Roman" w:hAnsi="Times New Roman"/>
                <w:sz w:val="20"/>
              </w:rPr>
              <w:t>88,7 %</w:t>
            </w:r>
          </w:p>
        </w:tc>
        <w:tc>
          <w:tcPr>
            <w:tcW w:w="1984" w:type="dxa"/>
          </w:tcPr>
          <w:p>
            <w:r>
              <w:rPr>
                <w:rFonts w:ascii="Times New Roman" w:hAnsi="Times New Roman"/>
                <w:sz w:val="20"/>
              </w:rPr>
              <w:t>0,524</w:t>
            </w:r>
          </w:p>
        </w:tc>
      </w:tr>
      <w:tr>
        <w:tc>
          <w:tcPr>
            <w:tcW w:w="2835" w:type="dxa"/>
          </w:tcPr>
          <w:p>
            <w:r>
              <w:rPr>
                <w:rFonts w:ascii="Times New Roman" w:hAnsi="Times New Roman"/>
                <w:sz w:val="20"/>
              </w:rPr>
              <w:t>CESD-R ban đầu (TB ± SD)</w:t>
            </w:r>
          </w:p>
        </w:tc>
        <w:tc>
          <w:tcPr>
            <w:tcW w:w="1984" w:type="dxa"/>
          </w:tcPr>
          <w:p>
            <w:r>
              <w:rPr>
                <w:rFonts w:ascii="Times New Roman" w:hAnsi="Times New Roman"/>
                <w:sz w:val="20"/>
              </w:rPr>
              <w:t>11,4 ± 12,2</w:t>
            </w:r>
          </w:p>
        </w:tc>
        <w:tc>
          <w:tcPr>
            <w:tcW w:w="1984" w:type="dxa"/>
          </w:tcPr>
          <w:p>
            <w:r>
              <w:rPr>
                <w:rFonts w:ascii="Times New Roman" w:hAnsi="Times New Roman"/>
                <w:sz w:val="20"/>
              </w:rPr>
              <w:t>12,0 ± 12,0</w:t>
            </w:r>
          </w:p>
        </w:tc>
        <w:tc>
          <w:tcPr>
            <w:tcW w:w="1984" w:type="dxa"/>
          </w:tcPr>
          <w:p>
            <w:r>
              <w:rPr>
                <w:rFonts w:ascii="Times New Roman" w:hAnsi="Times New Roman"/>
                <w:sz w:val="20"/>
              </w:rPr>
              <w:t>0,729</w:t>
            </w:r>
          </w:p>
        </w:tc>
      </w:tr>
    </w:tbl>
    <w:p>
      <w:pPr>
        <w:pStyle w:val="Heading3"/>
      </w:pPr>
      <w:r>
        <w:rPr>
          <w:rFonts w:ascii="Times New Roman" w:hAnsi="Times New Roman"/>
          <w:color w:val="000000"/>
        </w:rPr>
        <w:t>Can thiệp Happy House</w:t>
      </w:r>
    </w:p>
    <w:p>
      <w:pPr>
        <w:jc w:val="both"/>
      </w:pPr>
      <w:r>
        <w:rPr>
          <w:rFonts w:ascii="Times New Roman" w:hAnsi="Times New Roman"/>
          <w:b w:val="0"/>
          <w:i w:val="0"/>
          <w:sz w:val="24"/>
        </w:rPr>
        <w:t>Happy House được thích ứng từ chương trình RAP Úc qua 4 giai đoạn: (1) dịch sang tiếng Việt + hiệu đính ngược; (2) thích ứng văn hoá với sự tham gia của các chuyên gia tâm lý học đường Việt Nam; (3) thử nghiệm pilot với 30 HS Hà Nội; (4) sửa đổi dựa trên phản hồi HS và giáo viên.</w:t>
      </w:r>
    </w:p>
    <w:p>
      <w:pPr>
        <w:jc w:val="both"/>
      </w:pPr>
      <w:r>
        <w:rPr>
          <w:rFonts w:ascii="Times New Roman" w:hAnsi="Times New Roman"/>
          <w:b w:val="0"/>
          <w:i w:val="0"/>
          <w:sz w:val="24"/>
        </w:rPr>
        <w:t>Cấu trúc cuối cùng: 11 buổi 45 phút của RAP gốc được tái cấu trúc thành 6 buổi 90 phút, thực hiện trong 6 tuần liền. Mỗi buổi Happy House thay thế 2 tiết Giáo dục Công dân liên tiếp. Nội dung chính của 6 buổi bao gồm:</w:t>
      </w:r>
    </w:p>
    <w:tbl>
      <w:tblPr>
        <w:tblStyle w:val="TableGrid"/>
        <w:tblW w:type="auto" w:w="0"/>
        <w:jc w:val="center"/>
        <w:tblLook w:firstColumn="1" w:firstRow="1" w:lastColumn="0" w:lastRow="0" w:noHBand="0" w:noVBand="1" w:val="04A0"/>
        <w:tblLayout w:type="fixed"/>
      </w:tblPr>
      <w:tblGrid>
        <w:gridCol w:w="567"/>
        <w:gridCol w:w="2551"/>
        <w:gridCol w:w="5670"/>
      </w:tblGrid>
      <w:tr>
        <w:tc>
          <w:tcPr>
            <w:tcW w:w="567" w:type="dxa"/>
            <w:shd w:fill="D9E2F3" w:val="clear"/>
          </w:tcPr>
          <w:p>
            <w:pPr>
              <w:jc w:val="center"/>
            </w:pPr>
            <w:r>
              <w:rPr>
                <w:rFonts w:ascii="Times New Roman" w:hAnsi="Times New Roman"/>
                <w:b/>
                <w:sz w:val="20"/>
              </w:rPr>
              <w:t>Buổi</w:t>
            </w:r>
          </w:p>
        </w:tc>
        <w:tc>
          <w:tcPr>
            <w:tcW w:w="2551" w:type="dxa"/>
            <w:shd w:fill="D9E2F3" w:val="clear"/>
          </w:tcPr>
          <w:p>
            <w:pPr>
              <w:jc w:val="center"/>
            </w:pPr>
            <w:r>
              <w:rPr>
                <w:rFonts w:ascii="Times New Roman" w:hAnsi="Times New Roman"/>
                <w:b/>
                <w:sz w:val="20"/>
              </w:rPr>
              <w:t>Chủ đề</w:t>
            </w:r>
          </w:p>
        </w:tc>
        <w:tc>
          <w:tcPr>
            <w:tcW w:w="5670" w:type="dxa"/>
            <w:shd w:fill="D9E2F3" w:val="clear"/>
          </w:tcPr>
          <w:p>
            <w:pPr>
              <w:jc w:val="center"/>
            </w:pPr>
            <w:r>
              <w:rPr>
                <w:rFonts w:ascii="Times New Roman" w:hAnsi="Times New Roman"/>
                <w:b/>
                <w:sz w:val="20"/>
              </w:rPr>
              <w:t>Kỹ năng chính</w:t>
            </w:r>
          </w:p>
        </w:tc>
      </w:tr>
      <w:tr>
        <w:tc>
          <w:tcPr>
            <w:tcW w:w="567" w:type="dxa"/>
          </w:tcPr>
          <w:p>
            <w:r>
              <w:rPr>
                <w:rFonts w:ascii="Times New Roman" w:hAnsi="Times New Roman"/>
                <w:sz w:val="20"/>
              </w:rPr>
              <w:t>1</w:t>
            </w:r>
          </w:p>
        </w:tc>
        <w:tc>
          <w:tcPr>
            <w:tcW w:w="2551" w:type="dxa"/>
          </w:tcPr>
          <w:p>
            <w:r>
              <w:rPr>
                <w:rFonts w:ascii="Times New Roman" w:hAnsi="Times New Roman"/>
                <w:sz w:val="20"/>
              </w:rPr>
              <w:t>Sức mạnh bản thân</w:t>
            </w:r>
          </w:p>
        </w:tc>
        <w:tc>
          <w:tcPr>
            <w:tcW w:w="5670" w:type="dxa"/>
          </w:tcPr>
          <w:p>
            <w:r>
              <w:rPr>
                <w:rFonts w:ascii="Times New Roman" w:hAnsi="Times New Roman"/>
                <w:sz w:val="20"/>
              </w:rPr>
              <w:t>Nhận diện điểm mạnh, xây dựng tự trọng</w:t>
            </w:r>
          </w:p>
        </w:tc>
      </w:tr>
      <w:tr>
        <w:tc>
          <w:tcPr>
            <w:tcW w:w="567" w:type="dxa"/>
          </w:tcPr>
          <w:p>
            <w:r>
              <w:rPr>
                <w:rFonts w:ascii="Times New Roman" w:hAnsi="Times New Roman"/>
                <w:sz w:val="20"/>
              </w:rPr>
              <w:t>2</w:t>
            </w:r>
          </w:p>
        </w:tc>
        <w:tc>
          <w:tcPr>
            <w:tcW w:w="2551" w:type="dxa"/>
          </w:tcPr>
          <w:p>
            <w:r>
              <w:rPr>
                <w:rFonts w:ascii="Times New Roman" w:hAnsi="Times New Roman"/>
                <w:sz w:val="20"/>
              </w:rPr>
              <w:t>Suy nghĩ tích cực</w:t>
            </w:r>
          </w:p>
        </w:tc>
        <w:tc>
          <w:tcPr>
            <w:tcW w:w="5670" w:type="dxa"/>
          </w:tcPr>
          <w:p>
            <w:r>
              <w:rPr>
                <w:rFonts w:ascii="Times New Roman" w:hAnsi="Times New Roman"/>
                <w:sz w:val="20"/>
              </w:rPr>
              <w:t>Tái cấu trúc nhận thức (CBT), dialogues nội tâm</w:t>
            </w:r>
          </w:p>
        </w:tc>
      </w:tr>
      <w:tr>
        <w:tc>
          <w:tcPr>
            <w:tcW w:w="567" w:type="dxa"/>
          </w:tcPr>
          <w:p>
            <w:r>
              <w:rPr>
                <w:rFonts w:ascii="Times New Roman" w:hAnsi="Times New Roman"/>
                <w:sz w:val="20"/>
              </w:rPr>
              <w:t>3</w:t>
            </w:r>
          </w:p>
        </w:tc>
        <w:tc>
          <w:tcPr>
            <w:tcW w:w="2551" w:type="dxa"/>
          </w:tcPr>
          <w:p>
            <w:r>
              <w:rPr>
                <w:rFonts w:ascii="Times New Roman" w:hAnsi="Times New Roman"/>
                <w:sz w:val="20"/>
              </w:rPr>
              <w:t>Quản lý cảm xúc</w:t>
            </w:r>
          </w:p>
        </w:tc>
        <w:tc>
          <w:tcPr>
            <w:tcW w:w="5670" w:type="dxa"/>
          </w:tcPr>
          <w:p>
            <w:r>
              <w:rPr>
                <w:rFonts w:ascii="Times New Roman" w:hAnsi="Times New Roman"/>
                <w:sz w:val="20"/>
              </w:rPr>
              <w:t>Kỹ thuật thư giãn, điều tiết cảm xúc</w:t>
            </w:r>
          </w:p>
        </w:tc>
      </w:tr>
      <w:tr>
        <w:tc>
          <w:tcPr>
            <w:tcW w:w="567" w:type="dxa"/>
          </w:tcPr>
          <w:p>
            <w:r>
              <w:rPr>
                <w:rFonts w:ascii="Times New Roman" w:hAnsi="Times New Roman"/>
                <w:sz w:val="20"/>
              </w:rPr>
              <w:t>4</w:t>
            </w:r>
          </w:p>
        </w:tc>
        <w:tc>
          <w:tcPr>
            <w:tcW w:w="2551" w:type="dxa"/>
          </w:tcPr>
          <w:p>
            <w:r>
              <w:rPr>
                <w:rFonts w:ascii="Times New Roman" w:hAnsi="Times New Roman"/>
                <w:sz w:val="20"/>
              </w:rPr>
              <w:t>Giải quyết vấn đề</w:t>
            </w:r>
          </w:p>
        </w:tc>
        <w:tc>
          <w:tcPr>
            <w:tcW w:w="5670" w:type="dxa"/>
          </w:tcPr>
          <w:p>
            <w:r>
              <w:rPr>
                <w:rFonts w:ascii="Times New Roman" w:hAnsi="Times New Roman"/>
                <w:sz w:val="20"/>
              </w:rPr>
              <w:t>Các bước giải quyết vấn đề có cấu trúc</w:t>
            </w:r>
          </w:p>
        </w:tc>
      </w:tr>
      <w:tr>
        <w:tc>
          <w:tcPr>
            <w:tcW w:w="567" w:type="dxa"/>
          </w:tcPr>
          <w:p>
            <w:r>
              <w:rPr>
                <w:rFonts w:ascii="Times New Roman" w:hAnsi="Times New Roman"/>
                <w:sz w:val="20"/>
              </w:rPr>
              <w:t>5</w:t>
            </w:r>
          </w:p>
        </w:tc>
        <w:tc>
          <w:tcPr>
            <w:tcW w:w="2551" w:type="dxa"/>
          </w:tcPr>
          <w:p>
            <w:r>
              <w:rPr>
                <w:rFonts w:ascii="Times New Roman" w:hAnsi="Times New Roman"/>
                <w:sz w:val="20"/>
              </w:rPr>
              <w:t>Mạng lưới hỗ trợ</w:t>
            </w:r>
          </w:p>
        </w:tc>
        <w:tc>
          <w:tcPr>
            <w:tcW w:w="5670" w:type="dxa"/>
          </w:tcPr>
          <w:p>
            <w:r>
              <w:rPr>
                <w:rFonts w:ascii="Times New Roman" w:hAnsi="Times New Roman"/>
                <w:sz w:val="20"/>
              </w:rPr>
              <w:t>Xây dựng quan hệ, tìm kiếm giúp đỡ (IPT)</w:t>
            </w:r>
          </w:p>
        </w:tc>
      </w:tr>
      <w:tr>
        <w:tc>
          <w:tcPr>
            <w:tcW w:w="567" w:type="dxa"/>
          </w:tcPr>
          <w:p>
            <w:r>
              <w:rPr>
                <w:rFonts w:ascii="Times New Roman" w:hAnsi="Times New Roman"/>
                <w:sz w:val="20"/>
              </w:rPr>
              <w:t>6</w:t>
            </w:r>
          </w:p>
        </w:tc>
        <w:tc>
          <w:tcPr>
            <w:tcW w:w="2551" w:type="dxa"/>
          </w:tcPr>
          <w:p>
            <w:r>
              <w:rPr>
                <w:rFonts w:ascii="Times New Roman" w:hAnsi="Times New Roman"/>
                <w:sz w:val="20"/>
              </w:rPr>
              <w:t>Ôn tập và cam kết</w:t>
            </w:r>
          </w:p>
        </w:tc>
        <w:tc>
          <w:tcPr>
            <w:tcW w:w="5670" w:type="dxa"/>
          </w:tcPr>
          <w:p>
            <w:r>
              <w:rPr>
                <w:rFonts w:ascii="Times New Roman" w:hAnsi="Times New Roman"/>
                <w:sz w:val="20"/>
              </w:rPr>
              <w:t>Tổng kết kỹ năng, cam kết tự thực hành</w:t>
            </w:r>
          </w:p>
        </w:tc>
      </w:tr>
    </w:tbl>
    <w:p>
      <w:pPr>
        <w:jc w:val="both"/>
      </w:pPr>
      <w:r>
        <w:rPr>
          <w:rFonts w:ascii="Times New Roman" w:hAnsi="Times New Roman"/>
          <w:b w:val="0"/>
          <w:i w:val="0"/>
          <w:sz w:val="24"/>
        </w:rPr>
        <w:t>Người cung cấp: Giáo viên Giáo dục Công dân của mỗi trường (có nền tảng tâm lý cơ bản) được đào tạo 3 ngày bởi các chuyên gia Monash + Hanoi University of Public Health. Mỗi buổi can thiệp có giáo viên chính + 1–2 trợ giảng để hỗ trợ lớp đông (40–45 HS).</w:t>
      </w:r>
    </w:p>
    <w:p>
      <w:pPr>
        <w:jc w:val="both"/>
      </w:pPr>
      <w:r>
        <w:rPr>
          <w:rFonts w:ascii="Times New Roman" w:hAnsi="Times New Roman"/>
          <w:b w:val="0"/>
          <w:i w:val="0"/>
          <w:sz w:val="24"/>
        </w:rPr>
        <w:t>Tỷ lệ tham gia: 95 % HS hoàn thành toàn bộ 6 buổi, 5 % vắng mặt 1 buổi. Fidelity 100 % hoạt động được cung cấp đúng kế hoạch (tự đánh giá của giáo viên — COVID-19 ngăn cản quan sát trực tiếp từ nhóm Úc).</w:t>
      </w:r>
    </w:p>
    <w:p>
      <w:pPr>
        <w:pStyle w:val="Heading3"/>
      </w:pPr>
      <w:r>
        <w:rPr>
          <w:rFonts w:ascii="Times New Roman" w:hAnsi="Times New Roman"/>
          <w:color w:val="000000"/>
        </w:rPr>
        <w:t>Công cụ đo</w:t>
      </w:r>
    </w:p>
    <w:p>
      <w:pPr>
        <w:jc w:val="both"/>
      </w:pPr>
      <w:r>
        <w:rPr>
          <w:rFonts w:ascii="Times New Roman" w:hAnsi="Times New Roman"/>
          <w:b w:val="0"/>
          <w:i w:val="0"/>
          <w:sz w:val="24"/>
        </w:rPr>
        <w:t>Kết cục chính — CESD-R (Center for Epidemiologic Studies Depression Scale Revised): 20 mục, thang 0–80, ngưỡng cắt ≥ 16 cho triệu chứng trầm cảm có ý nghĩa lâm sàng. Phiên bản tiếng Việt đã được validate trước đó.</w:t>
      </w:r>
    </w:p>
    <w:p>
      <w:pPr>
        <w:jc w:val="both"/>
      </w:pPr>
      <w:r>
        <w:rPr>
          <w:rFonts w:ascii="Times New Roman" w:hAnsi="Times New Roman"/>
          <w:b w:val="0"/>
          <w:i w:val="0"/>
          <w:sz w:val="24"/>
        </w:rPr>
        <w:t>Kết cục phụ:</w:t>
      </w:r>
    </w:p>
    <w:p>
      <w:pPr>
        <w:jc w:val="both"/>
      </w:pPr>
      <w:r>
        <w:rPr>
          <w:rFonts w:ascii="Times New Roman" w:hAnsi="Times New Roman"/>
          <w:b w:val="0"/>
          <w:i w:val="0"/>
          <w:sz w:val="24"/>
        </w:rPr>
        <w:t>• Mental Health Continuum Short Form (MHC-SF): đo phúc lợi tâm thần theo 3 khía cạnh — cảm xúc (emotional), xã hội (social), tâm lý (psychological)</w:t>
      </w:r>
    </w:p>
    <w:p>
      <w:pPr>
        <w:jc w:val="both"/>
      </w:pPr>
      <w:r>
        <w:rPr>
          <w:rFonts w:ascii="Times New Roman" w:hAnsi="Times New Roman"/>
          <w:b w:val="0"/>
          <w:i w:val="0"/>
          <w:sz w:val="24"/>
        </w:rPr>
        <w:t>• Coping Self-Efficacy Scale (CSES): 3 thang — giải quyết vấn đề (problem-focused), điều tiết cảm xúc (emotion-focused), tìm kiếm hỗ trợ xã hội (social support-seeking)</w:t>
      </w:r>
    </w:p>
    <w:p>
      <w:pPr>
        <w:jc w:val="both"/>
      </w:pPr>
      <w:r>
        <w:rPr>
          <w:rFonts w:ascii="Times New Roman" w:hAnsi="Times New Roman"/>
          <w:b w:val="0"/>
          <w:i w:val="0"/>
          <w:sz w:val="24"/>
        </w:rPr>
        <w:t>• School Connectedness (5 mục, thang 0–20)</w:t>
      </w:r>
    </w:p>
    <w:p>
      <w:pPr>
        <w:jc w:val="both"/>
      </w:pPr>
      <w:r>
        <w:rPr>
          <w:rFonts w:ascii="Times New Roman" w:hAnsi="Times New Roman"/>
          <w:b w:val="0"/>
          <w:i w:val="0"/>
          <w:sz w:val="24"/>
        </w:rPr>
        <w:t>Thời điểm đo: (1) Ban đầu — 05–24/10/2020; (2) Sau can thiệp 2 tuần — 01–19/12/2020; (3) Theo dõi 6 tháng — 10–27/05/2021 (chuyển sang khảo sát trực tuyến do COVID-19).</w:t>
      </w:r>
    </w:p>
    <w:p>
      <w:pPr>
        <w:pStyle w:val="Heading3"/>
      </w:pPr>
      <w:r>
        <w:rPr>
          <w:rFonts w:ascii="Times New Roman" w:hAnsi="Times New Roman"/>
          <w:color w:val="000000"/>
        </w:rPr>
        <w:t>Phân tích thống kê</w:t>
      </w:r>
    </w:p>
    <w:p>
      <w:pPr>
        <w:jc w:val="both"/>
      </w:pPr>
      <w:r>
        <w:rPr>
          <w:rFonts w:ascii="Times New Roman" w:hAnsi="Times New Roman"/>
          <w:b w:val="0"/>
          <w:i w:val="0"/>
          <w:sz w:val="24"/>
        </w:rPr>
        <w:t>Phân tích theo chủ đích điều trị (intention-to-treat — ITT). Mixed-effects models với hiệu ứng cố định (trường, nhóm điều trị, thời điểm, tương tác nhóm × thời điểm) và hiệu ứng ngẫu nhiên (cụm lớp học). Kiểm soát cho các biến số ban đầu: tuổi, giới, đô thị, trình độ cha mẹ, điểm CESD-R ban đầu. Cohen d được tính cho kích thước hiệu ứng giữa nhóm. Hiệu chỉnh Bonferroni cho nhiều so sánh kết cục phụ.</w:t>
      </w:r>
    </w:p>
    <w:p>
      <w:pPr>
        <w:pStyle w:val="Heading2"/>
      </w:pPr>
      <w:r>
        <w:rPr>
          <w:rFonts w:ascii="Times New Roman" w:hAnsi="Times New Roman"/>
          <w:color w:val="000000"/>
        </w:rPr>
        <w:t>KẾT QUẢ</w:t>
      </w:r>
    </w:p>
    <w:p>
      <w:pPr>
        <w:pStyle w:val="Heading3"/>
      </w:pPr>
      <w:r>
        <w:rPr>
          <w:rFonts w:ascii="Times New Roman" w:hAnsi="Times New Roman"/>
          <w:color w:val="000000"/>
        </w:rPr>
        <w:t>Tuyển mộ và mất mẫu</w:t>
      </w:r>
    </w:p>
    <w:p>
      <w:pPr>
        <w:jc w:val="both"/>
      </w:pPr>
      <w:r>
        <w:rPr>
          <w:rFonts w:ascii="Times New Roman" w:hAnsi="Times New Roman"/>
          <w:b w:val="0"/>
          <w:i w:val="0"/>
          <w:sz w:val="24"/>
        </w:rPr>
        <w:t>1.084 HS được tuyển (96,1 % tỷ lệ). Mất mẫu: 29 HS thiếu dữ liệu ban đầu (2,7 %), 21 HS thiếu dữ liệu sau can thiệp (1,9 %), 20 HS thiếu dữ liệu 6 tháng (1,9 %). Tỷ lệ mất mẫu rất thấp so với các thử nghiệm trường học khác.</w:t>
      </w:r>
    </w:p>
    <w:p>
      <w:pPr>
        <w:pStyle w:val="Heading3"/>
      </w:pPr>
      <w:r>
        <w:rPr>
          <w:rFonts w:ascii="Times New Roman" w:hAnsi="Times New Roman"/>
          <w:color w:val="000000"/>
        </w:rPr>
        <w:t>Kết cục chính — Trầm cảm (CESD-R)</w:t>
      </w:r>
    </w:p>
    <w:tbl>
      <w:tblPr>
        <w:tblStyle w:val="TableGrid"/>
        <w:tblW w:type="auto" w:w="0"/>
        <w:jc w:val="center"/>
        <w:tblLook w:firstColumn="1" w:firstRow="1" w:lastColumn="0" w:lastRow="0" w:noHBand="0" w:noVBand="1" w:val="04A0"/>
        <w:tblLayout w:type="fixed"/>
      </w:tblPr>
      <w:tblGrid>
        <w:gridCol w:w="1417"/>
        <w:gridCol w:w="1814"/>
        <w:gridCol w:w="1814"/>
        <w:gridCol w:w="1814"/>
        <w:gridCol w:w="1020"/>
        <w:gridCol w:w="907"/>
      </w:tblGrid>
      <w:tr>
        <w:tc>
          <w:tcPr>
            <w:tcW w:w="1417" w:type="dxa"/>
            <w:shd w:fill="D9E2F3" w:val="clear"/>
          </w:tcPr>
          <w:p>
            <w:pPr>
              <w:jc w:val="center"/>
            </w:pPr>
            <w:r>
              <w:rPr>
                <w:rFonts w:ascii="Times New Roman" w:hAnsi="Times New Roman"/>
                <w:b/>
                <w:sz w:val="20"/>
              </w:rPr>
              <w:t>Thời điểm</w:t>
            </w:r>
          </w:p>
        </w:tc>
        <w:tc>
          <w:tcPr>
            <w:tcW w:w="1814" w:type="dxa"/>
            <w:shd w:fill="D9E2F3" w:val="clear"/>
          </w:tcPr>
          <w:p>
            <w:pPr>
              <w:jc w:val="center"/>
            </w:pPr>
            <w:r>
              <w:rPr>
                <w:rFonts w:ascii="Times New Roman" w:hAnsi="Times New Roman"/>
                <w:b/>
                <w:sz w:val="20"/>
              </w:rPr>
              <w:t>Đối chứng (≥16)</w:t>
            </w:r>
          </w:p>
        </w:tc>
        <w:tc>
          <w:tcPr>
            <w:tcW w:w="1814" w:type="dxa"/>
            <w:shd w:fill="D9E2F3" w:val="clear"/>
          </w:tcPr>
          <w:p>
            <w:pPr>
              <w:jc w:val="center"/>
            </w:pPr>
            <w:r>
              <w:rPr>
                <w:rFonts w:ascii="Times New Roman" w:hAnsi="Times New Roman"/>
                <w:b/>
                <w:sz w:val="20"/>
              </w:rPr>
              <w:t>Can thiệp (≥16)</w:t>
            </w:r>
          </w:p>
        </w:tc>
        <w:tc>
          <w:tcPr>
            <w:tcW w:w="1814" w:type="dxa"/>
            <w:shd w:fill="D9E2F3" w:val="clear"/>
          </w:tcPr>
          <w:p>
            <w:pPr>
              <w:jc w:val="center"/>
            </w:pPr>
            <w:r>
              <w:rPr>
                <w:rFonts w:ascii="Times New Roman" w:hAnsi="Times New Roman"/>
                <w:b/>
                <w:sz w:val="20"/>
              </w:rPr>
              <w:t>aOR (KTC 95 %)</w:t>
            </w:r>
          </w:p>
        </w:tc>
        <w:tc>
          <w:tcPr>
            <w:tcW w:w="1020" w:type="dxa"/>
            <w:shd w:fill="D9E2F3" w:val="clear"/>
          </w:tcPr>
          <w:p>
            <w:pPr>
              <w:jc w:val="center"/>
            </w:pPr>
            <w:r>
              <w:rPr>
                <w:rFonts w:ascii="Times New Roman" w:hAnsi="Times New Roman"/>
                <w:b/>
                <w:sz w:val="20"/>
              </w:rPr>
              <w:t>p</w:t>
            </w:r>
          </w:p>
        </w:tc>
        <w:tc>
          <w:tcPr>
            <w:tcW w:w="907" w:type="dxa"/>
            <w:shd w:fill="D9E2F3" w:val="clear"/>
          </w:tcPr>
          <w:p>
            <w:pPr>
              <w:jc w:val="center"/>
            </w:pPr>
            <w:r>
              <w:rPr>
                <w:rFonts w:ascii="Times New Roman" w:hAnsi="Times New Roman"/>
                <w:b/>
                <w:sz w:val="20"/>
              </w:rPr>
              <w:t>Cohen d</w:t>
            </w:r>
          </w:p>
        </w:tc>
      </w:tr>
      <w:tr>
        <w:tc>
          <w:tcPr>
            <w:tcW w:w="1417" w:type="dxa"/>
          </w:tcPr>
          <w:p>
            <w:r>
              <w:rPr>
                <w:rFonts w:ascii="Times New Roman" w:hAnsi="Times New Roman"/>
                <w:sz w:val="20"/>
              </w:rPr>
              <w:t>2 tuần sau</w:t>
            </w:r>
          </w:p>
        </w:tc>
        <w:tc>
          <w:tcPr>
            <w:tcW w:w="1814" w:type="dxa"/>
          </w:tcPr>
          <w:p>
            <w:r>
              <w:rPr>
                <w:rFonts w:ascii="Times New Roman" w:hAnsi="Times New Roman"/>
                <w:sz w:val="20"/>
              </w:rPr>
              <w:t>155/542 (28,6 %)</w:t>
            </w:r>
          </w:p>
        </w:tc>
        <w:tc>
          <w:tcPr>
            <w:tcW w:w="1814" w:type="dxa"/>
          </w:tcPr>
          <w:p>
            <w:r>
              <w:rPr>
                <w:rFonts w:ascii="Times New Roman" w:hAnsi="Times New Roman"/>
                <w:sz w:val="20"/>
              </w:rPr>
              <w:t>125/523 (23,9 %)</w:t>
            </w:r>
          </w:p>
        </w:tc>
        <w:tc>
          <w:tcPr>
            <w:tcW w:w="1814" w:type="dxa"/>
          </w:tcPr>
          <w:p>
            <w:r>
              <w:rPr>
                <w:rFonts w:ascii="Times New Roman" w:hAnsi="Times New Roman"/>
                <w:sz w:val="20"/>
              </w:rPr>
              <w:t>0,56 (0,36–0,88)</w:t>
            </w:r>
          </w:p>
        </w:tc>
        <w:tc>
          <w:tcPr>
            <w:tcW w:w="1020" w:type="dxa"/>
          </w:tcPr>
          <w:p>
            <w:r>
              <w:rPr>
                <w:rFonts w:ascii="Times New Roman" w:hAnsi="Times New Roman"/>
                <w:sz w:val="20"/>
              </w:rPr>
              <w:t>0,011</w:t>
            </w:r>
          </w:p>
        </w:tc>
        <w:tc>
          <w:tcPr>
            <w:tcW w:w="907" w:type="dxa"/>
          </w:tcPr>
          <w:p>
            <w:r>
              <w:rPr>
                <w:rFonts w:ascii="Times New Roman" w:hAnsi="Times New Roman"/>
                <w:sz w:val="20"/>
              </w:rPr>
              <w:t>0,11</w:t>
            </w:r>
          </w:p>
        </w:tc>
      </w:tr>
      <w:tr>
        <w:tc>
          <w:tcPr>
            <w:tcW w:w="1417" w:type="dxa"/>
          </w:tcPr>
          <w:p>
            <w:r>
              <w:rPr>
                <w:rFonts w:ascii="Times New Roman" w:hAnsi="Times New Roman"/>
                <w:sz w:val="20"/>
              </w:rPr>
              <w:t>6 tháng sau</w:t>
            </w:r>
          </w:p>
        </w:tc>
        <w:tc>
          <w:tcPr>
            <w:tcW w:w="1814" w:type="dxa"/>
          </w:tcPr>
          <w:p>
            <w:r>
              <w:rPr>
                <w:rFonts w:ascii="Times New Roman" w:hAnsi="Times New Roman"/>
                <w:sz w:val="20"/>
              </w:rPr>
              <w:t>157/537 (29,2 %)</w:t>
            </w:r>
          </w:p>
        </w:tc>
        <w:tc>
          <w:tcPr>
            <w:tcW w:w="1814" w:type="dxa"/>
          </w:tcPr>
          <w:p>
            <w:r>
              <w:rPr>
                <w:rFonts w:ascii="Times New Roman" w:hAnsi="Times New Roman"/>
                <w:sz w:val="20"/>
              </w:rPr>
              <w:t>138/524 (26,3 %)</w:t>
            </w:r>
          </w:p>
        </w:tc>
        <w:tc>
          <w:tcPr>
            <w:tcW w:w="1814" w:type="dxa"/>
          </w:tcPr>
          <w:p>
            <w:r>
              <w:rPr>
                <w:rFonts w:ascii="Times New Roman" w:hAnsi="Times New Roman"/>
                <w:sz w:val="20"/>
              </w:rPr>
              <w:t>0,75 (0,51–1,09)</w:t>
            </w:r>
          </w:p>
        </w:tc>
        <w:tc>
          <w:tcPr>
            <w:tcW w:w="1020" w:type="dxa"/>
          </w:tcPr>
          <w:p>
            <w:r>
              <w:rPr>
                <w:rFonts w:ascii="Times New Roman" w:hAnsi="Times New Roman"/>
                <w:sz w:val="20"/>
              </w:rPr>
              <w:t>0,132</w:t>
            </w:r>
          </w:p>
        </w:tc>
        <w:tc>
          <w:tcPr>
            <w:tcW w:w="907" w:type="dxa"/>
          </w:tcPr>
          <w:p>
            <w:r>
              <w:rPr>
                <w:rFonts w:ascii="Times New Roman" w:hAnsi="Times New Roman"/>
                <w:sz w:val="20"/>
              </w:rPr>
              <w:t>—</w:t>
            </w:r>
          </w:p>
        </w:tc>
      </w:tr>
    </w:tbl>
    <w:p>
      <w:pPr>
        <w:jc w:val="both"/>
      </w:pPr>
      <w:r>
        <w:rPr>
          <w:rFonts w:ascii="Times New Roman" w:hAnsi="Times New Roman"/>
          <w:b w:val="0"/>
          <w:i/>
          <w:sz w:val="24"/>
        </w:rPr>
        <w:t>Tại thời điểm 2 tuần sau can thiệp, nhóm can thiệp có tỷ lệ thấp hơn nhóm đối chứng 4,7 điểm phần trăm về triệu chứng trầm cảm có ý nghĩa lâm sàng. aOR = 0,56 có nghĩa là khả năng trầm cảm lâm sàng của HS can thiệp chỉ bằng 56 % so với HS đối chứng (p = 0,011). Tuy nhiên tại 6 tháng, tác dụng không còn ý nghĩa thống kê (aOR = 0,75, p = 0,132) — hiện tượng FADE-OUT.</w:t>
      </w:r>
    </w:p>
    <w:p>
      <w:pPr>
        <w:pStyle w:val="Heading3"/>
      </w:pPr>
      <w:r>
        <w:rPr>
          <w:rFonts w:ascii="Times New Roman" w:hAnsi="Times New Roman"/>
          <w:color w:val="000000"/>
        </w:rPr>
        <w:t>Kết cục phụ</w:t>
      </w:r>
    </w:p>
    <w:tbl>
      <w:tblPr>
        <w:tblStyle w:val="TableGrid"/>
        <w:tblW w:type="auto" w:w="0"/>
        <w:jc w:val="center"/>
        <w:tblLook w:firstColumn="1" w:firstRow="1" w:lastColumn="0" w:lastRow="0" w:noHBand="0" w:noVBand="1" w:val="04A0"/>
        <w:tblLayout w:type="fixed"/>
      </w:tblPr>
      <w:tblGrid>
        <w:gridCol w:w="3402"/>
        <w:gridCol w:w="2551"/>
        <w:gridCol w:w="2835"/>
      </w:tblGrid>
      <w:tr>
        <w:tc>
          <w:tcPr>
            <w:tcW w:w="3402" w:type="dxa"/>
            <w:shd w:fill="D9E2F3" w:val="clear"/>
          </w:tcPr>
          <w:p>
            <w:pPr>
              <w:jc w:val="center"/>
            </w:pPr>
            <w:r>
              <w:rPr>
                <w:rFonts w:ascii="Times New Roman" w:hAnsi="Times New Roman"/>
                <w:b/>
                <w:sz w:val="20"/>
              </w:rPr>
              <w:t>Kết cục phụ</w:t>
            </w:r>
          </w:p>
        </w:tc>
        <w:tc>
          <w:tcPr>
            <w:tcW w:w="2551" w:type="dxa"/>
            <w:shd w:fill="D9E2F3" w:val="clear"/>
          </w:tcPr>
          <w:p>
            <w:pPr>
              <w:jc w:val="center"/>
            </w:pPr>
            <w:r>
              <w:rPr>
                <w:rFonts w:ascii="Times New Roman" w:hAnsi="Times New Roman"/>
                <w:b/>
                <w:sz w:val="20"/>
              </w:rPr>
              <w:t>2 tuần sau (d)</w:t>
            </w:r>
          </w:p>
        </w:tc>
        <w:tc>
          <w:tcPr>
            <w:tcW w:w="2835" w:type="dxa"/>
            <w:shd w:fill="D9E2F3" w:val="clear"/>
          </w:tcPr>
          <w:p>
            <w:pPr>
              <w:jc w:val="center"/>
            </w:pPr>
            <w:r>
              <w:rPr>
                <w:rFonts w:ascii="Times New Roman" w:hAnsi="Times New Roman"/>
                <w:b/>
                <w:sz w:val="20"/>
              </w:rPr>
              <w:t>6 tháng sau (d)</w:t>
            </w:r>
          </w:p>
        </w:tc>
      </w:tr>
      <w:tr>
        <w:tc>
          <w:tcPr>
            <w:tcW w:w="3402" w:type="dxa"/>
          </w:tcPr>
          <w:p>
            <w:r>
              <w:rPr>
                <w:rFonts w:ascii="Times New Roman" w:hAnsi="Times New Roman"/>
                <w:sz w:val="20"/>
              </w:rPr>
              <w:t>MHC-SF Phúc lợi cảm xúc</w:t>
            </w:r>
          </w:p>
        </w:tc>
        <w:tc>
          <w:tcPr>
            <w:tcW w:w="2551" w:type="dxa"/>
          </w:tcPr>
          <w:p>
            <w:r>
              <w:rPr>
                <w:rFonts w:ascii="Times New Roman" w:hAnsi="Times New Roman"/>
                <w:sz w:val="20"/>
              </w:rPr>
              <w:t>Không ý nghĩa</w:t>
            </w:r>
          </w:p>
        </w:tc>
        <w:tc>
          <w:tcPr>
            <w:tcW w:w="2835" w:type="dxa"/>
          </w:tcPr>
          <w:p>
            <w:r>
              <w:rPr>
                <w:rFonts w:ascii="Times New Roman" w:hAnsi="Times New Roman"/>
                <w:sz w:val="20"/>
              </w:rPr>
              <w:t>Không ý nghĩa</w:t>
            </w:r>
          </w:p>
        </w:tc>
      </w:tr>
      <w:tr>
        <w:tc>
          <w:tcPr>
            <w:tcW w:w="3402" w:type="dxa"/>
          </w:tcPr>
          <w:p>
            <w:r>
              <w:rPr>
                <w:rFonts w:ascii="Times New Roman" w:hAnsi="Times New Roman"/>
                <w:sz w:val="20"/>
              </w:rPr>
              <w:t>MHC-SF Phúc lợi xã hội</w:t>
            </w:r>
          </w:p>
        </w:tc>
        <w:tc>
          <w:tcPr>
            <w:tcW w:w="2551" w:type="dxa"/>
          </w:tcPr>
          <w:p>
            <w:r>
              <w:rPr>
                <w:rFonts w:ascii="Times New Roman" w:hAnsi="Times New Roman"/>
                <w:sz w:val="20"/>
              </w:rPr>
              <w:t>Không ý nghĩa</w:t>
            </w:r>
          </w:p>
        </w:tc>
        <w:tc>
          <w:tcPr>
            <w:tcW w:w="2835" w:type="dxa"/>
          </w:tcPr>
          <w:p>
            <w:r>
              <w:rPr>
                <w:rFonts w:ascii="Times New Roman" w:hAnsi="Times New Roman"/>
                <w:sz w:val="20"/>
              </w:rPr>
              <w:t>Không ý nghĩa</w:t>
            </w:r>
          </w:p>
        </w:tc>
      </w:tr>
      <w:tr>
        <w:tc>
          <w:tcPr>
            <w:tcW w:w="3402" w:type="dxa"/>
          </w:tcPr>
          <w:p>
            <w:r>
              <w:rPr>
                <w:rFonts w:ascii="Times New Roman" w:hAnsi="Times New Roman"/>
                <w:sz w:val="20"/>
              </w:rPr>
              <w:t>MHC-SF Phúc lợi tâm lý</w:t>
            </w:r>
          </w:p>
        </w:tc>
        <w:tc>
          <w:tcPr>
            <w:tcW w:w="2551" w:type="dxa"/>
          </w:tcPr>
          <w:p>
            <w:r>
              <w:rPr>
                <w:rFonts w:ascii="Times New Roman" w:hAnsi="Times New Roman"/>
                <w:sz w:val="20"/>
              </w:rPr>
              <w:t>0,13 *</w:t>
            </w:r>
          </w:p>
        </w:tc>
        <w:tc>
          <w:tcPr>
            <w:tcW w:w="2835" w:type="dxa"/>
          </w:tcPr>
          <w:p>
            <w:r>
              <w:rPr>
                <w:rFonts w:ascii="Times New Roman" w:hAnsi="Times New Roman"/>
                <w:sz w:val="20"/>
              </w:rPr>
              <w:t>Không ý nghĩa</w:t>
            </w:r>
          </w:p>
        </w:tc>
      </w:tr>
      <w:tr>
        <w:tc>
          <w:tcPr>
            <w:tcW w:w="3402" w:type="dxa"/>
          </w:tcPr>
          <w:p>
            <w:r>
              <w:rPr>
                <w:rFonts w:ascii="Times New Roman" w:hAnsi="Times New Roman"/>
                <w:sz w:val="20"/>
              </w:rPr>
              <w:t>CSES Ứng phó cảm xúc</w:t>
            </w:r>
          </w:p>
        </w:tc>
        <w:tc>
          <w:tcPr>
            <w:tcW w:w="2551" w:type="dxa"/>
          </w:tcPr>
          <w:p>
            <w:r>
              <w:rPr>
                <w:rFonts w:ascii="Times New Roman" w:hAnsi="Times New Roman"/>
                <w:sz w:val="20"/>
              </w:rPr>
              <w:t>Có ý nghĩa</w:t>
            </w:r>
          </w:p>
        </w:tc>
        <w:tc>
          <w:tcPr>
            <w:tcW w:w="2835" w:type="dxa"/>
          </w:tcPr>
          <w:p>
            <w:r>
              <w:rPr>
                <w:rFonts w:ascii="Times New Roman" w:hAnsi="Times New Roman"/>
                <w:sz w:val="20"/>
              </w:rPr>
              <w:t>Không ý nghĩa sau Bonferroni</w:t>
            </w:r>
          </w:p>
        </w:tc>
      </w:tr>
      <w:tr>
        <w:tc>
          <w:tcPr>
            <w:tcW w:w="3402" w:type="dxa"/>
          </w:tcPr>
          <w:p>
            <w:r>
              <w:rPr>
                <w:rFonts w:ascii="Times New Roman" w:hAnsi="Times New Roman"/>
                <w:sz w:val="20"/>
              </w:rPr>
              <w:t>CSES Ứng phó vấn đề</w:t>
            </w:r>
          </w:p>
        </w:tc>
        <w:tc>
          <w:tcPr>
            <w:tcW w:w="2551" w:type="dxa"/>
          </w:tcPr>
          <w:p>
            <w:r>
              <w:rPr>
                <w:rFonts w:ascii="Times New Roman" w:hAnsi="Times New Roman"/>
                <w:sz w:val="20"/>
              </w:rPr>
              <w:t>0,17 *</w:t>
            </w:r>
          </w:p>
        </w:tc>
        <w:tc>
          <w:tcPr>
            <w:tcW w:w="2835" w:type="dxa"/>
          </w:tcPr>
          <w:p>
            <w:r>
              <w:rPr>
                <w:rFonts w:ascii="Times New Roman" w:hAnsi="Times New Roman"/>
                <w:sz w:val="20"/>
              </w:rPr>
              <w:t>0,17–0,26 * DUY TRÌ</w:t>
            </w:r>
          </w:p>
        </w:tc>
      </w:tr>
      <w:tr>
        <w:tc>
          <w:tcPr>
            <w:tcW w:w="3402" w:type="dxa"/>
          </w:tcPr>
          <w:p>
            <w:r>
              <w:rPr>
                <w:rFonts w:ascii="Times New Roman" w:hAnsi="Times New Roman"/>
                <w:sz w:val="20"/>
              </w:rPr>
              <w:t>CSES Tìm kiếm hỗ trợ XH</w:t>
            </w:r>
          </w:p>
        </w:tc>
        <w:tc>
          <w:tcPr>
            <w:tcW w:w="2551" w:type="dxa"/>
          </w:tcPr>
          <w:p>
            <w:r>
              <w:rPr>
                <w:rFonts w:ascii="Times New Roman" w:hAnsi="Times New Roman"/>
                <w:sz w:val="20"/>
              </w:rPr>
              <w:t>Có ý nghĩa</w:t>
            </w:r>
          </w:p>
        </w:tc>
        <w:tc>
          <w:tcPr>
            <w:tcW w:w="2835" w:type="dxa"/>
          </w:tcPr>
          <w:p>
            <w:r>
              <w:rPr>
                <w:rFonts w:ascii="Times New Roman" w:hAnsi="Times New Roman"/>
                <w:sz w:val="20"/>
              </w:rPr>
              <w:t>Có ý nghĩa DUY TRÌ</w:t>
            </w:r>
          </w:p>
        </w:tc>
      </w:tr>
      <w:tr>
        <w:tc>
          <w:tcPr>
            <w:tcW w:w="3402" w:type="dxa"/>
          </w:tcPr>
          <w:p>
            <w:r>
              <w:rPr>
                <w:rFonts w:ascii="Times New Roman" w:hAnsi="Times New Roman"/>
                <w:sz w:val="20"/>
              </w:rPr>
              <w:t>Kết nối trường học</w:t>
            </w:r>
          </w:p>
        </w:tc>
        <w:tc>
          <w:tcPr>
            <w:tcW w:w="2551" w:type="dxa"/>
          </w:tcPr>
          <w:p>
            <w:r>
              <w:rPr>
                <w:rFonts w:ascii="Times New Roman" w:hAnsi="Times New Roman"/>
                <w:sz w:val="20"/>
              </w:rPr>
              <w:t>Không ý nghĩa</w:t>
            </w:r>
          </w:p>
        </w:tc>
        <w:tc>
          <w:tcPr>
            <w:tcW w:w="2835" w:type="dxa"/>
          </w:tcPr>
          <w:p>
            <w:r>
              <w:rPr>
                <w:rFonts w:ascii="Times New Roman" w:hAnsi="Times New Roman"/>
                <w:sz w:val="20"/>
              </w:rPr>
              <w:t>Không ý nghĩa</w:t>
            </w:r>
          </w:p>
        </w:tc>
      </w:tr>
    </w:tbl>
    <w:p>
      <w:pPr>
        <w:jc w:val="both"/>
      </w:pPr>
      <w:r>
        <w:rPr>
          <w:rFonts w:ascii="Times New Roman" w:hAnsi="Times New Roman"/>
          <w:b w:val="0"/>
          <w:i/>
          <w:sz w:val="20"/>
        </w:rPr>
        <w:t>* có ý nghĩa thống kê sau hiệu chỉnh Bonferroni</w:t>
      </w:r>
    </w:p>
    <w:p>
      <w:pPr>
        <w:jc w:val="both"/>
      </w:pPr>
      <w:r>
        <w:rPr>
          <w:rFonts w:ascii="Times New Roman" w:hAnsi="Times New Roman"/>
          <w:b/>
          <w:i w:val="0"/>
          <w:sz w:val="24"/>
        </w:rPr>
        <w:t>Phát hiện quan trọng: tự hiệu quả ứng phó tập trung vào vấn đề và tìm kiếm hỗ trợ xã hội DUY TRÌ ý nghĩa thống kê ở cả 2 và 6 tháng — cho thấy kỹ năng được học có thể được giữ lại lâu dài, dù triệu chứng trầm cảm quay lại.</w:t>
      </w:r>
    </w:p>
    <w:p>
      <w:pPr>
        <w:pStyle w:val="Heading2"/>
      </w:pPr>
      <w:r>
        <w:rPr>
          <w:rFonts w:ascii="Times New Roman" w:hAnsi="Times New Roman"/>
          <w:color w:val="000000"/>
        </w:rPr>
        <w:t>THẢO LUẬN</w:t>
      </w:r>
    </w:p>
    <w:p>
      <w:pPr>
        <w:jc w:val="both"/>
      </w:pPr>
      <w:r>
        <w:rPr>
          <w:rFonts w:ascii="Times New Roman" w:hAnsi="Times New Roman"/>
          <w:b w:val="0"/>
          <w:i w:val="0"/>
          <w:sz w:val="24"/>
        </w:rPr>
        <w:t>Bối cảnh hiệu lực: Cohen d = 0,11 cho trầm cảm nằm ở persentile thứ 25 so với các chương trình phòng ngừa phổ quát khác, nhưng vượt qua 29 % các chương trình phòng ngừa SKTT cho sinh viên đại học. Meta-analysis cho thấy kích thước hiệu ứng trung vị là 0,18 cho phòng ngừa trầm cảm. Vậy Happy House ở mức "trung bình–dưới" so với các chương trình phổ quát quốc tế.</w:t>
      </w:r>
    </w:p>
    <w:p>
      <w:pPr>
        <w:jc w:val="both"/>
      </w:pPr>
      <w:r>
        <w:rPr>
          <w:rFonts w:ascii="Times New Roman" w:hAnsi="Times New Roman"/>
          <w:b w:val="0"/>
          <w:i w:val="0"/>
          <w:sz w:val="24"/>
        </w:rPr>
        <w:t>Vấn đề bền vững: Khác với các thử nghiệm RAP tại Úc và New Zealand cho thấy hiệu quả duy trì 10–18 tháng, nghiên cứu này và các nghiên cứu LMIC khác cho thấy fade-out ở 6 tháng. Các tác giả cho rằng phần nguyên nhân là do phong tỏa COVID-19 tại Việt Nam trong thời gian theo dõi gây ra sự xấu đi rộng rãi của SKTT.</w:t>
      </w:r>
    </w:p>
    <w:p>
      <w:pPr>
        <w:jc w:val="both"/>
      </w:pPr>
      <w:r>
        <w:rPr>
          <w:rFonts w:ascii="Times New Roman" w:hAnsi="Times New Roman"/>
          <w:b w:val="0"/>
          <w:i w:val="0"/>
          <w:sz w:val="24"/>
        </w:rPr>
        <w:t>Tỷ lệ trầm cảm ban đầu: 25,5 % HS có CESD-R ≥ 16 ban đầu ở cả hai nhóm — nhất quán với dữ liệu Việt Nam trước đó (23 % trong các nghiên cứu tương tự) và ước tính toàn cầu.</w:t>
      </w:r>
    </w:p>
    <w:p>
      <w:pPr>
        <w:jc w:val="both"/>
      </w:pPr>
      <w:r>
        <w:rPr>
          <w:rFonts w:ascii="Times New Roman" w:hAnsi="Times New Roman"/>
          <w:b w:val="0"/>
          <w:i w:val="0"/>
          <w:sz w:val="24"/>
        </w:rPr>
        <w:t>Kỹ năng ứng phó: Các cải thiện ở cả ba chiến lược ứng phó (giải quyết vấn đề, điều tiết cảm xúc, tìm kiếm hỗ trợ xã hội) được duy trì ở 6 tháng, phù hợp với phát hiện từ thử nghiệm RAP Mauritius. Điều này gợi ý rằng Happy House phát triển KỸ NĂNG có thể giữ lại lâu dài, dù hiệu ứng trực tiếp trên TRIỆU CHỨNG giảm dần.</w:t>
      </w:r>
    </w:p>
    <w:p>
      <w:pPr>
        <w:jc w:val="both"/>
      </w:pPr>
      <w:r>
        <w:rPr>
          <w:rFonts w:ascii="Times New Roman" w:hAnsi="Times New Roman"/>
          <w:b w:val="0"/>
          <w:i w:val="0"/>
          <w:sz w:val="24"/>
        </w:rPr>
        <w:t>Thích ứng cỡ nhóm: RAP gốc được cung cấp cho ~16 HS/lớp; Happy House được thích ứng cho 40–45 HS/lớp để cải thiện khả năng triển khai/mở rộng trong bối cảnh nguồn lực hạn chế. Cần chia nhóm nhỏ hơn trong một số hoạt động và có trợ giảng hỗ trợ bổ sung.</w:t>
      </w:r>
    </w:p>
    <w:p>
      <w:pPr>
        <w:pStyle w:val="Heading2"/>
      </w:pPr>
      <w:r>
        <w:rPr>
          <w:rFonts w:ascii="Times New Roman" w:hAnsi="Times New Roman"/>
          <w:color w:val="000000"/>
        </w:rPr>
        <w:t>HẠN CHẾ</w:t>
      </w:r>
    </w:p>
    <w:p>
      <w:pPr>
        <w:jc w:val="both"/>
      </w:pPr>
      <w:r>
        <w:rPr>
          <w:rFonts w:ascii="Times New Roman" w:hAnsi="Times New Roman"/>
          <w:b w:val="0"/>
          <w:i w:val="0"/>
          <w:sz w:val="24"/>
        </w:rPr>
        <w:t>(1) Phân bổ lớp không ngẫu nhiên (thiết kế cụm ngăn việc ngẫu nhiên hoá trong trường); (2) Đo kết cục tự báo cáo (khả năng bias phản hồi); (3) CESD-R là sàng lọc, không phải chẩn đoán; (4) Fidelity tự đánh giá bởi giáo viên, không có quan sát chất lượng bên ngoài (COVID ngăn cản nhóm Úc quan sát); (5) Đại dịch COVID-19 xảy ra trong thời gian theo dõi; (6) Phân tích trung gian (mediation analyses) không được thực hiện do hiệu ứng không có ý nghĩa ở 6 tháng.</w:t>
      </w:r>
    </w:p>
    <w:p>
      <w:pPr>
        <w:pStyle w:val="Heading2"/>
      </w:pPr>
      <w:r>
        <w:rPr>
          <w:rFonts w:ascii="Times New Roman" w:hAnsi="Times New Roman"/>
          <w:color w:val="000000"/>
        </w:rPr>
        <w:t>KẾT LUẬN VÀ Ý NGHĨA</w:t>
      </w:r>
    </w:p>
    <w:p>
      <w:pPr>
        <w:jc w:val="both"/>
      </w:pPr>
      <w:r>
        <w:rPr>
          <w:rFonts w:ascii="Times New Roman" w:hAnsi="Times New Roman"/>
          <w:b w:val="0"/>
          <w:i w:val="0"/>
          <w:sz w:val="24"/>
        </w:rPr>
        <w:t>Chương trình Happy House cho thấy tiềm năng lớn để tích hợp vào chương trình học hiện có nhằm giảm các vấn đề sức khoẻ tâm thần ở vị thành niên Việt Nam. Các tác giả đề xuất: (1) bổ sung BOOSTER SESSIONS để duy trì hiệu quả; (2) phân tích kinh tế cho các quyết định chính sách; (3) giải quyết các rào cản thương mại hoá (RAP yêu cầu phí bản quyền để triển khai).</w:t>
      </w:r>
    </w:p>
    <w:p>
      <w:pPr>
        <w:pStyle w:val="Heading2"/>
      </w:pPr>
      <w:r>
        <w:rPr>
          <w:rFonts w:ascii="Times New Roman" w:hAnsi="Times New Roman"/>
          <w:color w:val="000000"/>
        </w:rPr>
        <w:t>QUAN ĐIỂM PHẢN BIỆN</w:t>
      </w:r>
    </w:p>
    <w:p>
      <w:pPr>
        <w:jc w:val="both"/>
      </w:pPr>
      <w:r>
        <w:rPr>
          <w:rFonts w:ascii="Times New Roman" w:hAnsi="Times New Roman"/>
          <w:b/>
          <w:color w:val="CC0000"/>
          <w:sz w:val="24"/>
        </w:rPr>
        <w:t>Điểm mạnh:</w:t>
      </w:r>
    </w:p>
    <w:p>
      <w:pPr>
        <w:jc w:val="both"/>
      </w:pPr>
      <w:r>
        <w:rPr>
          <w:rFonts w:ascii="Times New Roman" w:hAnsi="Times New Roman"/>
          <w:b w:val="0"/>
          <w:color w:val="CC0000"/>
          <w:sz w:val="24"/>
        </w:rPr>
        <w:t>• ĐÂY LÀ RCT CLUSTER ĐẦU TIÊN tại Việt Nam về can thiệp SKTT học đường cho VTN — lấp khoảng trống nghiên cứu mà v2 của báo cáo can thiệp của chúng ta đã nhận định sai là "0 RCT VN".</w:t>
      </w:r>
    </w:p>
    <w:p>
      <w:pPr>
        <w:jc w:val="both"/>
      </w:pPr>
      <w:r>
        <w:rPr>
          <w:rFonts w:ascii="Times New Roman" w:hAnsi="Times New Roman"/>
          <w:b w:val="0"/>
          <w:color w:val="CC0000"/>
          <w:sz w:val="24"/>
        </w:rPr>
        <w:t>• Cỡ mẫu rất lớn (n = 1.084) với tỷ lệ tham gia 96,1 % — thiết kế rất chắc chắn.</w:t>
      </w:r>
    </w:p>
    <w:p>
      <w:pPr>
        <w:jc w:val="both"/>
      </w:pPr>
      <w:r>
        <w:rPr>
          <w:rFonts w:ascii="Times New Roman" w:hAnsi="Times New Roman"/>
          <w:b w:val="0"/>
          <w:color w:val="CC0000"/>
          <w:sz w:val="24"/>
        </w:rPr>
        <w:t>• Mất mẫu cực kỳ thấp (&lt; 3 % ở mọi thời điểm).</w:t>
      </w:r>
    </w:p>
    <w:p>
      <w:pPr>
        <w:jc w:val="both"/>
      </w:pPr>
      <w:r>
        <w:rPr>
          <w:rFonts w:ascii="Times New Roman" w:hAnsi="Times New Roman"/>
          <w:b w:val="0"/>
          <w:color w:val="CC0000"/>
          <w:sz w:val="24"/>
        </w:rPr>
        <w:t>• RAP-A có cơ sở bằng chứng quốc tế mạnh (Úc, New Zealand, Mauritius) + được thích ứng văn hoá Việt Nam một cách hệ thống qua 4 giai đoạn.</w:t>
      </w:r>
    </w:p>
    <w:p>
      <w:pPr>
        <w:jc w:val="both"/>
      </w:pPr>
      <w:r>
        <w:rPr>
          <w:rFonts w:ascii="Times New Roman" w:hAnsi="Times New Roman"/>
          <w:b w:val="0"/>
          <w:color w:val="CC0000"/>
          <w:sz w:val="24"/>
        </w:rPr>
        <w:t>• Mô hình hợp tác Việt – Úc (Monash + Hanoi University of Public Health + QUT) — bài học quý cho hợp tác quốc tế.</w:t>
      </w:r>
    </w:p>
    <w:p>
      <w:pPr>
        <w:jc w:val="both"/>
      </w:pPr>
      <w:r>
        <w:rPr>
          <w:rFonts w:ascii="Times New Roman" w:hAnsi="Times New Roman"/>
          <w:b w:val="0"/>
          <w:color w:val="CC0000"/>
          <w:sz w:val="24"/>
        </w:rPr>
        <w:t>• Giáo viên cung cấp — phù hợp bối cảnh LMIC thiếu chuyên gia tâm lý.</w:t>
      </w:r>
    </w:p>
    <w:p>
      <w:pPr>
        <w:jc w:val="both"/>
      </w:pPr>
      <w:r>
        <w:rPr>
          <w:rFonts w:ascii="Times New Roman" w:hAnsi="Times New Roman"/>
          <w:b w:val="0"/>
          <w:color w:val="CC0000"/>
          <w:sz w:val="24"/>
        </w:rPr>
        <w:t>• Đã đăng ký thử nghiệm trước ACTRN12620000088943 — minh bạch phương pháp.</w:t>
      </w:r>
    </w:p>
    <w:p>
      <w:pPr>
        <w:jc w:val="both"/>
      </w:pPr>
      <w:r>
        <w:rPr>
          <w:rFonts w:ascii="Times New Roman" w:hAnsi="Times New Roman"/>
          <w:b w:val="0"/>
          <w:color w:val="CC0000"/>
          <w:sz w:val="24"/>
        </w:rPr>
        <w:t>• Tài trợ quốc tế uy tín: NHMRC Úc + NAFOSTED Việt Nam.</w:t>
      </w:r>
    </w:p>
    <w:p>
      <w:pPr>
        <w:jc w:val="both"/>
      </w:pPr>
      <w:r>
        <w:rPr>
          <w:rFonts w:ascii="Times New Roman" w:hAnsi="Times New Roman"/>
          <w:b/>
          <w:color w:val="CC0000"/>
          <w:sz w:val="24"/>
        </w:rPr>
        <w:t>Hạn chế:</w:t>
      </w:r>
    </w:p>
    <w:p>
      <w:pPr>
        <w:jc w:val="both"/>
      </w:pPr>
      <w:r>
        <w:rPr>
          <w:rFonts w:ascii="Times New Roman" w:hAnsi="Times New Roman"/>
          <w:b w:val="0"/>
          <w:color w:val="CC0000"/>
          <w:sz w:val="24"/>
        </w:rPr>
        <w:t>• Đây là can thiệp PHỔ QUÁT (universal), không phải TARGETED cho HS có triệu chứng. Hiệu ứng nhỏ d = 0,11 có thể do dilution — phù hợp với cảnh báo của Zhang, Liang &amp; Kang 2026 (Bayesian MA 31 RCT).</w:t>
      </w:r>
    </w:p>
    <w:p>
      <w:pPr>
        <w:jc w:val="both"/>
      </w:pPr>
      <w:r>
        <w:rPr>
          <w:rFonts w:ascii="Times New Roman" w:hAnsi="Times New Roman"/>
          <w:b w:val="0"/>
          <w:color w:val="CC0000"/>
          <w:sz w:val="24"/>
        </w:rPr>
        <w:t>• Hiệu ứng trên trầm cảm KHÔNG CÒN ý nghĩa ở 6 tháng — FADE-OUT — gợi ý cần BOOSTER SESSIONS (các thử nghiệm RAP Úc duy trì 10–18 tháng).</w:t>
      </w:r>
    </w:p>
    <w:p>
      <w:pPr>
        <w:jc w:val="both"/>
      </w:pPr>
      <w:r>
        <w:rPr>
          <w:rFonts w:ascii="Times New Roman" w:hAnsi="Times New Roman"/>
          <w:b w:val="0"/>
          <w:color w:val="CC0000"/>
          <w:sz w:val="24"/>
        </w:rPr>
        <w:t>• Đo TRẦM CẢM (CESD-R) chính, KHÔNG đo LO ÂU riêng — báo cáo VTN VN cho lo âu vẫn chưa có RCT chuyên biệt.</w:t>
      </w:r>
    </w:p>
    <w:p>
      <w:pPr>
        <w:jc w:val="both"/>
      </w:pPr>
      <w:r>
        <w:rPr>
          <w:rFonts w:ascii="Times New Roman" w:hAnsi="Times New Roman"/>
          <w:b w:val="0"/>
          <w:color w:val="CC0000"/>
          <w:sz w:val="24"/>
        </w:rPr>
        <w:t>• Chỉ Hà Nội + lớp 10 — chưa đại diện toàn VN (lớp 11-12 chuẩn bị Gao Kao có thể khác, THCS khác, vùng nông thôn + DTTS khác).</w:t>
      </w:r>
    </w:p>
    <w:p>
      <w:pPr>
        <w:jc w:val="both"/>
      </w:pPr>
      <w:r>
        <w:rPr>
          <w:rFonts w:ascii="Times New Roman" w:hAnsi="Times New Roman"/>
          <w:b w:val="0"/>
          <w:color w:val="CC0000"/>
          <w:sz w:val="24"/>
        </w:rPr>
        <w:t>• Phân bổ NHÓM không ngẫu nhiên (non-randomized) — không phải RCT thuần. Có thể có bias về đặc điểm không quan sát được giữa 4 trường can thiệp vs 4 trường đối chứng.</w:t>
      </w:r>
    </w:p>
    <w:p>
      <w:pPr>
        <w:jc w:val="both"/>
      </w:pPr>
      <w:r>
        <w:rPr>
          <w:rFonts w:ascii="Times New Roman" w:hAnsi="Times New Roman"/>
          <w:b w:val="0"/>
          <w:color w:val="CC0000"/>
          <w:sz w:val="24"/>
        </w:rPr>
        <w:t>• KHÔNG có active control — chỉ là chương trình học chính quy, khó loại trừ hiệu ứng chú ý.</w:t>
      </w:r>
    </w:p>
    <w:p>
      <w:pPr>
        <w:jc w:val="both"/>
      </w:pPr>
      <w:r>
        <w:rPr>
          <w:rFonts w:ascii="Times New Roman" w:hAnsi="Times New Roman"/>
          <w:b w:val="0"/>
          <w:color w:val="CC0000"/>
          <w:sz w:val="24"/>
        </w:rPr>
        <w:t>• Fidelity tự đánh giá bởi giáo viên — không có quan sát độc lập.</w:t>
      </w:r>
    </w:p>
    <w:p>
      <w:pPr>
        <w:jc w:val="both"/>
      </w:pPr>
      <w:r>
        <w:rPr>
          <w:rFonts w:ascii="Times New Roman" w:hAnsi="Times New Roman"/>
          <w:b w:val="0"/>
          <w:color w:val="CC0000"/>
          <w:sz w:val="24"/>
        </w:rPr>
        <w:t>• Theo dõi trong thời gian COVID-19 — có thể confound tác động của can thiệp.</w:t>
      </w:r>
    </w:p>
    <w:p>
      <w:pPr>
        <w:jc w:val="both"/>
      </w:pPr>
      <w:r>
        <w:rPr>
          <w:rFonts w:ascii="Times New Roman" w:hAnsi="Times New Roman"/>
          <w:b/>
          <w:color w:val="CC0000"/>
          <w:sz w:val="24"/>
        </w:rPr>
        <w:t>Áp dụng cho đề cương Việt Nam:</w:t>
      </w:r>
    </w:p>
    <w:p>
      <w:pPr>
        <w:jc w:val="both"/>
      </w:pPr>
      <w:r>
        <w:rPr>
          <w:rFonts w:ascii="Times New Roman" w:hAnsi="Times New Roman"/>
          <w:b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color w:val="CC0000"/>
          <w:sz w:val="24"/>
        </w:rPr>
        <w:t>(3) Nên thử nghiệm mô hình TARGETED (HS có CESD-R ≥ 16 hoặc GAD-7 ≥ 8) thay vì universal — có thể có hiệu ứng lớn hơn.</w:t>
      </w:r>
    </w:p>
    <w:p>
      <w:pPr>
        <w:jc w:val="both"/>
      </w:pPr>
      <w:r>
        <w:rPr>
          <w:rFonts w:ascii="Times New Roman" w:hAnsi="Times New Roman"/>
          <w:b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color w:val="CC0000"/>
          <w:sz w:val="24"/>
        </w:rPr>
        <w:t>(5) Mở rộng địa bàn ra ngoài Hà Nội (TPHCM, Đà Nẵng, vùng miền trung nông thôn) để tăng tính đại diện.</w:t>
      </w:r>
    </w:p>
    <w:p>
      <w:pPr>
        <w:jc w:val="both"/>
      </w:pPr>
      <w:r>
        <w:rPr>
          <w:rFonts w:ascii="Times New Roman" w:hAnsi="Times New Roman"/>
          <w:b w:val="0"/>
          <w:color w:val="CC0000"/>
          <w:sz w:val="24"/>
        </w:rPr>
        <w:t>(6) RANDOMIZE cấp trường để có thiết kế RCT thuần.</w:t>
      </w:r>
    </w:p>
    <w:p>
      <w:pPr>
        <w:jc w:val="both"/>
      </w:pPr>
      <w:r>
        <w:rPr>
          <w:rFonts w:ascii="Times New Roman" w:hAnsi="Times New Roman"/>
          <w:b/>
          <w:i w:val="0"/>
          <w:sz w:val="24"/>
        </w:rPr>
        <w:t>Đánh giá: ⭐⭐⭐⭐ Cao. Cluster controlled trial ĐẦU TIÊN tại VN cho VTN, mẫu lớn, tác giả Monash–QUT–HUPH uy tín, tỷ lệ tham gia 96,1 %, mất mẫu &lt; 3 %. Hạn chế: universal interventions với hiệu ứng nhỏ, không đo lo âu riêng, phân bổ non-randomized. PHẢI ĐƯỢC TRÍCH DẪN trong mọi báo cáo can thiệp VN từ nay trở đi.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