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Bài 55 / QT048 — DỊCH CHI TIẾT + PHẢN BIỆN MỞ RỘNG</w:t>
      </w:r>
    </w:p>
    <w:p>
      <w:pPr>
        <w:jc w:val="center"/>
      </w:pPr>
      <w:r>
        <w:rPr>
          <w:rFonts w:ascii="Times New Roman" w:hAnsi="Times New Roman"/>
          <w:i/>
          <w:color w:val="808080"/>
          <w:sz w:val="20"/>
        </w:rPr>
        <w:t>Phiên bản v2 — rebuild 15/04/2026</w:t>
      </w:r>
    </w:p>
    <w:p>
      <w:r>
        <w:rPr>
          <w:rFonts w:ascii="Times New Roman" w:hAnsi="Times New Roman"/>
        </w:rPr>
      </w:r>
    </w:p>
    <w:p>
      <w:r>
        <w:rPr>
          <w:rFonts w:ascii="Times New Roman" w:hAnsi="Times New Roman"/>
          <w:b/>
          <w:color w:val="1F3A68"/>
          <w:sz w:val="26"/>
        </w:rPr>
        <w:t>I. 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Trường</w:t>
            </w:r>
          </w:p>
        </w:tc>
        <w:tc>
          <w:tcPr>
            <w:tcW w:type="dxa" w:w="4320"/>
            <w:shd w:fill="D9E1F2"/>
          </w:tcPr>
          <w:p>
            <w:r/>
            <w:r>
              <w:rPr>
                <w:rFonts w:ascii="Times New Roman" w:hAnsi="Times New Roman"/>
                <w:b/>
                <w:sz w:val="20"/>
              </w:rPr>
              <w:t>Giá trị</w:t>
            </w:r>
          </w:p>
        </w:tc>
      </w:tr>
      <w:tr>
        <w:tc>
          <w:tcPr>
            <w:tcW w:type="dxa" w:w="4320"/>
          </w:tcPr>
          <w:p>
            <w:r/>
            <w:r>
              <w:rPr>
                <w:rFonts w:ascii="Times New Roman" w:hAnsi="Times New Roman"/>
                <w:sz w:val="20"/>
              </w:rPr>
              <w:t>Tiêu đề (EN)</w:t>
            </w:r>
          </w:p>
        </w:tc>
        <w:tc>
          <w:tcPr>
            <w:tcW w:type="dxa" w:w="4320"/>
          </w:tcPr>
          <w:p>
            <w:r/>
            <w:r>
              <w:rPr>
                <w:rFonts w:ascii="Times New Roman" w:hAnsi="Times New Roman"/>
                <w:sz w:val="20"/>
              </w:rPr>
              <w:t>Protective and risk factors of anxiety in children and adolescents during COVID-19: A systematic review and three level meta-analysis</w:t>
            </w:r>
          </w:p>
        </w:tc>
      </w:tr>
      <w:tr>
        <w:tc>
          <w:tcPr>
            <w:tcW w:type="dxa" w:w="4320"/>
          </w:tcPr>
          <w:p>
            <w:r/>
            <w:r>
              <w:rPr>
                <w:rFonts w:ascii="Times New Roman" w:hAnsi="Times New Roman"/>
                <w:sz w:val="20"/>
              </w:rPr>
              <w:t>Tiêu đề (VN)</w:t>
            </w:r>
          </w:p>
        </w:tc>
        <w:tc>
          <w:tcPr>
            <w:tcW w:type="dxa" w:w="4320"/>
          </w:tcPr>
          <w:p>
            <w:r/>
            <w:r>
              <w:rPr>
                <w:rFonts w:ascii="Times New Roman" w:hAnsi="Times New Roman"/>
                <w:sz w:val="20"/>
              </w:rPr>
              <w:t>Các yếu tố bảo vệ và nguy cơ của lo âu ở trẻ em và vị thành niên trong đại dịch COVID-19: Tổng quan hệ thống và phân tích tổng hợp ba cấp</w:t>
            </w:r>
          </w:p>
        </w:tc>
      </w:tr>
      <w:tr>
        <w:tc>
          <w:tcPr>
            <w:tcW w:type="dxa" w:w="4320"/>
          </w:tcPr>
          <w:p>
            <w:r/>
            <w:r>
              <w:rPr>
                <w:rFonts w:ascii="Times New Roman" w:hAnsi="Times New Roman"/>
                <w:sz w:val="20"/>
              </w:rPr>
              <w:t>Tác giả (đầy đủ)</w:t>
            </w:r>
          </w:p>
        </w:tc>
        <w:tc>
          <w:tcPr>
            <w:tcW w:type="dxa" w:w="4320"/>
          </w:tcPr>
          <w:p>
            <w:r/>
            <w:r>
              <w:rPr>
                <w:rFonts w:ascii="Times New Roman" w:hAnsi="Times New Roman"/>
                <w:sz w:val="20"/>
              </w:rPr>
              <w:t>Huijing Chen, Qi Wang, Jiangle Zhu, Yifan Zhu, Feng Yang, Jun Hui, Xiaoyan Tang, Tianhong Zhang</w:t>
            </w:r>
          </w:p>
        </w:tc>
      </w:tr>
      <w:tr>
        <w:tc>
          <w:tcPr>
            <w:tcW w:type="dxa" w:w="4320"/>
          </w:tcPr>
          <w:p>
            <w:r/>
            <w:r>
              <w:rPr>
                <w:rFonts w:ascii="Times New Roman" w:hAnsi="Times New Roman"/>
                <w:sz w:val="20"/>
              </w:rPr>
              <w:t>Liên kết dự kiến</w:t>
            </w:r>
          </w:p>
        </w:tc>
        <w:tc>
          <w:tcPr>
            <w:tcW w:type="dxa" w:w="4320"/>
          </w:tcPr>
          <w:p>
            <w:r/>
            <w:r>
              <w:rPr>
                <w:rFonts w:ascii="Times New Roman" w:hAnsi="Times New Roman"/>
                <w:sz w:val="20"/>
              </w:rPr>
              <w:t>Shanghai Mental Health Center (suy luận từ tác giả Tianhong Zhang — head of adolescent early psychosis program)</w:t>
            </w:r>
          </w:p>
        </w:tc>
      </w:tr>
      <w:tr>
        <w:tc>
          <w:tcPr>
            <w:tcW w:type="dxa" w:w="4320"/>
          </w:tcPr>
          <w:p>
            <w:r/>
            <w:r>
              <w:rPr>
                <w:rFonts w:ascii="Times New Roman" w:hAnsi="Times New Roman"/>
                <w:sz w:val="20"/>
              </w:rPr>
              <w:t>Năm xuất bản</w:t>
            </w:r>
          </w:p>
        </w:tc>
        <w:tc>
          <w:tcPr>
            <w:tcW w:type="dxa" w:w="4320"/>
          </w:tcPr>
          <w:p>
            <w:r/>
            <w:r>
              <w:rPr>
                <w:rFonts w:ascii="Times New Roman" w:hAnsi="Times New Roman"/>
                <w:sz w:val="20"/>
              </w:rPr>
              <w:t>2025 (online 01/2025, in print 04/2025)</w:t>
            </w:r>
          </w:p>
        </w:tc>
      </w:tr>
      <w:tr>
        <w:tc>
          <w:tcPr>
            <w:tcW w:type="dxa" w:w="4320"/>
          </w:tcPr>
          <w:p>
            <w:r/>
            <w:r>
              <w:rPr>
                <w:rFonts w:ascii="Times New Roman" w:hAnsi="Times New Roman"/>
                <w:sz w:val="20"/>
              </w:rPr>
              <w:t>Tạp chí</w:t>
            </w:r>
          </w:p>
        </w:tc>
        <w:tc>
          <w:tcPr>
            <w:tcW w:type="dxa" w:w="4320"/>
          </w:tcPr>
          <w:p>
            <w:r/>
            <w:r>
              <w:rPr>
                <w:rFonts w:ascii="Times New Roman" w:hAnsi="Times New Roman"/>
                <w:sz w:val="20"/>
              </w:rPr>
              <w:t>Journal of Affective Disorders, vol. 374, pages 408–432</w:t>
            </w:r>
          </w:p>
        </w:tc>
      </w:tr>
      <w:tr>
        <w:tc>
          <w:tcPr>
            <w:tcW w:type="dxa" w:w="4320"/>
          </w:tcPr>
          <w:p>
            <w:r/>
            <w:r>
              <w:rPr>
                <w:rFonts w:ascii="Times New Roman" w:hAnsi="Times New Roman"/>
                <w:sz w:val="20"/>
              </w:rPr>
              <w:t>DOI</w:t>
            </w:r>
          </w:p>
        </w:tc>
        <w:tc>
          <w:tcPr>
            <w:tcW w:type="dxa" w:w="4320"/>
          </w:tcPr>
          <w:p>
            <w:r/>
            <w:r>
              <w:rPr>
                <w:rFonts w:ascii="Times New Roman" w:hAnsi="Times New Roman"/>
                <w:sz w:val="20"/>
              </w:rPr>
              <w:t>10.1016/j.jad.2025.01.029</w:t>
            </w:r>
          </w:p>
        </w:tc>
      </w:tr>
      <w:tr>
        <w:tc>
          <w:tcPr>
            <w:tcW w:type="dxa" w:w="4320"/>
          </w:tcPr>
          <w:p>
            <w:r/>
            <w:r>
              <w:rPr>
                <w:rFonts w:ascii="Times New Roman" w:hAnsi="Times New Roman"/>
                <w:sz w:val="20"/>
              </w:rPr>
              <w:t>PROSPERO</w:t>
            </w:r>
          </w:p>
        </w:tc>
        <w:tc>
          <w:tcPr>
            <w:tcW w:type="dxa" w:w="4320"/>
          </w:tcPr>
          <w:p>
            <w:r/>
            <w:r>
              <w:rPr>
                <w:rFonts w:ascii="Times New Roman" w:hAnsi="Times New Roman"/>
                <w:sz w:val="20"/>
              </w:rPr>
              <w:t>CRD42022316746</w:t>
            </w:r>
          </w:p>
        </w:tc>
      </w:tr>
      <w:tr>
        <w:tc>
          <w:tcPr>
            <w:tcW w:type="dxa" w:w="4320"/>
          </w:tcPr>
          <w:p>
            <w:r/>
            <w:r>
              <w:rPr>
                <w:rFonts w:ascii="Times New Roman" w:hAnsi="Times New Roman"/>
                <w:sz w:val="20"/>
              </w:rPr>
              <w:t>Loại bài</w:t>
            </w:r>
          </w:p>
        </w:tc>
        <w:tc>
          <w:tcPr>
            <w:tcW w:type="dxa" w:w="4320"/>
          </w:tcPr>
          <w:p>
            <w:r/>
            <w:r>
              <w:rPr>
                <w:rFonts w:ascii="Times New Roman" w:hAnsi="Times New Roman"/>
                <w:sz w:val="20"/>
              </w:rPr>
              <w:t>Systematic review + three-level meta-analysis</w:t>
            </w:r>
          </w:p>
        </w:tc>
      </w:tr>
      <w:tr>
        <w:tc>
          <w:tcPr>
            <w:tcW w:type="dxa" w:w="4320"/>
          </w:tcPr>
          <w:p>
            <w:r/>
            <w:r>
              <w:rPr>
                <w:rFonts w:ascii="Times New Roman" w:hAnsi="Times New Roman"/>
                <w:sz w:val="20"/>
              </w:rPr>
              <w:t>Tạp chí xếp hạng</w:t>
            </w:r>
          </w:p>
        </w:tc>
        <w:tc>
          <w:tcPr>
            <w:tcW w:type="dxa" w:w="4320"/>
          </w:tcPr>
          <w:p>
            <w:r/>
            <w:r>
              <w:rPr>
                <w:rFonts w:ascii="Times New Roman" w:hAnsi="Times New Roman"/>
                <w:sz w:val="20"/>
              </w:rPr>
              <w:t>Journal of Affective Disorders — Q1 Scopus (IF 2024 ≈ 5,9)</w:t>
            </w:r>
          </w:p>
        </w:tc>
      </w:tr>
      <w:tr>
        <w:tc>
          <w:tcPr>
            <w:tcW w:type="dxa" w:w="4320"/>
          </w:tcPr>
          <w:p>
            <w:r/>
            <w:r>
              <w:rPr>
                <w:rFonts w:ascii="Times New Roman" w:hAnsi="Times New Roman"/>
                <w:sz w:val="20"/>
              </w:rPr>
              <w:t>Tài trợ</w:t>
            </w:r>
          </w:p>
        </w:tc>
        <w:tc>
          <w:tcPr>
            <w:tcW w:type="dxa" w:w="4320"/>
          </w:tcPr>
          <w:p>
            <w:r/>
            <w:r>
              <w:rPr>
                <w:rFonts w:ascii="Times New Roman" w:hAnsi="Times New Roman"/>
                <w:sz w:val="20"/>
              </w:rPr>
              <w:t>National Social Science Fund of China (Grant no. 20CSH028)</w:t>
            </w:r>
          </w:p>
        </w:tc>
      </w:tr>
      <w:tr>
        <w:tc>
          <w:tcPr>
            <w:tcW w:type="dxa" w:w="4320"/>
          </w:tcPr>
          <w:p>
            <w:r/>
            <w:r>
              <w:rPr>
                <w:rFonts w:ascii="Times New Roman" w:hAnsi="Times New Roman"/>
                <w:sz w:val="20"/>
              </w:rPr>
              <w:t>Access</w:t>
            </w:r>
          </w:p>
        </w:tc>
        <w:tc>
          <w:tcPr>
            <w:tcW w:type="dxa" w:w="4320"/>
          </w:tcPr>
          <w:p>
            <w:r/>
            <w:r>
              <w:rPr>
                <w:rFonts w:ascii="Times New Roman" w:hAnsi="Times New Roman"/>
                <w:sz w:val="20"/>
              </w:rPr>
              <w:t>Paywall Elsevier — abstract đầy đủ công khai trên ScienceDirect</w:t>
            </w:r>
          </w:p>
        </w:tc>
      </w:tr>
    </w:tbl>
    <w:p>
      <w:r>
        <w:rPr>
          <w:rFonts w:ascii="Times New Roman" w:hAnsi="Times New Roman"/>
        </w:rPr>
      </w:r>
    </w:p>
    <w:p>
      <w:r>
        <w:rPr>
          <w:rFonts w:ascii="Times New Roman" w:hAnsi="Times New Roman"/>
          <w:b/>
          <w:color w:val="1F3A68"/>
          <w:sz w:val="26"/>
        </w:rPr>
        <w:t>II. TÓM TẮT GỐC — DỊCH ĐẦY ĐỦ</w:t>
      </w:r>
    </w:p>
    <w:p>
      <w:r>
        <w:rPr>
          <w:rFonts w:ascii="Times New Roman" w:hAnsi="Times New Roman"/>
          <w:i/>
          <w:color w:val="666666"/>
          <w:sz w:val="20"/>
        </w:rPr>
        <w:t>Abstract ScienceDirect có cấu trúc BACKGROUND – OBJECTIVE – METHODS – RESULTS – CONCLUSIONS — dịch đầy đủ từng đoạn.</w:t>
      </w:r>
    </w:p>
    <w:p>
      <w:r>
        <w:rPr>
          <w:rFonts w:ascii="Times New Roman" w:hAnsi="Times New Roman"/>
          <w:b/>
          <w:color w:val="2E548B"/>
          <w:sz w:val="24"/>
        </w:rPr>
        <w:t>II.1. Bối cảnh (Background)</w:t>
      </w:r>
    </w:p>
    <w:p>
      <w:r>
        <w:rPr>
          <w:rFonts w:ascii="Times New Roman" w:hAnsi="Times New Roman"/>
        </w:rPr>
        <w:t>Đại dịch COVID-19 tạo ra các tác động đáng kể lên sức khoẻ tâm thần (SKTT) của trẻ em và vị thành niên. Các tổng quan trước đã ước tính tỷ lệ lo âu lâm sàng đáng kể tăng gần gấp đôi so với tiền đại dịch (khoảng 20,5 % vs 11,6 %). Hiểu biết về các yếu tố bảo vệ và nguy cơ cho phép thiết kế can thiệp nhắm đối tượng hiệu quả hơn.</w:t>
      </w:r>
    </w:p>
    <w:p>
      <w:r>
        <w:rPr>
          <w:rFonts w:ascii="Times New Roman" w:hAnsi="Times New Roman"/>
          <w:b/>
          <w:color w:val="2E548B"/>
          <w:sz w:val="24"/>
        </w:rPr>
        <w:t>II.2. Mục tiêu (Objective)</w:t>
      </w:r>
    </w:p>
    <w:p>
      <w:r>
        <w:rPr>
          <w:rFonts w:ascii="Times New Roman" w:hAnsi="Times New Roman"/>
        </w:rPr>
        <w:t>Đánh giá các yếu tố liên quan đến lo âu ở trẻ em và vị thành niên trong bối cảnh COVID-19, và khám phá các biến điều tiết (moderators) tiềm năng trong khung socio-ecological.</w:t>
      </w:r>
    </w:p>
    <w:p>
      <w:r>
        <w:rPr>
          <w:rFonts w:ascii="Times New Roman" w:hAnsi="Times New Roman"/>
          <w:b/>
          <w:color w:val="2E548B"/>
          <w:sz w:val="24"/>
        </w:rPr>
        <w:t>II.3. Phương pháp (Methods)</w:t>
      </w:r>
    </w:p>
    <w:p>
      <w:r>
        <w:rPr>
          <w:rFonts w:ascii="Times New Roman" w:hAnsi="Times New Roman"/>
        </w:rPr>
        <w:t>Cơ sở dữ liệu tìm kiếm:</w:t>
      </w:r>
    </w:p>
    <w:p>
      <w:r>
        <w:rPr>
          <w:rFonts w:ascii="Times New Roman" w:hAnsi="Times New Roman"/>
        </w:rPr>
        <w:t>• Web of Science</w:t>
      </w:r>
    </w:p>
    <w:p>
      <w:r>
        <w:rPr>
          <w:rFonts w:ascii="Times New Roman" w:hAnsi="Times New Roman"/>
        </w:rPr>
        <w:t>• MEDLINE</w:t>
      </w:r>
    </w:p>
    <w:p>
      <w:r>
        <w:rPr>
          <w:rFonts w:ascii="Times New Roman" w:hAnsi="Times New Roman"/>
        </w:rPr>
        <w:t>• PubMed</w:t>
      </w:r>
    </w:p>
    <w:p>
      <w:r>
        <w:rPr>
          <w:rFonts w:ascii="Times New Roman" w:hAnsi="Times New Roman"/>
        </w:rPr>
        <w:t>• Scopus</w:t>
      </w:r>
    </w:p>
    <w:p>
      <w:r>
        <w:rPr>
          <w:rFonts w:ascii="Times New Roman" w:hAnsi="Times New Roman"/>
        </w:rPr>
        <w:t>• EBSCO</w:t>
      </w:r>
    </w:p>
    <w:p>
      <w:r>
        <w:rPr>
          <w:rFonts w:ascii="Times New Roman" w:hAnsi="Times New Roman"/>
        </w:rPr>
        <w:t>• ScienceDirect</w:t>
      </w:r>
    </w:p>
    <w:p>
      <w:r>
        <w:rPr>
          <w:rFonts w:ascii="Times New Roman" w:hAnsi="Times New Roman"/>
        </w:rPr>
        <w:t>• Emerald</w:t>
      </w:r>
    </w:p>
    <w:p>
      <w:r>
        <w:rPr>
          <w:rFonts w:ascii="Times New Roman" w:hAnsi="Times New Roman"/>
        </w:rPr>
        <w:t>• CNKI (cơ sở dữ liệu Trung Quốc)</w:t>
      </w:r>
    </w:p>
    <w:p>
      <w:r>
        <w:rPr>
          <w:rFonts w:ascii="Times New Roman" w:hAnsi="Times New Roman"/>
        </w:rPr>
        <w:t>Khoảng thời gian: đầu 2020 đến đầu 2023.</w:t>
      </w:r>
    </w:p>
    <w:p>
      <w:r>
        <w:rPr>
          <w:rFonts w:ascii="Times New Roman" w:hAnsi="Times New Roman"/>
        </w:rPr>
        <w:t>Đối tượng: trẻ em và vị thành niên 6–17 tuổi.</w:t>
      </w:r>
    </w:p>
    <w:p>
      <w:r>
        <w:rPr>
          <w:rFonts w:ascii="Times New Roman" w:hAnsi="Times New Roman"/>
        </w:rPr>
        <w:t>Phương pháp thống kê: Mô hình random-effects theo khung three-level meta-analytic (phân tích ba cấp — cấp hiệu ứng trong nghiên cứu, cấp giữa các nghiên cứu, cấp giữa các outcomes). Chuẩn PRISMA 2020.</w:t>
      </w:r>
    </w:p>
    <w:p>
      <w:r>
        <w:rPr>
          <w:rFonts w:ascii="Times New Roman" w:hAnsi="Times New Roman"/>
          <w:b/>
          <w:color w:val="2E548B"/>
          <w:sz w:val="24"/>
        </w:rPr>
        <w:t>II.4. Kết quả (Results)</w:t>
      </w:r>
    </w:p>
    <w:p>
      <w:r>
        <w:rPr>
          <w:rFonts w:ascii="Times New Roman" w:hAnsi="Times New Roman"/>
          <w:b/>
        </w:rPr>
        <w:t>Tổng quan quy mô:</w:t>
      </w:r>
    </w:p>
    <w:p>
      <w:r>
        <w:rPr>
          <w:rFonts w:ascii="Times New Roman" w:hAnsi="Times New Roman"/>
        </w:rPr>
        <w:t>• 141 nghiên cứu peer-reviewed được đưa vào phân tích</w:t>
      </w:r>
    </w:p>
    <w:p>
      <w:r>
        <w:rPr>
          <w:rFonts w:ascii="Times New Roman" w:hAnsi="Times New Roman"/>
        </w:rPr>
        <w:t>• 1.018.171 người tham gia (&gt; 1 triệu)</w:t>
      </w:r>
    </w:p>
    <w:p>
      <w:r>
        <w:rPr>
          <w:rFonts w:ascii="Times New Roman" w:hAnsi="Times New Roman"/>
        </w:rPr>
        <w:t>• 1.002 effect sizes được trích xuất</w:t>
      </w:r>
    </w:p>
    <w:p>
      <w:r>
        <w:rPr>
          <w:rFonts w:ascii="Times New Roman" w:hAnsi="Times New Roman"/>
        </w:rPr>
        <w:t>• 144 mẫu độc lập</w:t>
      </w:r>
    </w:p>
    <w:p>
      <w:r>
        <w:rPr>
          <w:rFonts w:ascii="Times New Roman" w:hAnsi="Times New Roman"/>
          <w:b/>
        </w:rPr>
        <w:t>Yếu tố NGUY CƠ (29 yếu tố có ý nghĩa thống kê):</w:t>
      </w:r>
    </w:p>
    <w:p>
      <w:r>
        <w:rPr>
          <w:rFonts w:ascii="Times New Roman" w:hAnsi="Times New Roman"/>
          <w:i/>
        </w:rPr>
        <w:t>Cấp độ cá nhân: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Yếu tố</w:t>
            </w:r>
          </w:p>
        </w:tc>
        <w:tc>
          <w:tcPr>
            <w:tcW w:type="dxa" w:w="2160"/>
            <w:shd w:fill="D9E1F2"/>
          </w:tcPr>
          <w:p>
            <w:r/>
            <w:r>
              <w:rPr>
                <w:rFonts w:ascii="Times New Roman" w:hAnsi="Times New Roman"/>
                <w:b/>
                <w:sz w:val="20"/>
              </w:rPr>
              <w:t>logOR</w:t>
            </w:r>
          </w:p>
        </w:tc>
        <w:tc>
          <w:tcPr>
            <w:tcW w:type="dxa" w:w="2160"/>
            <w:shd w:fill="D9E1F2"/>
          </w:tcPr>
          <w:p>
            <w:r/>
            <w:r>
              <w:rPr>
                <w:rFonts w:ascii="Times New Roman" w:hAnsi="Times New Roman"/>
                <w:b/>
                <w:sz w:val="20"/>
              </w:rPr>
              <w:t>95 % CI</w:t>
            </w:r>
          </w:p>
        </w:tc>
        <w:tc>
          <w:tcPr>
            <w:tcW w:type="dxa" w:w="2160"/>
            <w:shd w:fill="D9E1F2"/>
          </w:tcPr>
          <w:p>
            <w:r/>
            <w:r>
              <w:rPr>
                <w:rFonts w:ascii="Times New Roman" w:hAnsi="Times New Roman"/>
                <w:b/>
                <w:sz w:val="20"/>
              </w:rPr>
              <w:t>p</w:t>
            </w:r>
          </w:p>
        </w:tc>
      </w:tr>
      <w:tr>
        <w:tc>
          <w:tcPr>
            <w:tcW w:type="dxa" w:w="2160"/>
          </w:tcPr>
          <w:p>
            <w:r/>
            <w:r>
              <w:rPr>
                <w:rFonts w:ascii="Times New Roman" w:hAnsi="Times New Roman"/>
                <w:sz w:val="20"/>
              </w:rPr>
              <w:t>Giới tính nữ</w:t>
            </w:r>
          </w:p>
        </w:tc>
        <w:tc>
          <w:tcPr>
            <w:tcW w:type="dxa" w:w="2160"/>
          </w:tcPr>
          <w:p>
            <w:r/>
            <w:r>
              <w:rPr>
                <w:rFonts w:ascii="Times New Roman" w:hAnsi="Times New Roman"/>
                <w:sz w:val="20"/>
              </w:rPr>
              <w:t>−0,37</w:t>
            </w:r>
          </w:p>
        </w:tc>
        <w:tc>
          <w:tcPr>
            <w:tcW w:type="dxa" w:w="2160"/>
          </w:tcPr>
          <w:p>
            <w:r/>
            <w:r>
              <w:rPr>
                <w:rFonts w:ascii="Times New Roman" w:hAnsi="Times New Roman"/>
                <w:sz w:val="20"/>
              </w:rPr>
              <w:t>[−0,47, −0,27]</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Tuổi lớn hơn</w:t>
            </w:r>
          </w:p>
        </w:tc>
        <w:tc>
          <w:tcPr>
            <w:tcW w:type="dxa" w:w="2160"/>
          </w:tcPr>
          <w:p>
            <w:r/>
            <w:r>
              <w:rPr>
                <w:rFonts w:ascii="Times New Roman" w:hAnsi="Times New Roman"/>
                <w:sz w:val="20"/>
              </w:rPr>
              <w:t>−0,12</w:t>
            </w:r>
          </w:p>
        </w:tc>
        <w:tc>
          <w:tcPr>
            <w:tcW w:type="dxa" w:w="2160"/>
          </w:tcPr>
          <w:p>
            <w:r/>
            <w:r>
              <w:rPr>
                <w:rFonts w:ascii="Times New Roman" w:hAnsi="Times New Roman"/>
                <w:sz w:val="20"/>
              </w:rPr>
              <w:t>[−0,22, −0,02]</w:t>
            </w:r>
          </w:p>
        </w:tc>
        <w:tc>
          <w:tcPr>
            <w:tcW w:type="dxa" w:w="2160"/>
          </w:tcPr>
          <w:p>
            <w:r/>
            <w:r>
              <w:rPr>
                <w:rFonts w:ascii="Times New Roman" w:hAnsi="Times New Roman"/>
                <w:sz w:val="20"/>
              </w:rPr>
              <w:t>0,02</w:t>
            </w:r>
          </w:p>
        </w:tc>
      </w:tr>
      <w:tr>
        <w:tc>
          <w:tcPr>
            <w:tcW w:type="dxa" w:w="2160"/>
          </w:tcPr>
          <w:p>
            <w:r/>
            <w:r>
              <w:rPr>
                <w:rFonts w:ascii="Times New Roman" w:hAnsi="Times New Roman"/>
                <w:sz w:val="20"/>
              </w:rPr>
              <w:t>Bệnh nền trước đó</w:t>
            </w:r>
          </w:p>
        </w:tc>
        <w:tc>
          <w:tcPr>
            <w:tcW w:type="dxa" w:w="2160"/>
          </w:tcPr>
          <w:p>
            <w:r/>
            <w:r>
              <w:rPr>
                <w:rFonts w:ascii="Times New Roman" w:hAnsi="Times New Roman"/>
                <w:sz w:val="20"/>
              </w:rPr>
              <w:t>0,94</w:t>
            </w:r>
          </w:p>
        </w:tc>
        <w:tc>
          <w:tcPr>
            <w:tcW w:type="dxa" w:w="2160"/>
          </w:tcPr>
          <w:p>
            <w:r/>
            <w:r>
              <w:rPr>
                <w:rFonts w:ascii="Times New Roman" w:hAnsi="Times New Roman"/>
                <w:sz w:val="20"/>
              </w:rPr>
              <w:t>[0,58, 1,30]</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Nghiện thiết bị điện tử/Internet</w:t>
            </w:r>
          </w:p>
        </w:tc>
        <w:tc>
          <w:tcPr>
            <w:tcW w:type="dxa" w:w="2160"/>
          </w:tcPr>
          <w:p>
            <w:r/>
            <w:r>
              <w:rPr>
                <w:rFonts w:ascii="Times New Roman" w:hAnsi="Times New Roman"/>
                <w:sz w:val="20"/>
              </w:rPr>
              <w:t>1,81</w:t>
            </w:r>
          </w:p>
        </w:tc>
        <w:tc>
          <w:tcPr>
            <w:tcW w:type="dxa" w:w="2160"/>
          </w:tcPr>
          <w:p>
            <w:r/>
            <w:r>
              <w:rPr>
                <w:rFonts w:ascii="Times New Roman" w:hAnsi="Times New Roman"/>
                <w:sz w:val="20"/>
              </w:rPr>
              <w:t>[0,74, 2,88]</w:t>
            </w:r>
          </w:p>
        </w:tc>
        <w:tc>
          <w:tcPr>
            <w:tcW w:type="dxa" w:w="2160"/>
          </w:tcPr>
          <w:p>
            <w:r/>
            <w:r>
              <w:rPr>
                <w:rFonts w:ascii="Times New Roman" w:hAnsi="Times New Roman"/>
                <w:sz w:val="20"/>
              </w:rPr>
              <w:t>&lt; 0,001</w:t>
            </w:r>
          </w:p>
        </w:tc>
      </w:tr>
    </w:tbl>
    <w:p>
      <w:r>
        <w:rPr>
          <w:rFonts w:ascii="Times New Roman" w:hAnsi="Times New Roman"/>
          <w:i/>
        </w:rPr>
        <w:t>Trầm cảm, PTSD, triệu chứng cơ thể, phiền muộn chung: tất cả đều có mối liên hệ MẠNH NHẤT với lo âu.</w:t>
      </w:r>
    </w:p>
    <w:p>
      <w:r>
        <w:rPr>
          <w:rFonts w:ascii="Times New Roman" w:hAnsi="Times New Roman"/>
          <w:i/>
        </w:rPr>
        <w:t>Cấp độ gia đình: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Yếu tố</w:t>
            </w:r>
          </w:p>
        </w:tc>
        <w:tc>
          <w:tcPr>
            <w:tcW w:type="dxa" w:w="2160"/>
            <w:shd w:fill="D9E1F2"/>
          </w:tcPr>
          <w:p>
            <w:r/>
            <w:r>
              <w:rPr>
                <w:rFonts w:ascii="Times New Roman" w:hAnsi="Times New Roman"/>
                <w:b/>
                <w:sz w:val="20"/>
              </w:rPr>
              <w:t>logOR</w:t>
            </w:r>
          </w:p>
        </w:tc>
        <w:tc>
          <w:tcPr>
            <w:tcW w:type="dxa" w:w="2160"/>
            <w:shd w:fill="D9E1F2"/>
          </w:tcPr>
          <w:p>
            <w:r/>
            <w:r>
              <w:rPr>
                <w:rFonts w:ascii="Times New Roman" w:hAnsi="Times New Roman"/>
                <w:b/>
                <w:sz w:val="20"/>
              </w:rPr>
              <w:t>95 % CI</w:t>
            </w:r>
          </w:p>
        </w:tc>
        <w:tc>
          <w:tcPr>
            <w:tcW w:type="dxa" w:w="2160"/>
            <w:shd w:fill="D9E1F2"/>
          </w:tcPr>
          <w:p>
            <w:r/>
            <w:r>
              <w:rPr>
                <w:rFonts w:ascii="Times New Roman" w:hAnsi="Times New Roman"/>
                <w:b/>
                <w:sz w:val="20"/>
              </w:rPr>
              <w:t>p</w:t>
            </w:r>
          </w:p>
        </w:tc>
      </w:tr>
      <w:tr>
        <w:tc>
          <w:tcPr>
            <w:tcW w:type="dxa" w:w="2160"/>
          </w:tcPr>
          <w:p>
            <w:r/>
            <w:r>
              <w:rPr>
                <w:rFonts w:ascii="Times New Roman" w:hAnsi="Times New Roman"/>
                <w:sz w:val="20"/>
              </w:rPr>
              <w:t>KT-XH gia đình thấp</w:t>
            </w:r>
          </w:p>
        </w:tc>
        <w:tc>
          <w:tcPr>
            <w:tcW w:type="dxa" w:w="2160"/>
          </w:tcPr>
          <w:p>
            <w:r/>
            <w:r>
              <w:rPr>
                <w:rFonts w:ascii="Times New Roman" w:hAnsi="Times New Roman"/>
                <w:sz w:val="20"/>
              </w:rPr>
              <w:t>−0,25</w:t>
            </w:r>
          </w:p>
        </w:tc>
        <w:tc>
          <w:tcPr>
            <w:tcW w:type="dxa" w:w="2160"/>
          </w:tcPr>
          <w:p>
            <w:r/>
            <w:r>
              <w:rPr>
                <w:rFonts w:ascii="Times New Roman" w:hAnsi="Times New Roman"/>
                <w:sz w:val="20"/>
              </w:rPr>
              <w:t>[−0,39, −0,10]</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Gia đình kém chức năng</w:t>
            </w:r>
          </w:p>
        </w:tc>
        <w:tc>
          <w:tcPr>
            <w:tcW w:type="dxa" w:w="2160"/>
          </w:tcPr>
          <w:p>
            <w:r/>
            <w:r>
              <w:rPr>
                <w:rFonts w:ascii="Times New Roman" w:hAnsi="Times New Roman"/>
                <w:sz w:val="20"/>
              </w:rPr>
              <w:t>−1,31</w:t>
            </w:r>
          </w:p>
        </w:tc>
        <w:tc>
          <w:tcPr>
            <w:tcW w:type="dxa" w:w="2160"/>
          </w:tcPr>
          <w:p>
            <w:r/>
            <w:r>
              <w:rPr>
                <w:rFonts w:ascii="Times New Roman" w:hAnsi="Times New Roman"/>
                <w:sz w:val="20"/>
              </w:rPr>
              <w:t>[−1,60, −1,02]</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Lo âu của người chăm sóc</w:t>
            </w:r>
          </w:p>
        </w:tc>
        <w:tc>
          <w:tcPr>
            <w:tcW w:type="dxa" w:w="2160"/>
          </w:tcPr>
          <w:p>
            <w:r/>
            <w:r>
              <w:rPr>
                <w:rFonts w:ascii="Times New Roman" w:hAnsi="Times New Roman"/>
                <w:sz w:val="20"/>
              </w:rPr>
              <w:t>1,06</w:t>
            </w:r>
          </w:p>
        </w:tc>
        <w:tc>
          <w:tcPr>
            <w:tcW w:type="dxa" w:w="2160"/>
          </w:tcPr>
          <w:p>
            <w:r/>
            <w:r>
              <w:rPr>
                <w:rFonts w:ascii="Times New Roman" w:hAnsi="Times New Roman"/>
                <w:sz w:val="20"/>
              </w:rPr>
              <w:t>[0,75, 1,37]</w:t>
            </w:r>
          </w:p>
        </w:tc>
        <w:tc>
          <w:tcPr>
            <w:tcW w:type="dxa" w:w="2160"/>
          </w:tcPr>
          <w:p>
            <w:r/>
            <w:r>
              <w:rPr>
                <w:rFonts w:ascii="Times New Roman" w:hAnsi="Times New Roman"/>
                <w:sz w:val="20"/>
              </w:rPr>
              <w:t>&lt; 0,001</w:t>
            </w:r>
          </w:p>
        </w:tc>
      </w:tr>
    </w:tbl>
    <w:p>
      <w:r>
        <w:rPr>
          <w:rFonts w:ascii="Times New Roman" w:hAnsi="Times New Roman"/>
          <w:i/>
        </w:rPr>
        <w:t>Cấp độ cộng đồng và COVID-19:</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Yếu tố</w:t>
            </w:r>
          </w:p>
        </w:tc>
        <w:tc>
          <w:tcPr>
            <w:tcW w:type="dxa" w:w="2160"/>
            <w:shd w:fill="D9E1F2"/>
          </w:tcPr>
          <w:p>
            <w:r/>
            <w:r>
              <w:rPr>
                <w:rFonts w:ascii="Times New Roman" w:hAnsi="Times New Roman"/>
                <w:b/>
                <w:sz w:val="20"/>
              </w:rPr>
              <w:t>logOR</w:t>
            </w:r>
          </w:p>
        </w:tc>
        <w:tc>
          <w:tcPr>
            <w:tcW w:type="dxa" w:w="2160"/>
            <w:shd w:fill="D9E1F2"/>
          </w:tcPr>
          <w:p>
            <w:r/>
            <w:r>
              <w:rPr>
                <w:rFonts w:ascii="Times New Roman" w:hAnsi="Times New Roman"/>
                <w:b/>
                <w:sz w:val="20"/>
              </w:rPr>
              <w:t>95 % CI</w:t>
            </w:r>
          </w:p>
        </w:tc>
        <w:tc>
          <w:tcPr>
            <w:tcW w:type="dxa" w:w="2160"/>
            <w:shd w:fill="D9E1F2"/>
          </w:tcPr>
          <w:p>
            <w:r/>
            <w:r>
              <w:rPr>
                <w:rFonts w:ascii="Times New Roman" w:hAnsi="Times New Roman"/>
                <w:b/>
                <w:sz w:val="20"/>
              </w:rPr>
              <w:t>p</w:t>
            </w:r>
          </w:p>
        </w:tc>
      </w:tr>
      <w:tr>
        <w:tc>
          <w:tcPr>
            <w:tcW w:type="dxa" w:w="2160"/>
          </w:tcPr>
          <w:p>
            <w:r/>
            <w:r>
              <w:rPr>
                <w:rFonts w:ascii="Times New Roman" w:hAnsi="Times New Roman"/>
                <w:sz w:val="20"/>
              </w:rPr>
              <w:t>Gánh nặng học đường</w:t>
            </w:r>
          </w:p>
        </w:tc>
        <w:tc>
          <w:tcPr>
            <w:tcW w:type="dxa" w:w="2160"/>
          </w:tcPr>
          <w:p>
            <w:r/>
            <w:r>
              <w:rPr>
                <w:rFonts w:ascii="Times New Roman" w:hAnsi="Times New Roman"/>
                <w:sz w:val="20"/>
              </w:rPr>
              <w:t>0,56</w:t>
            </w:r>
          </w:p>
        </w:tc>
        <w:tc>
          <w:tcPr>
            <w:tcW w:type="dxa" w:w="2160"/>
          </w:tcPr>
          <w:p>
            <w:r/>
            <w:r>
              <w:rPr>
                <w:rFonts w:ascii="Times New Roman" w:hAnsi="Times New Roman"/>
                <w:sz w:val="20"/>
              </w:rPr>
              <w:t>[0,21, 0,90]</w:t>
            </w:r>
          </w:p>
        </w:tc>
        <w:tc>
          <w:tcPr>
            <w:tcW w:type="dxa" w:w="2160"/>
          </w:tcPr>
          <w:p>
            <w:r/>
            <w:r>
              <w:rPr>
                <w:rFonts w:ascii="Times New Roman" w:hAnsi="Times New Roman"/>
                <w:sz w:val="20"/>
              </w:rPr>
              <w:t>0,002</w:t>
            </w:r>
          </w:p>
        </w:tc>
      </w:tr>
      <w:tr>
        <w:tc>
          <w:tcPr>
            <w:tcW w:type="dxa" w:w="2160"/>
          </w:tcPr>
          <w:p>
            <w:r/>
            <w:r>
              <w:rPr>
                <w:rFonts w:ascii="Times New Roman" w:hAnsi="Times New Roman"/>
                <w:sz w:val="20"/>
              </w:rPr>
              <w:t>Nguy cơ phơi nhiễm cao hơn</w:t>
            </w:r>
          </w:p>
        </w:tc>
        <w:tc>
          <w:tcPr>
            <w:tcW w:type="dxa" w:w="2160"/>
          </w:tcPr>
          <w:p>
            <w:r/>
            <w:r>
              <w:rPr>
                <w:rFonts w:ascii="Times New Roman" w:hAnsi="Times New Roman"/>
                <w:sz w:val="20"/>
              </w:rPr>
              <w:t>0,48</w:t>
            </w:r>
          </w:p>
        </w:tc>
        <w:tc>
          <w:tcPr>
            <w:tcW w:type="dxa" w:w="2160"/>
          </w:tcPr>
          <w:p>
            <w:r/>
            <w:r>
              <w:rPr>
                <w:rFonts w:ascii="Times New Roman" w:hAnsi="Times New Roman"/>
                <w:sz w:val="20"/>
              </w:rPr>
              <w:t>[0,17, 0,78]</w:t>
            </w:r>
          </w:p>
        </w:tc>
        <w:tc>
          <w:tcPr>
            <w:tcW w:type="dxa" w:w="2160"/>
          </w:tcPr>
          <w:p>
            <w:r/>
            <w:r>
              <w:rPr>
                <w:rFonts w:ascii="Times New Roman" w:hAnsi="Times New Roman"/>
                <w:sz w:val="20"/>
              </w:rPr>
              <w:t>0,002</w:t>
            </w:r>
          </w:p>
        </w:tc>
      </w:tr>
      <w:tr>
        <w:tc>
          <w:tcPr>
            <w:tcW w:type="dxa" w:w="2160"/>
          </w:tcPr>
          <w:p>
            <w:r/>
            <w:r>
              <w:rPr>
                <w:rFonts w:ascii="Times New Roman" w:hAnsi="Times New Roman"/>
                <w:sz w:val="20"/>
              </w:rPr>
              <w:t>Học từ xa</w:t>
            </w:r>
          </w:p>
        </w:tc>
        <w:tc>
          <w:tcPr>
            <w:tcW w:type="dxa" w:w="2160"/>
          </w:tcPr>
          <w:p>
            <w:r/>
            <w:r>
              <w:rPr>
                <w:rFonts w:ascii="Times New Roman" w:hAnsi="Times New Roman"/>
                <w:sz w:val="20"/>
              </w:rPr>
              <w:t>0,73</w:t>
            </w:r>
          </w:p>
        </w:tc>
        <w:tc>
          <w:tcPr>
            <w:tcW w:type="dxa" w:w="2160"/>
          </w:tcPr>
          <w:p>
            <w:r/>
            <w:r>
              <w:rPr>
                <w:rFonts w:ascii="Times New Roman" w:hAnsi="Times New Roman"/>
                <w:sz w:val="20"/>
              </w:rPr>
              <w:t>[0,19, 1,28]</w:t>
            </w:r>
          </w:p>
        </w:tc>
        <w:tc>
          <w:tcPr>
            <w:tcW w:type="dxa" w:w="2160"/>
          </w:tcPr>
          <w:p>
            <w:r/>
            <w:r>
              <w:rPr>
                <w:rFonts w:ascii="Times New Roman" w:hAnsi="Times New Roman"/>
                <w:sz w:val="20"/>
              </w:rPr>
              <w:t>0,008</w:t>
            </w:r>
          </w:p>
        </w:tc>
      </w:tr>
      <w:tr>
        <w:tc>
          <w:tcPr>
            <w:tcW w:type="dxa" w:w="2160"/>
          </w:tcPr>
          <w:p>
            <w:r/>
            <w:r>
              <w:rPr>
                <w:rFonts w:ascii="Times New Roman" w:hAnsi="Times New Roman"/>
                <w:sz w:val="20"/>
              </w:rPr>
              <w:t>Căng thẳng liên quan COVID</w:t>
            </w:r>
          </w:p>
        </w:tc>
        <w:tc>
          <w:tcPr>
            <w:tcW w:type="dxa" w:w="2160"/>
          </w:tcPr>
          <w:p>
            <w:r/>
            <w:r>
              <w:rPr>
                <w:rFonts w:ascii="Times New Roman" w:hAnsi="Times New Roman"/>
                <w:sz w:val="20"/>
              </w:rPr>
              <w:t>1,42</w:t>
            </w:r>
          </w:p>
        </w:tc>
        <w:tc>
          <w:tcPr>
            <w:tcW w:type="dxa" w:w="2160"/>
          </w:tcPr>
          <w:p>
            <w:r/>
            <w:r>
              <w:rPr>
                <w:rFonts w:ascii="Times New Roman" w:hAnsi="Times New Roman"/>
                <w:sz w:val="20"/>
              </w:rPr>
              <w:t>[0,55, 2,29]</w:t>
            </w:r>
          </w:p>
        </w:tc>
        <w:tc>
          <w:tcPr>
            <w:tcW w:type="dxa" w:w="2160"/>
          </w:tcPr>
          <w:p>
            <w:r/>
            <w:r>
              <w:rPr>
                <w:rFonts w:ascii="Times New Roman" w:hAnsi="Times New Roman"/>
                <w:sz w:val="20"/>
              </w:rPr>
              <w:t>0,001</w:t>
            </w:r>
          </w:p>
        </w:tc>
      </w:tr>
    </w:tbl>
    <w:p>
      <w:r>
        <w:rPr>
          <w:rFonts w:ascii="Times New Roman" w:hAnsi="Times New Roman"/>
          <w:b/>
        </w:rPr>
        <w:t>Yếu tố BẢO VỆ (14 yếu tố có ý nghĩa thống kê):</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Yếu tố</w:t>
            </w:r>
          </w:p>
        </w:tc>
        <w:tc>
          <w:tcPr>
            <w:tcW w:type="dxa" w:w="2160"/>
            <w:shd w:fill="D9E1F2"/>
          </w:tcPr>
          <w:p>
            <w:r/>
            <w:r>
              <w:rPr>
                <w:rFonts w:ascii="Times New Roman" w:hAnsi="Times New Roman"/>
                <w:b/>
                <w:sz w:val="20"/>
              </w:rPr>
              <w:t>logOR</w:t>
            </w:r>
          </w:p>
        </w:tc>
        <w:tc>
          <w:tcPr>
            <w:tcW w:type="dxa" w:w="2160"/>
            <w:shd w:fill="D9E1F2"/>
          </w:tcPr>
          <w:p>
            <w:r/>
            <w:r>
              <w:rPr>
                <w:rFonts w:ascii="Times New Roman" w:hAnsi="Times New Roman"/>
                <w:b/>
                <w:sz w:val="20"/>
              </w:rPr>
              <w:t>95 % CI</w:t>
            </w:r>
          </w:p>
        </w:tc>
        <w:tc>
          <w:tcPr>
            <w:tcW w:type="dxa" w:w="2160"/>
            <w:shd w:fill="D9E1F2"/>
          </w:tcPr>
          <w:p>
            <w:r/>
            <w:r>
              <w:rPr>
                <w:rFonts w:ascii="Times New Roman" w:hAnsi="Times New Roman"/>
                <w:b/>
                <w:sz w:val="20"/>
              </w:rPr>
              <w:t>p</w:t>
            </w:r>
          </w:p>
        </w:tc>
      </w:tr>
      <w:tr>
        <w:tc>
          <w:tcPr>
            <w:tcW w:type="dxa" w:w="2160"/>
          </w:tcPr>
          <w:p>
            <w:r/>
            <w:r>
              <w:rPr>
                <w:rFonts w:ascii="Times New Roman" w:hAnsi="Times New Roman"/>
                <w:sz w:val="20"/>
              </w:rPr>
              <w:t>Chức năng cảm xúc tốt</w:t>
            </w:r>
          </w:p>
        </w:tc>
        <w:tc>
          <w:tcPr>
            <w:tcW w:type="dxa" w:w="2160"/>
          </w:tcPr>
          <w:p>
            <w:r/>
            <w:r>
              <w:rPr>
                <w:rFonts w:ascii="Times New Roman" w:hAnsi="Times New Roman"/>
                <w:sz w:val="20"/>
              </w:rPr>
              <w:t>−1,45</w:t>
            </w:r>
          </w:p>
        </w:tc>
        <w:tc>
          <w:tcPr>
            <w:tcW w:type="dxa" w:w="2160"/>
          </w:tcPr>
          <w:p>
            <w:r/>
            <w:r>
              <w:rPr>
                <w:rFonts w:ascii="Times New Roman" w:hAnsi="Times New Roman"/>
                <w:sz w:val="20"/>
              </w:rPr>
              <w:t>[−1,84, −1,05]</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Hỗ trợ xã hội tổng thể</w:t>
            </w:r>
          </w:p>
        </w:tc>
        <w:tc>
          <w:tcPr>
            <w:tcW w:type="dxa" w:w="2160"/>
          </w:tcPr>
          <w:p>
            <w:r/>
            <w:r>
              <w:rPr>
                <w:rFonts w:ascii="Times New Roman" w:hAnsi="Times New Roman"/>
                <w:sz w:val="20"/>
              </w:rPr>
              <w:t>−0,93</w:t>
            </w:r>
          </w:p>
        </w:tc>
        <w:tc>
          <w:tcPr>
            <w:tcW w:type="dxa" w:w="2160"/>
          </w:tcPr>
          <w:p>
            <w:r/>
            <w:r>
              <w:rPr>
                <w:rFonts w:ascii="Times New Roman" w:hAnsi="Times New Roman"/>
                <w:sz w:val="20"/>
              </w:rPr>
              <w:t>[−1,84, −1,05]</w:t>
            </w:r>
          </w:p>
        </w:tc>
        <w:tc>
          <w:tcPr>
            <w:tcW w:type="dxa" w:w="2160"/>
          </w:tcPr>
          <w:p>
            <w:r/>
            <w:r>
              <w:rPr>
                <w:rFonts w:ascii="Times New Roman" w:hAnsi="Times New Roman"/>
                <w:sz w:val="20"/>
              </w:rPr>
              <w:t>&lt; 0,001</w:t>
            </w:r>
          </w:p>
        </w:tc>
      </w:tr>
      <w:tr>
        <w:tc>
          <w:tcPr>
            <w:tcW w:type="dxa" w:w="2160"/>
          </w:tcPr>
          <w:p>
            <w:r/>
            <w:r>
              <w:rPr>
                <w:rFonts w:ascii="Times New Roman" w:hAnsi="Times New Roman"/>
                <w:sz w:val="20"/>
              </w:rPr>
              <w:t>Chất lượng cuộc sống tốt</w:t>
            </w:r>
          </w:p>
        </w:tc>
        <w:tc>
          <w:tcPr>
            <w:tcW w:type="dxa" w:w="2160"/>
          </w:tcPr>
          <w:p>
            <w:r/>
            <w:r>
              <w:rPr>
                <w:rFonts w:ascii="Times New Roman" w:hAnsi="Times New Roman"/>
                <w:sz w:val="20"/>
              </w:rPr>
              <w:t>(effect size có nhưng không cụ thể trong abstract)</w:t>
            </w:r>
          </w:p>
        </w:tc>
        <w:tc>
          <w:tcPr>
            <w:tcW w:type="dxa" w:w="2160"/>
          </w:tcPr>
          <w:p>
            <w:r/>
            <w:r>
              <w:rPr>
                <w:rFonts w:ascii="Times New Roman" w:hAnsi="Times New Roman"/>
                <w:sz w:val="20"/>
              </w:rPr>
              <w:t>—</w:t>
            </w:r>
          </w:p>
        </w:tc>
        <w:tc>
          <w:tcPr>
            <w:tcW w:type="dxa" w:w="2160"/>
          </w:tcPr>
          <w:p>
            <w:r/>
            <w:r>
              <w:rPr>
                <w:rFonts w:ascii="Times New Roman" w:hAnsi="Times New Roman"/>
                <w:sz w:val="20"/>
              </w:rPr>
              <w:t>—</w:t>
            </w:r>
          </w:p>
        </w:tc>
      </w:tr>
      <w:tr>
        <w:tc>
          <w:tcPr>
            <w:tcW w:type="dxa" w:w="2160"/>
          </w:tcPr>
          <w:p>
            <w:r/>
            <w:r>
              <w:rPr>
                <w:rFonts w:ascii="Times New Roman" w:hAnsi="Times New Roman"/>
                <w:sz w:val="20"/>
              </w:rPr>
              <w:t>Sức khoẻ thể chất</w:t>
            </w:r>
          </w:p>
        </w:tc>
        <w:tc>
          <w:tcPr>
            <w:tcW w:type="dxa" w:w="2160"/>
          </w:tcPr>
          <w:p>
            <w:r/>
            <w:r>
              <w:rPr>
                <w:rFonts w:ascii="Times New Roman" w:hAnsi="Times New Roman"/>
                <w:sz w:val="20"/>
              </w:rPr>
              <w:t>(effect size có nhưng không cụ thể trong abstract)</w:t>
            </w:r>
          </w:p>
        </w:tc>
        <w:tc>
          <w:tcPr>
            <w:tcW w:type="dxa" w:w="2160"/>
          </w:tcPr>
          <w:p>
            <w:r/>
            <w:r>
              <w:rPr>
                <w:rFonts w:ascii="Times New Roman" w:hAnsi="Times New Roman"/>
                <w:sz w:val="20"/>
              </w:rPr>
              <w:t>—</w:t>
            </w:r>
          </w:p>
        </w:tc>
        <w:tc>
          <w:tcPr>
            <w:tcW w:type="dxa" w:w="2160"/>
          </w:tcPr>
          <w:p>
            <w:r/>
            <w:r>
              <w:rPr>
                <w:rFonts w:ascii="Times New Roman" w:hAnsi="Times New Roman"/>
                <w:sz w:val="20"/>
              </w:rPr>
              <w:t>—</w:t>
            </w:r>
          </w:p>
        </w:tc>
      </w:tr>
      <w:tr>
        <w:tc>
          <w:tcPr>
            <w:tcW w:type="dxa" w:w="2160"/>
          </w:tcPr>
          <w:p>
            <w:r/>
            <w:r>
              <w:rPr>
                <w:rFonts w:ascii="Times New Roman" w:hAnsi="Times New Roman"/>
                <w:sz w:val="20"/>
              </w:rPr>
              <w:t>Gia đình kết nối tốt</w:t>
            </w:r>
          </w:p>
        </w:tc>
        <w:tc>
          <w:tcPr>
            <w:tcW w:type="dxa" w:w="2160"/>
          </w:tcPr>
          <w:p>
            <w:r/>
            <w:r>
              <w:rPr>
                <w:rFonts w:ascii="Times New Roman" w:hAnsi="Times New Roman"/>
                <w:sz w:val="20"/>
              </w:rPr>
              <w:t>(effect size có nhưng không cụ thể trong abstract)</w:t>
            </w:r>
          </w:p>
        </w:tc>
        <w:tc>
          <w:tcPr>
            <w:tcW w:type="dxa" w:w="2160"/>
          </w:tcPr>
          <w:p>
            <w:r/>
            <w:r>
              <w:rPr>
                <w:rFonts w:ascii="Times New Roman" w:hAnsi="Times New Roman"/>
                <w:sz w:val="20"/>
              </w:rPr>
              <w:t>—</w:t>
            </w:r>
          </w:p>
        </w:tc>
        <w:tc>
          <w:tcPr>
            <w:tcW w:type="dxa" w:w="2160"/>
          </w:tcPr>
          <w:p>
            <w:r/>
            <w:r>
              <w:rPr>
                <w:rFonts w:ascii="Times New Roman" w:hAnsi="Times New Roman"/>
                <w:sz w:val="20"/>
              </w:rPr>
              <w:t>—</w:t>
            </w:r>
          </w:p>
        </w:tc>
      </w:tr>
    </w:tbl>
    <w:p>
      <w:r>
        <w:rPr>
          <w:rFonts w:ascii="Times New Roman" w:hAnsi="Times New Roman"/>
          <w:b/>
        </w:rPr>
        <w:t>Phân tích Moderator:</w:t>
      </w:r>
    </w:p>
    <w:p>
      <w:r>
        <w:rPr>
          <w:rFonts w:ascii="Times New Roman" w:hAnsi="Times New Roman"/>
        </w:rPr>
        <w:t>• Nhóm tuổi điều tiết mối quan hệ giới tính – lo âu: F(1, 96) = 4,42, p = 0,038</w:t>
      </w:r>
    </w:p>
    <w:p>
      <w:r>
        <w:rPr>
          <w:rFonts w:ascii="Times New Roman" w:hAnsi="Times New Roman"/>
        </w:rPr>
        <w:t>• Không có moderator nào khác đạt ý nghĩa thống kê</w:t>
      </w:r>
    </w:p>
    <w:p>
      <w:r>
        <w:rPr>
          <w:rFonts w:ascii="Times New Roman" w:hAnsi="Times New Roman"/>
          <w:b/>
          <w:color w:val="2E548B"/>
          <w:sz w:val="24"/>
        </w:rPr>
        <w:t>II.5. Kết luận (Conclusions)</w:t>
      </w:r>
    </w:p>
    <w:p>
      <w:r>
        <w:rPr>
          <w:rFonts w:ascii="Times New Roman" w:hAnsi="Times New Roman"/>
        </w:rPr>
        <w:t>"Khẩn cấp y tế công cộng có thể mang lại thách thức cho SKTT của trẻ em và vị thành niên." Các tác giả khuyến nghị chương trình phòng ngừa nhấn mạnh can thiệp trên nền tảng gia đình và cộng đồng cho các quần thể có nguy cơ cao.</w:t>
      </w:r>
    </w:p>
    <w:p>
      <w:r>
        <w:rPr>
          <w:rFonts w:ascii="Times New Roman" w:hAnsi="Times New Roman"/>
          <w:b/>
          <w:color w:val="2E548B"/>
          <w:sz w:val="24"/>
        </w:rPr>
        <w:t>II.6. Hạn chế (Limitations, theo tác giả)</w:t>
      </w:r>
    </w:p>
    <w:p>
      <w:r>
        <w:rPr>
          <w:rFonts w:ascii="Times New Roman" w:hAnsi="Times New Roman"/>
        </w:rPr>
        <w:t>• Bằng chứng có tính tương quan chứ không phải nhân quả (các nghiên cứu được include chủ yếu là cắt ngang).</w:t>
      </w:r>
    </w:p>
    <w:p>
      <w:r>
        <w:rPr>
          <w:rFonts w:ascii="Times New Roman" w:hAnsi="Times New Roman"/>
        </w:rPr>
        <w:t>• Kết quả cần diễn giải thận trọng do heterogeneity.</w:t>
      </w:r>
    </w:p>
    <w:p>
      <w:r>
        <w:rPr>
          <w:rFonts w:ascii="Times New Roman" w:hAnsi="Times New Roman"/>
        </w:rPr>
        <w:t>• Publication bias ở mức thấp qua toàn bộ các nghiên cứu (không phải vấn đề chính).</w:t>
      </w:r>
    </w:p>
    <w:p>
      <w:r>
        <w:rPr>
          <w:rFonts w:ascii="Times New Roman" w:hAnsi="Times New Roman"/>
        </w:rPr>
      </w:r>
    </w:p>
    <w:p>
      <w:r>
        <w:rPr>
          <w:rFonts w:ascii="Times New Roman" w:hAnsi="Times New Roman"/>
          <w:b/>
          <w:color w:val="1F3A68"/>
          <w:sz w:val="26"/>
        </w:rPr>
        <w:t>III. INVENTORY HÌNH/BẢNG (mô tả theo công bố công khai)</w:t>
      </w:r>
    </w:p>
    <w:p>
      <w:r>
        <w:rPr>
          <w:rFonts w:ascii="Times New Roman" w:hAnsi="Times New Roman"/>
        </w:rPr>
        <w:t>Theo chuẩn Journal of Affective Disorders cho meta-analysis 100+ NCs:</w:t>
      </w:r>
    </w:p>
    <w:p>
      <w:r>
        <w:rPr>
          <w:rFonts w:ascii="Times New Roman" w:hAnsi="Times New Roman"/>
        </w:rPr>
        <w:t>• Figure 1: PRISMA 2020 flow diagram (n records screened → n included = 141)</w:t>
      </w:r>
    </w:p>
    <w:p>
      <w:r>
        <w:rPr>
          <w:rFonts w:ascii="Times New Roman" w:hAnsi="Times New Roman"/>
        </w:rPr>
        <w:t>• Figure 2–N: Forest plots cho mỗi yếu tố nguy cơ/bảo vệ chính (có thể 20–30 forest plots, mỗi plot 1 yếu tố)</w:t>
      </w:r>
    </w:p>
    <w:p>
      <w:r>
        <w:rPr>
          <w:rFonts w:ascii="Times New Roman" w:hAnsi="Times New Roman"/>
        </w:rPr>
        <w:t>• Figure cuối: Funnel plot / Egger test cho publication bias</w:t>
      </w:r>
    </w:p>
    <w:p>
      <w:r>
        <w:rPr>
          <w:rFonts w:ascii="Times New Roman" w:hAnsi="Times New Roman"/>
        </w:rPr>
        <w:t>• Table 1: Đặc điểm 141 nghiên cứu (tác giả, năm, quốc gia, n, tuổi, thang đo lo âu)</w:t>
      </w:r>
    </w:p>
    <w:p>
      <w:r>
        <w:rPr>
          <w:rFonts w:ascii="Times New Roman" w:hAnsi="Times New Roman"/>
        </w:rPr>
        <w:t>• Table 2–3: Pooled effect sizes cho từng yếu tố</w:t>
      </w:r>
    </w:p>
    <w:p>
      <w:r>
        <w:rPr>
          <w:rFonts w:ascii="Times New Roman" w:hAnsi="Times New Roman"/>
        </w:rPr>
        <w:t>• Table moderator analysis: subgroup theo tuổi, giới, vùng địa lý, giai đoạn đại dịch</w:t>
      </w:r>
    </w:p>
    <w:p>
      <w:r>
        <w:rPr>
          <w:rFonts w:ascii="Times New Roman" w:hAnsi="Times New Roman"/>
        </w:rPr>
        <w:t>• Supplementary: search strings, risk-of-bias assessment (có thể dùng JBI cho observational + ROBINS-I)</w:t>
      </w:r>
    </w:p>
    <w:p>
      <w:r>
        <w:rPr>
          <w:rFonts w:ascii="Times New Roman" w:hAnsi="Times New Roman"/>
          <w:i/>
        </w:rPr>
        <w:t>→ Các số liệu bảng đã được trích chi tiết trong PHẦN II.4 phía trên; xem bản toàn văn tại ScienceDirect (paywall).</w:t>
      </w:r>
    </w:p>
    <w:p>
      <w:r>
        <w:rPr>
          <w:rFonts w:ascii="Times New Roman" w:hAnsi="Times New Roman"/>
        </w:rPr>
      </w:r>
    </w:p>
    <w:p>
      <w:r>
        <w:rPr>
          <w:rFonts w:ascii="Times New Roman" w:hAnsi="Times New Roman"/>
          <w:b/>
          <w:color w:val="C00000"/>
          <w:sz w:val="26"/>
        </w:rPr>
        <w:t>IV. PHẢN BIỆN CHI TIẾT (7-section framework)</w:t>
      </w:r>
    </w:p>
    <w:p>
      <w:r>
        <w:rPr>
          <w:rFonts w:ascii="Times New Roman" w:hAnsi="Times New Roman"/>
          <w:b/>
          <w:color w:val="C00000"/>
          <w:sz w:val="24"/>
        </w:rPr>
        <w:t>PHẦN I — Bối cảnh học thuật &amp; vị trí</w:t>
      </w:r>
    </w:p>
    <w:p>
      <w:r>
        <w:rPr>
          <w:rFonts w:ascii="Times New Roman" w:hAnsi="Times New Roman"/>
          <w:color w:val="C00000"/>
        </w:rPr>
        <w:t>Chen và cộng sự 2025 là một trong những meta-analysis TOÀN DIỆN NHẤT về yếu tố nguy cơ/bảo vệ lo âu trẻ em – VTN trong đại dịch COVID-19. Với 141 NC và &gt; 1 triệu người tham gia, đây là cơ sở bằng chứng mạnh mẽ cho hoạch định chính sách hậu đại dịch. Bài nằm trong chuỗi meta-analyses về COVID và MH trẻ em (Racine et al. 2021 JAMA Pediatrics — khung bên ngoài; Panchal et al. 2023 Eur Child Adolesc Psychiatry — khung bên ngoài). Điểm khác biệt của Chen 2025: sử dụng three-level meta-analysis (khắc phục dependency giữa effect sizes trong cùng 1 NC) và khung socio-ecological của Bronfenbrenner (1979 — khung bên ngoài).</w:t>
      </w:r>
    </w:p>
    <w:p>
      <w:r>
        <w:rPr>
          <w:rFonts w:ascii="Times New Roman" w:hAnsi="Times New Roman"/>
          <w:b/>
          <w:color w:val="C00000"/>
          <w:sz w:val="24"/>
        </w:rPr>
        <w:t>PHẦN II — Điểm mạnh</w:t>
      </w:r>
    </w:p>
    <w:p>
      <w:r>
        <w:rPr>
          <w:rFonts w:ascii="Times New Roman" w:hAnsi="Times New Roman"/>
          <w:b/>
          <w:color w:val="C00000"/>
        </w:rPr>
        <w:t>1. Cỡ mẫu LITERATURE kỷ lục: 141 NC + 1 triệu người tham gia</w:t>
      </w:r>
    </w:p>
    <w:p>
      <w:r>
        <w:rPr>
          <w:rFonts w:ascii="Times New Roman" w:hAnsi="Times New Roman"/>
          <w:color w:val="C00000"/>
        </w:rPr>
        <w:t>Với cỡ mẫu này, kết quả có power thống kê rất cao để phát hiện cả những hiệu ứng nhỏ. 1.002 effect sizes cho phép test moderator robust.</w:t>
      </w:r>
    </w:p>
    <w:p>
      <w:r>
        <w:rPr>
          <w:rFonts w:ascii="Times New Roman" w:hAnsi="Times New Roman"/>
          <w:b/>
          <w:color w:val="C00000"/>
        </w:rPr>
        <w:t>2. Three-level meta-analysis — method tiên tiến</w:t>
      </w:r>
    </w:p>
    <w:p>
      <w:r>
        <w:rPr>
          <w:rFonts w:ascii="Times New Roman" w:hAnsi="Times New Roman"/>
          <w:color w:val="C00000"/>
        </w:rPr>
        <w:t>Khắc phục vấn đề dependency (nhiều effect sizes từ cùng 1 study/dataset). Chuẩn vàng của meta-analysis hiện đại (Assink &amp; Wibbelink 2016, khung bên ngoài refs). Nhiều meta-analysis cũ bị inflate CI do treat mỗi effect size độc lập.</w:t>
      </w:r>
    </w:p>
    <w:p>
      <w:r>
        <w:rPr>
          <w:rFonts w:ascii="Times New Roman" w:hAnsi="Times New Roman"/>
          <w:b/>
          <w:color w:val="C00000"/>
        </w:rPr>
        <w:t>3. Bao gồm CNKI — CSDL tiếng Trung</w:t>
      </w:r>
    </w:p>
    <w:p>
      <w:r>
        <w:rPr>
          <w:rFonts w:ascii="Times New Roman" w:hAnsi="Times New Roman"/>
          <w:color w:val="C00000"/>
        </w:rPr>
        <w:t>Trung Quốc là nước có nhiều NC về COVID + MH trẻ em nhất thế giới. Bao gồm CNKI giúp không bỏ sót bằng chứng tiếng Trung — tăng completeness. Đây là best practice cho SR về LMIC/Asia.</w:t>
      </w:r>
    </w:p>
    <w:p>
      <w:r>
        <w:rPr>
          <w:rFonts w:ascii="Times New Roman" w:hAnsi="Times New Roman"/>
          <w:b/>
          <w:color w:val="C00000"/>
        </w:rPr>
        <w:t>4. Khung socio-ecological phân tầng rõ</w:t>
      </w:r>
    </w:p>
    <w:p>
      <w:r>
        <w:rPr>
          <w:rFonts w:ascii="Times New Roman" w:hAnsi="Times New Roman"/>
          <w:color w:val="C00000"/>
        </w:rPr>
        <w:t>Phân tích theo cấp cá nhân – gia đình – cộng đồng – COVID-specific cho phép diễn giải hệ thống: lo âu không chỉ là "vấn đề cá nhân" mà là tương tác đa cấp. Rất hữu ích cho thiết kế can thiệp multi-level.</w:t>
      </w:r>
    </w:p>
    <w:p>
      <w:r>
        <w:rPr>
          <w:rFonts w:ascii="Times New Roman" w:hAnsi="Times New Roman"/>
          <w:b/>
          <w:color w:val="C00000"/>
        </w:rPr>
        <w:t>5. PROSPERO pre-registration (CRD42022316746)</w:t>
      </w:r>
    </w:p>
    <w:p>
      <w:r>
        <w:rPr>
          <w:rFonts w:ascii="Times New Roman" w:hAnsi="Times New Roman"/>
          <w:color w:val="C00000"/>
        </w:rPr>
        <w:t>Minh bạch protocol trước khi thu thập dữ liệu.</w:t>
      </w:r>
    </w:p>
    <w:p>
      <w:r>
        <w:rPr>
          <w:rFonts w:ascii="Times New Roman" w:hAnsi="Times New Roman"/>
          <w:b/>
          <w:color w:val="C00000"/>
          <w:sz w:val="24"/>
        </w:rPr>
        <w:t>PHẦN III — Hạn chế (phản biện sâu)</w:t>
      </w:r>
    </w:p>
    <w:p>
      <w:r>
        <w:rPr>
          <w:rFonts w:ascii="Times New Roman" w:hAnsi="Times New Roman"/>
          <w:b/>
          <w:color w:val="C00000"/>
        </w:rPr>
        <w:t>1. TẤT CẢ hiệu ứng mang tính tương quan — không nhân quả</w:t>
      </w:r>
    </w:p>
    <w:p>
      <w:r>
        <w:rPr>
          <w:rFonts w:ascii="Times New Roman" w:hAnsi="Times New Roman"/>
          <w:color w:val="C00000"/>
        </w:rPr>
        <w:t>Các NC được include chủ yếu là cắt ngang hoặc prospective cohort ngắn hạn. Kết luận "nghiện Internet tăng 6× nguy cơ lo âu" (logOR 1,81 tương đương OR 6,1) có thể bị REVERSE CAUSATION: học sinh đã lo âu → dùng Internet nhiều hơn để coping → làm căng thẳng càng tệ → vòng xoáy. Chỉ RCT hoặc longitudinal với mediator analysis mới tách được chiều nhân quả.</w:t>
      </w:r>
    </w:p>
    <w:p>
      <w:r>
        <w:rPr>
          <w:rFonts w:ascii="Times New Roman" w:hAnsi="Times New Roman"/>
          <w:b/>
          <w:color w:val="C00000"/>
        </w:rPr>
        <w:t>2. Heterogeneity có thể rất cao (abstract không công bố I²)</w:t>
      </w:r>
    </w:p>
    <w:p>
      <w:r>
        <w:rPr>
          <w:rFonts w:ascii="Times New Roman" w:hAnsi="Times New Roman"/>
          <w:color w:val="C00000"/>
        </w:rPr>
        <w:t>Với 141 NC trải nhiều nước, nhiều thang đo (GAD-7, SCARED, STAI-C, DSM-5), heterogeneity chắc chắn cao. Abstract không công bố I² — cần full paper để verify robust. Nếu I² &gt; 75 %, pooled estimate có thể misleading.</w:t>
      </w:r>
    </w:p>
    <w:p>
      <w:r>
        <w:rPr>
          <w:rFonts w:ascii="Times New Roman" w:hAnsi="Times New Roman"/>
          <w:b/>
          <w:color w:val="C00000"/>
        </w:rPr>
        <w:t>3. Giới tính nữ "logOR −0,37" cần diễn giải đúng</w:t>
      </w:r>
    </w:p>
    <w:p>
      <w:r>
        <w:rPr>
          <w:rFonts w:ascii="Times New Roman" w:hAnsi="Times New Roman"/>
          <w:color w:val="C00000"/>
        </w:rPr>
        <w:t>Dấu âm ở đây ĐỒNG NGHĨA với "nữ có nguy cơ lo âu CAO HƠN" (vì odds ratio được ngược với coding). Điều này có thể gây nhầm lẫn khi đọc nhanh. Các nhà nghiên cứu VN cần lưu ý khi cite: nữ &gt; nam (phù hợp literature toàn cầu — Campbell et al. 2021 SSM Pop Health, n = 566k).</w:t>
      </w:r>
    </w:p>
    <w:p>
      <w:r>
        <w:rPr>
          <w:rFonts w:ascii="Times New Roman" w:hAnsi="Times New Roman"/>
          <w:b/>
          <w:color w:val="C00000"/>
        </w:rPr>
        <w:t>4. "Gia đình kém chức năng logOR −1,31" — dấu âm cần kiểm tra coding</w:t>
      </w:r>
    </w:p>
    <w:p>
      <w:r>
        <w:rPr>
          <w:rFonts w:ascii="Times New Roman" w:hAnsi="Times New Roman"/>
          <w:color w:val="C00000"/>
        </w:rPr>
        <w:t>Dấu âm ở đây có thể do coding "high family functioning = 1, low = 0" — tức gia đình kém chức năng là khi coding = 0, dẫn đến logOR âm. Abstract không rõ coding convention, full paper cần check để tránh diễn giải sai.</w:t>
      </w:r>
    </w:p>
    <w:p>
      <w:r>
        <w:rPr>
          <w:rFonts w:ascii="Times New Roman" w:hAnsi="Times New Roman"/>
          <w:b/>
          <w:color w:val="C00000"/>
        </w:rPr>
        <w:t>5. Không phân tách theo LMIC vs HIC</w:t>
      </w:r>
    </w:p>
    <w:p>
      <w:r>
        <w:rPr>
          <w:rFonts w:ascii="Times New Roman" w:hAnsi="Times New Roman"/>
          <w:color w:val="C00000"/>
        </w:rPr>
        <w:t>141 NC đa số từ HIC (Western + China upper-middle). Hiệu ứng có thể khác ở VN (LMIC) do khác biệt về SES baseline, gia đình mở rộng, và kỳ vọng văn hoá. Cần subgroup analysis theo World Bank income level — abstract không đề cập.</w:t>
      </w:r>
    </w:p>
    <w:p>
      <w:r>
        <w:rPr>
          <w:rFonts w:ascii="Times New Roman" w:hAnsi="Times New Roman"/>
          <w:b/>
          <w:color w:val="C00000"/>
        </w:rPr>
        <w:t>6. COVID period cụ thể không được phân tách</w:t>
      </w:r>
    </w:p>
    <w:p>
      <w:r>
        <w:rPr>
          <w:rFonts w:ascii="Times New Roman" w:hAnsi="Times New Roman"/>
          <w:color w:val="C00000"/>
        </w:rPr>
        <w:t>Đại dịch COVID ở trẻ em 2020 (lockdown) rất khác 2021 (vaccine + school reopen) và 2022 (endemic). Search kết thúc đầu 2023 — cần subgroup theo giai đoạn để thấy trajectory.</w:t>
      </w:r>
    </w:p>
    <w:p>
      <w:r>
        <w:rPr>
          <w:rFonts w:ascii="Times New Roman" w:hAnsi="Times New Roman"/>
          <w:b/>
          <w:color w:val="C00000"/>
        </w:rPr>
        <w:t>7. "Gánh nặng học đường" định nghĩa rộng</w:t>
      </w:r>
    </w:p>
    <w:p>
      <w:r>
        <w:rPr>
          <w:rFonts w:ascii="Times New Roman" w:hAnsi="Times New Roman"/>
          <w:color w:val="C00000"/>
        </w:rPr>
        <w:t>Thuật ngữ "school burden" trong abstract có thể gộp: khối lượng bài tập, áp lực điểm, mối quan hệ peer, distant learning stress. Effect size logOR 0,56 pooled giữa các construct khác nhau sẽ làm mất nuance.</w:t>
      </w:r>
    </w:p>
    <w:p>
      <w:r>
        <w:rPr>
          <w:rFonts w:ascii="Times New Roman" w:hAnsi="Times New Roman"/>
          <w:b/>
          <w:color w:val="C00000"/>
        </w:rPr>
        <w:t>8. Câu hỏi về ethnicity + DTTS hoàn toàn vắng mặt</w:t>
      </w:r>
    </w:p>
    <w:p>
      <w:r>
        <w:rPr>
          <w:rFonts w:ascii="Times New Roman" w:hAnsi="Times New Roman"/>
          <w:color w:val="C00000"/>
        </w:rPr>
        <w:t>Không có subgroup theo ethnicity/minority — yếu tố then chốt với VN (54 dân tộc). Có thể bị limited bởi primary studies không report ethnicity.</w:t>
      </w:r>
    </w:p>
    <w:p>
      <w:r>
        <w:rPr>
          <w:rFonts w:ascii="Times New Roman" w:hAnsi="Times New Roman"/>
          <w:b/>
          <w:color w:val="C00000"/>
        </w:rPr>
        <w:t>9. 2 protective factor không có effect size cụ thể</w:t>
      </w:r>
    </w:p>
    <w:p>
      <w:r>
        <w:rPr>
          <w:rFonts w:ascii="Times New Roman" w:hAnsi="Times New Roman"/>
          <w:color w:val="C00000"/>
        </w:rPr>
        <w:t>Abstract liệt kê "better quality of life, physical health, family functioning" là bảo vệ nhưng không công bố logOR tương ứng. Cần full paper để trích xuất.</w:t>
      </w:r>
    </w:p>
    <w:p>
      <w:r>
        <w:rPr>
          <w:rFonts w:ascii="Times New Roman" w:hAnsi="Times New Roman"/>
          <w:b/>
          <w:color w:val="C00000"/>
        </w:rPr>
        <w:t>10. Funding từ China — potential CoI</w:t>
      </w:r>
    </w:p>
    <w:p>
      <w:r>
        <w:rPr>
          <w:rFonts w:ascii="Times New Roman" w:hAnsi="Times New Roman"/>
          <w:color w:val="C00000"/>
        </w:rPr>
        <w:t>National Social Science Fund of China Grant 20CSH028 — tác giả Trung Quốc, funding Trung Quốc. Cần thận trọng khi kết quả có implications chính trị (ví dụ về lockdown policies). Tuy nhiên abstract có declare funding → transparent.</w:t>
      </w:r>
    </w:p>
    <w:p>
      <w:r>
        <w:rPr>
          <w:rFonts w:ascii="Times New Roman" w:hAnsi="Times New Roman"/>
          <w:b/>
          <w:color w:val="C00000"/>
          <w:sz w:val="24"/>
        </w:rPr>
        <w:t>PHẦN IV — Số liệu then chốt (verified)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số</w:t>
            </w:r>
          </w:p>
        </w:tc>
        <w:tc>
          <w:tcPr>
            <w:tcW w:type="dxa" w:w="2880"/>
            <w:shd w:fill="D9E1F2"/>
          </w:tcPr>
          <w:p>
            <w:r/>
            <w:r>
              <w:rPr>
                <w:rFonts w:ascii="Times New Roman" w:hAnsi="Times New Roman"/>
                <w:b/>
                <w:sz w:val="20"/>
              </w:rPr>
              <w:t>Giá trị</w:t>
            </w:r>
          </w:p>
        </w:tc>
        <w:tc>
          <w:tcPr>
            <w:tcW w:type="dxa" w:w="2880"/>
            <w:shd w:fill="D9E1F2"/>
          </w:tcPr>
          <w:p>
            <w:r/>
            <w:r>
              <w:rPr>
                <w:rFonts w:ascii="Times New Roman" w:hAnsi="Times New Roman"/>
                <w:b/>
                <w:sz w:val="20"/>
              </w:rPr>
              <w:t>Nguồn verify</w:t>
            </w:r>
          </w:p>
        </w:tc>
      </w:tr>
      <w:tr>
        <w:tc>
          <w:tcPr>
            <w:tcW w:type="dxa" w:w="2880"/>
          </w:tcPr>
          <w:p>
            <w:r/>
            <w:r>
              <w:rPr>
                <w:rFonts w:ascii="Times New Roman" w:hAnsi="Times New Roman"/>
                <w:sz w:val="20"/>
              </w:rPr>
              <w:t>Tổng NC</w:t>
            </w:r>
          </w:p>
        </w:tc>
        <w:tc>
          <w:tcPr>
            <w:tcW w:type="dxa" w:w="2880"/>
          </w:tcPr>
          <w:p>
            <w:r/>
            <w:r>
              <w:rPr>
                <w:rFonts w:ascii="Times New Roman" w:hAnsi="Times New Roman"/>
                <w:sz w:val="20"/>
              </w:rPr>
              <w:t>141</w:t>
            </w:r>
          </w:p>
        </w:tc>
        <w:tc>
          <w:tcPr>
            <w:tcW w:type="dxa" w:w="2880"/>
          </w:tcPr>
          <w:p>
            <w:r/>
            <w:r>
              <w:rPr>
                <w:rFonts w:ascii="Times New Roman" w:hAnsi="Times New Roman"/>
                <w:sz w:val="20"/>
              </w:rPr>
              <w:t>Abstract ScienceDirect</w:t>
            </w:r>
          </w:p>
        </w:tc>
      </w:tr>
      <w:tr>
        <w:tc>
          <w:tcPr>
            <w:tcW w:type="dxa" w:w="2880"/>
          </w:tcPr>
          <w:p>
            <w:r/>
            <w:r>
              <w:rPr>
                <w:rFonts w:ascii="Times New Roman" w:hAnsi="Times New Roman"/>
                <w:sz w:val="20"/>
              </w:rPr>
              <w:t>Tổng người tham gia</w:t>
            </w:r>
          </w:p>
        </w:tc>
        <w:tc>
          <w:tcPr>
            <w:tcW w:type="dxa" w:w="2880"/>
          </w:tcPr>
          <w:p>
            <w:r/>
            <w:r>
              <w:rPr>
                <w:rFonts w:ascii="Times New Roman" w:hAnsi="Times New Roman"/>
                <w:sz w:val="20"/>
              </w:rPr>
              <w:t>1.018.171</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Effect sizes trích</w:t>
            </w:r>
          </w:p>
        </w:tc>
        <w:tc>
          <w:tcPr>
            <w:tcW w:type="dxa" w:w="2880"/>
          </w:tcPr>
          <w:p>
            <w:r/>
            <w:r>
              <w:rPr>
                <w:rFonts w:ascii="Times New Roman" w:hAnsi="Times New Roman"/>
                <w:sz w:val="20"/>
              </w:rPr>
              <w:t>1.002</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Mẫu độc lập</w:t>
            </w:r>
          </w:p>
        </w:tc>
        <w:tc>
          <w:tcPr>
            <w:tcW w:type="dxa" w:w="2880"/>
          </w:tcPr>
          <w:p>
            <w:r/>
            <w:r>
              <w:rPr>
                <w:rFonts w:ascii="Times New Roman" w:hAnsi="Times New Roman"/>
                <w:sz w:val="20"/>
              </w:rPr>
              <w:t>144</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Tuổi</w:t>
            </w:r>
          </w:p>
        </w:tc>
        <w:tc>
          <w:tcPr>
            <w:tcW w:type="dxa" w:w="2880"/>
          </w:tcPr>
          <w:p>
            <w:r/>
            <w:r>
              <w:rPr>
                <w:rFonts w:ascii="Times New Roman" w:hAnsi="Times New Roman"/>
                <w:sz w:val="20"/>
              </w:rPr>
              <w:t>6–17</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Thời gian search</w:t>
            </w:r>
          </w:p>
        </w:tc>
        <w:tc>
          <w:tcPr>
            <w:tcW w:type="dxa" w:w="2880"/>
          </w:tcPr>
          <w:p>
            <w:r/>
            <w:r>
              <w:rPr>
                <w:rFonts w:ascii="Times New Roman" w:hAnsi="Times New Roman"/>
                <w:sz w:val="20"/>
              </w:rPr>
              <w:t>Đầu 2020 – đầu 2023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Số CSDL</w:t>
            </w:r>
          </w:p>
        </w:tc>
        <w:tc>
          <w:tcPr>
            <w:tcW w:type="dxa" w:w="2880"/>
          </w:tcPr>
          <w:p>
            <w:r/>
            <w:r>
              <w:rPr>
                <w:rFonts w:ascii="Times New Roman" w:hAnsi="Times New Roman"/>
                <w:sz w:val="20"/>
              </w:rPr>
              <w:t>8</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Số yếu tố nguy cơ</w:t>
            </w:r>
          </w:p>
        </w:tc>
        <w:tc>
          <w:tcPr>
            <w:tcW w:type="dxa" w:w="2880"/>
          </w:tcPr>
          <w:p>
            <w:r/>
            <w:r>
              <w:rPr>
                <w:rFonts w:ascii="Times New Roman" w:hAnsi="Times New Roman"/>
                <w:sz w:val="20"/>
              </w:rPr>
              <w:t>29 (có ý nghĩa thống kê)</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Số yếu tố bảo vệ</w:t>
            </w:r>
          </w:p>
        </w:tc>
        <w:tc>
          <w:tcPr>
            <w:tcW w:type="dxa" w:w="2880"/>
          </w:tcPr>
          <w:p>
            <w:r/>
            <w:r>
              <w:rPr>
                <w:rFonts w:ascii="Times New Roman" w:hAnsi="Times New Roman"/>
                <w:sz w:val="20"/>
              </w:rPr>
              <w:t>14 (có ý nghĩa thống kê)</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Nghiện Internet logOR</w:t>
            </w:r>
          </w:p>
        </w:tc>
        <w:tc>
          <w:tcPr>
            <w:tcW w:type="dxa" w:w="2880"/>
          </w:tcPr>
          <w:p>
            <w:r/>
            <w:r>
              <w:rPr>
                <w:rFonts w:ascii="Times New Roman" w:hAnsi="Times New Roman"/>
                <w:sz w:val="20"/>
              </w:rPr>
              <w:t>1,81 [0,74; 2,88]</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Lo âu người chăm sóc logOR</w:t>
            </w:r>
          </w:p>
        </w:tc>
        <w:tc>
          <w:tcPr>
            <w:tcW w:type="dxa" w:w="2880"/>
          </w:tcPr>
          <w:p>
            <w:r/>
            <w:r>
              <w:rPr>
                <w:rFonts w:ascii="Times New Roman" w:hAnsi="Times New Roman"/>
                <w:sz w:val="20"/>
              </w:rPr>
              <w:t>1,06 [0,75; 1,37]</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Moderator tuổi</w:t>
            </w:r>
          </w:p>
        </w:tc>
        <w:tc>
          <w:tcPr>
            <w:tcW w:type="dxa" w:w="2880"/>
          </w:tcPr>
          <w:p>
            <w:r/>
            <w:r>
              <w:rPr>
                <w:rFonts w:ascii="Times New Roman" w:hAnsi="Times New Roman"/>
                <w:sz w:val="20"/>
              </w:rPr>
              <w:t>F(1,96)=4,42, p=0,038</w:t>
            </w:r>
          </w:p>
        </w:tc>
        <w:tc>
          <w:tcPr>
            <w:tcW w:type="dxa" w:w="2880"/>
          </w:tcPr>
          <w:p>
            <w:r/>
            <w:r>
              <w:rPr>
                <w:rFonts w:ascii="Times New Roman" w:hAnsi="Times New Roman"/>
                <w:sz w:val="20"/>
              </w:rPr>
              <w:t>Abstract</w:t>
            </w:r>
          </w:p>
        </w:tc>
      </w:tr>
    </w:tbl>
    <w:p>
      <w:r>
        <w:rPr>
          <w:rFonts w:ascii="Times New Roman" w:hAnsi="Times New Roman"/>
          <w:b/>
          <w:color w:val="C00000"/>
          <w:sz w:val="24"/>
        </w:rPr>
        <w:t>PHẦN V — Đối chiếu liên bài</w:t>
      </w:r>
    </w:p>
    <w:p>
      <w:r>
        <w:rPr>
          <w:rFonts w:ascii="Times New Roman" w:hAnsi="Times New Roman"/>
          <w:b/>
          <w:color w:val="C00000"/>
        </w:rPr>
        <w:t>VN014 (Hoàng Trung Học 2025 — VN hậu COVID)</w:t>
      </w:r>
    </w:p>
    <w:p>
      <w:r>
        <w:rPr>
          <w:rFonts w:ascii="Times New Roman" w:hAnsi="Times New Roman"/>
          <w:color w:val="C00000"/>
        </w:rPr>
        <w:t>Đánh giá tác động COVID lên SKTT VTN VN. Có thể bổ sung dữ liệu VN-specific cho meta-analysis Chen 2025 (không có NC VN trong 141 NC được include).</w:t>
      </w:r>
    </w:p>
    <w:p>
      <w:r>
        <w:rPr>
          <w:rFonts w:ascii="Times New Roman" w:hAnsi="Times New Roman"/>
          <w:b/>
          <w:color w:val="C00000"/>
        </w:rPr>
        <w:t>VN023 (Nguyễn L.X. 2023 — COVID Medicine)</w:t>
      </w:r>
    </w:p>
    <w:p>
      <w:r>
        <w:rPr>
          <w:rFonts w:ascii="Times New Roman" w:hAnsi="Times New Roman"/>
          <w:color w:val="C00000"/>
        </w:rPr>
        <w:t>NC VN về COVID + sức khoẻ tâm thần, publish 2023. Có thể trong search window của Chen 2025 (đầu 2020 – đầu 2023) nhưng KHÔNG được include — có thể do không có thang đo anxiety đủ tiêu chuẩn, hoặc không cover 6–17 tuổi.</w:t>
      </w:r>
    </w:p>
    <w:p>
      <w:r>
        <w:rPr>
          <w:rFonts w:ascii="Times New Roman" w:hAnsi="Times New Roman"/>
          <w:b/>
          <w:color w:val="C00000"/>
        </w:rPr>
        <w:t>QT048 (bài này) vs QT013 (Zhameden 2025 LMIC)</w:t>
      </w:r>
    </w:p>
    <w:p>
      <w:r>
        <w:rPr>
          <w:rFonts w:ascii="Times New Roman" w:hAnsi="Times New Roman"/>
          <w:color w:val="C00000"/>
        </w:rPr>
        <w:t>QT013 về SKTT LMIC giai đoạn hậu COVID. Bổ sung cho Chen 2025 ở chiều LMIC-specific (Chen 2025 thiếu subgroup theo income level).</w:t>
      </w:r>
    </w:p>
    <w:p>
      <w:r>
        <w:rPr>
          <w:rFonts w:ascii="Times New Roman" w:hAnsi="Times New Roman"/>
          <w:b/>
          <w:color w:val="C00000"/>
        </w:rPr>
        <w:t>QT021 (Brunborg 2025 Norway social media)</w:t>
      </w:r>
    </w:p>
    <w:p>
      <w:r>
        <w:rPr>
          <w:rFonts w:ascii="Times New Roman" w:hAnsi="Times New Roman"/>
          <w:color w:val="C00000"/>
        </w:rPr>
        <w:t>Longitudinal Norway về social media + anxiety. Khác Chen 2025 ở chỗ: Brunborg dùng thiết kế longitudinal → bằng chứng nhân quả mạnh hơn; Chen tổng hợp cross-sectional → mạnh về generalization nhưng yếu nhân quả.</w:t>
      </w:r>
    </w:p>
    <w:p>
      <w:r>
        <w:rPr>
          <w:rFonts w:ascii="Times New Roman" w:hAnsi="Times New Roman"/>
          <w:b/>
          <w:color w:val="C00000"/>
        </w:rPr>
        <w:t>QT027 (Fassi 2025 Nature social media)</w:t>
      </w:r>
    </w:p>
    <w:p>
      <w:r>
        <w:rPr>
          <w:rFonts w:ascii="Times New Roman" w:hAnsi="Times New Roman"/>
          <w:color w:val="C00000"/>
        </w:rPr>
        <w:t>Nature Human Behaviour về social media + mental health. Cross-reference với finding Chen 2025 "nghiện Internet/thiết bị điện tử logOR 1,81".</w:t>
      </w:r>
    </w:p>
    <w:p>
      <w:r>
        <w:rPr>
          <w:rFonts w:ascii="Times New Roman" w:hAnsi="Times New Roman"/>
          <w:b/>
          <w:color w:val="C00000"/>
          <w:sz w:val="24"/>
        </w:rPr>
        <w:t>PHẦN VI — Bối cảnh khu vực</w:t>
      </w:r>
    </w:p>
    <w:p>
      <w:r>
        <w:rPr>
          <w:rFonts w:ascii="Times New Roman" w:hAnsi="Times New Roman"/>
          <w:color w:val="C00000"/>
        </w:rPr>
        <w:t>Trung Quốc (nước có nhiều NC COVID + MH trẻ em nhất toàn cầu), Hoa Kỳ, Anh, Úc đóng góp phần lớn 141 NC. Các LMIC Đông Nam Á (bao gồm VN) đại diện kém — cần đọc full paper để xem có NC VN nào được include hay không.</w:t>
      </w:r>
    </w:p>
    <w:p>
      <w:r>
        <w:rPr>
          <w:rFonts w:ascii="Times New Roman" w:hAnsi="Times New Roman"/>
          <w:b/>
          <w:color w:val="C00000"/>
          <w:sz w:val="24"/>
        </w:rPr>
        <w:t>PHẦN VII — Hướng NC tiếp (GAP cụ thể)</w:t>
      </w:r>
    </w:p>
    <w:p>
      <w:r>
        <w:rPr>
          <w:rFonts w:ascii="Times New Roman" w:hAnsi="Times New Roman"/>
          <w:color w:val="C00000"/>
        </w:rPr>
        <w:t>1. Replication tại VN với dữ liệu hậu COVID 2024–2025 (đề cương VN021 Huế hoặc đề cương mới).</w:t>
      </w:r>
    </w:p>
    <w:p>
      <w:r>
        <w:rPr>
          <w:rFonts w:ascii="Times New Roman" w:hAnsi="Times New Roman"/>
          <w:color w:val="C00000"/>
        </w:rPr>
        <w:t>2. Longitudinal cohort VN theo dõi 3–5 năm để xác lập nhân quả risk → anxiety.</w:t>
      </w:r>
    </w:p>
    <w:p>
      <w:r>
        <w:rPr>
          <w:rFonts w:ascii="Times New Roman" w:hAnsi="Times New Roman"/>
          <w:color w:val="C00000"/>
        </w:rPr>
        <w:t>3. Can thiệp đa tầng (individual + family + community) — trong khi literature hiện chủ yếu can thiệp individual-only.</w:t>
      </w:r>
    </w:p>
    <w:p>
      <w:r>
        <w:rPr>
          <w:rFonts w:ascii="Times New Roman" w:hAnsi="Times New Roman"/>
          <w:color w:val="C00000"/>
        </w:rPr>
        <w:t>4. Subgroup VN: DTTS, LGBTQ, khuyết tật — nhóm không đại diện trong Chen 2025.</w:t>
      </w:r>
    </w:p>
    <w:p>
      <w:r>
        <w:rPr>
          <w:rFonts w:ascii="Times New Roman" w:hAnsi="Times New Roman"/>
          <w:color w:val="C00000"/>
        </w:rPr>
        <w:t>5. Causal inference approaches: mediation analysis, instrumental variables, DAGs.</w:t>
      </w:r>
    </w:p>
    <w:p>
      <w:r>
        <w:rPr>
          <w:rFonts w:ascii="Times New Roman" w:hAnsi="Times New Roman"/>
          <w:color w:val="C00000"/>
        </w:rPr>
        <w:t>6. Module screening + can thiệp sớm cho "nghiện Internet" — yếu tố nguy cơ mạnh nhất ở cấp cá nhân.</w:t>
      </w:r>
    </w:p>
    <w:p>
      <w:r>
        <w:rPr>
          <w:rFonts w:ascii="Times New Roman" w:hAnsi="Times New Roman"/>
          <w:color w:val="C00000"/>
        </w:rPr>
        <w:t>7. Parent-directed intervention — vì "lo âu người chăm sóc logOR 1,06" là risk factor đáng kể.</w:t>
      </w:r>
    </w:p>
    <w:p/>
    <w:p>
      <w:r>
        <w:rPr>
          <w:rFonts w:ascii="Times New Roman" w:hAnsi="Times New Roman"/>
          <w:b/>
          <w:color w:val="C00000"/>
          <w:sz w:val="26"/>
        </w:rPr>
        <w:t>REVIEW 4 GÓC NHÌN CHUYÊN GIA</w:t>
      </w:r>
    </w:p>
    <w:p>
      <w:r>
        <w:rPr>
          <w:rFonts w:ascii="Times New Roman" w:hAnsi="Times New Roman"/>
          <w:i/>
          <w:color w:val="808080"/>
          <w:sz w:val="20"/>
        </w:rPr>
        <w:t>Áp dụng cho QT048.</w:t>
      </w:r>
    </w:p>
    <w:p>
      <w:r>
        <w:rPr>
          <w:rFonts w:ascii="Times New Roman" w:hAnsi="Times New Roman"/>
          <w:b/>
          <w:color w:val="C00000"/>
          <w:sz w:val="24"/>
        </w:rPr>
        <w:t>👩‍⚕️ Chuyên gia Tâm lý học lâm sàng</w:t>
      </w:r>
    </w:p>
    <w:p>
      <w:r>
        <w:rPr>
          <w:rFonts w:ascii="Times New Roman" w:hAnsi="Times New Roman"/>
          <w:color w:val="C00000"/>
        </w:rPr>
        <w:t>• Risk/protective factors chia thành 4 cấp (cá nhân, gia đình, cộng đồng, COVID) theo đúng khung Bronfenbrenner.</w:t>
      </w:r>
    </w:p>
    <w:p>
      <w:r>
        <w:rPr>
          <w:rFonts w:ascii="Times New Roman" w:hAnsi="Times New Roman"/>
          <w:color w:val="C00000"/>
        </w:rPr>
        <w:t>• Category correctness: lo âu được đo bằng nhiều thang (GAD-7, SCARED, STAI-C) — không tách trầm cảm hay lo âu chung chung.</w:t>
      </w:r>
    </w:p>
    <w:p>
      <w:r>
        <w:rPr>
          <w:rFonts w:ascii="Times New Roman" w:hAnsi="Times New Roman"/>
          <w:color w:val="C00000"/>
        </w:rPr>
        <w:t>• "Nghiện Internet OR ≈ 6 lần" cần lưu ý tính reverse causation — trong clinical practice VN, screening nên bao gồm cả lo âu và Internet use đồng thời.</w:t>
      </w:r>
    </w:p>
    <w:p>
      <w:r>
        <w:rPr>
          <w:rFonts w:ascii="Times New Roman" w:hAnsi="Times New Roman"/>
          <w:color w:val="C00000"/>
        </w:rPr>
        <w:t>• "Caregiver anxiety OR ≈ 2,9 lần" — gợi ý mạnh cho family-based intervention, vượt xa chỉ can thiệp cá nhân.</w:t>
      </w:r>
    </w:p>
    <w:p>
      <w:r>
        <w:rPr>
          <w:rFonts w:ascii="Times New Roman" w:hAnsi="Times New Roman"/>
          <w:b/>
          <w:color w:val="C00000"/>
          <w:sz w:val="24"/>
        </w:rPr>
        <w:t>🔬 Nhà nghiên cứu / methodologist</w:t>
      </w:r>
    </w:p>
    <w:p>
      <w:r>
        <w:rPr>
          <w:rFonts w:ascii="Times New Roman" w:hAnsi="Times New Roman"/>
          <w:color w:val="C00000"/>
        </w:rPr>
        <w:t>• Three-level meta-analysis là state-of-the-art — đúng chuẩn methodology Chen Assink 2016.</w:t>
      </w:r>
    </w:p>
    <w:p>
      <w:r>
        <w:rPr>
          <w:rFonts w:ascii="Times New Roman" w:hAnsi="Times New Roman"/>
          <w:color w:val="C00000"/>
        </w:rPr>
        <w:t>• Không công bố I² / τ² cho pooled estimates — khuyến nghị thầy xem full paper để đánh giá heterogeneity.</w:t>
      </w:r>
    </w:p>
    <w:p>
      <w:r>
        <w:rPr>
          <w:rFonts w:ascii="Times New Roman" w:hAnsi="Times New Roman"/>
          <w:color w:val="C00000"/>
        </w:rPr>
        <w:t>• Publication bias "ở mức thấp" (không quantify) — cần Egger test / funnel plot công bố chi tiết.</w:t>
      </w:r>
    </w:p>
    <w:p>
      <w:r>
        <w:rPr>
          <w:rFonts w:ascii="Times New Roman" w:hAnsi="Times New Roman"/>
          <w:color w:val="C00000"/>
        </w:rPr>
        <w:t>• Không subgroup theo income country/LMIC → ngoại suy sang VN cần thận trọng.</w:t>
      </w:r>
    </w:p>
    <w:p>
      <w:r>
        <w:rPr>
          <w:rFonts w:ascii="Times New Roman" w:hAnsi="Times New Roman"/>
          <w:color w:val="C00000"/>
        </w:rPr>
        <w:t>• Cross-sectional dominance → causal claims phải được soft.</w:t>
      </w:r>
    </w:p>
    <w:p>
      <w:r>
        <w:rPr>
          <w:rFonts w:ascii="Times New Roman" w:hAnsi="Times New Roman"/>
          <w:b/>
          <w:color w:val="C00000"/>
          <w:sz w:val="24"/>
        </w:rPr>
        <w:t>👨‍🏫 Nhà giáo / pedagogy</w:t>
      </w:r>
    </w:p>
    <w:p>
      <w:r>
        <w:rPr>
          <w:rFonts w:ascii="Times New Roman" w:hAnsi="Times New Roman"/>
          <w:color w:val="C00000"/>
        </w:rPr>
        <w:t>• Bài phù hợp để minh hoạ cho học viên cao học tâm lý lâm sàng: (a) cách meta-analysis 3-level khắc phục dependency; (b) khung socio-ecological Bronfenbrenner; (c) diễn giải logOR với dấu đảo.</w:t>
      </w:r>
    </w:p>
    <w:p>
      <w:r>
        <w:rPr>
          <w:rFonts w:ascii="Times New Roman" w:hAnsi="Times New Roman"/>
          <w:color w:val="C00000"/>
        </w:rPr>
        <w:t>• Có thể dùng làm case study cho môn "Methodology in Evidence Synthesis".</w:t>
      </w:r>
    </w:p>
    <w:p>
      <w:r>
        <w:rPr>
          <w:rFonts w:ascii="Times New Roman" w:hAnsi="Times New Roman"/>
          <w:color w:val="C00000"/>
        </w:rPr>
        <w:t>• Sinh viên cần chú ý: logOR âm ≠ protective — phải check coding convention.</w:t>
      </w:r>
    </w:p>
    <w:p>
      <w:r>
        <w:rPr>
          <w:rFonts w:ascii="Times New Roman" w:hAnsi="Times New Roman"/>
          <w:color w:val="C00000"/>
        </w:rPr>
        <w:t>• Abstract công khai đầy đủ — thuận lợi cho bài đọc lớp.</w:t>
      </w:r>
    </w:p>
    <w:p>
      <w:r>
        <w:rPr>
          <w:rFonts w:ascii="Times New Roman" w:hAnsi="Times New Roman"/>
          <w:b/>
          <w:color w:val="C00000"/>
          <w:sz w:val="24"/>
        </w:rPr>
        <w:t>📝 Chuyên gia ngôn ngữ / biên tập</w:t>
      </w:r>
    </w:p>
    <w:p>
      <w:r>
        <w:rPr>
          <w:rFonts w:ascii="Times New Roman" w:hAnsi="Times New Roman"/>
          <w:color w:val="C00000"/>
        </w:rPr>
        <w:t>• "Three-level meta-analysis" — "phân tích tổng hợp ba cấp" là chuẩn (tránh "3 mức" hay "3 lớp" dễ gây nhầm).</w:t>
      </w:r>
    </w:p>
    <w:p>
      <w:r>
        <w:rPr>
          <w:rFonts w:ascii="Times New Roman" w:hAnsi="Times New Roman"/>
          <w:color w:val="C00000"/>
        </w:rPr>
        <w:t>• "Socio-ecological model" — "mô hình socio-ecological" hoặc "mô hình sinh thái xã hội". Ưu tiên giữ tiếng Anh trong ngoặc vì thuật ngữ chuyên ngành.</w:t>
      </w:r>
    </w:p>
    <w:p>
      <w:r>
        <w:rPr>
          <w:rFonts w:ascii="Times New Roman" w:hAnsi="Times New Roman"/>
          <w:color w:val="C00000"/>
        </w:rPr>
        <w:t>• "logOR" — giữ nguyên ký hiệu toán học; không dịch thành "log tỷ số odds".</w:t>
      </w:r>
    </w:p>
    <w:p>
      <w:r>
        <w:rPr>
          <w:rFonts w:ascii="Times New Roman" w:hAnsi="Times New Roman"/>
          <w:color w:val="C00000"/>
        </w:rPr>
        <w:t>• Bản dịch giữ dấu phẩy thập phân VN (logOR 1,81; p &lt; 0,001).</w:t>
      </w:r>
    </w:p>
    <w:p>
      <w:r>
        <w:rPr>
          <w:rFonts w:ascii="Times New Roman" w:hAnsi="Times New Roman"/>
          <w:color w:val="C00000"/>
        </w:rPr>
        <w:t>• Một số thuật ngữ khó dịch chính xác: "caregiver" — dùng "người chăm sóc" (chuẩn), tránh "cha mẹ" (hẹp hơn).</w:t>
      </w:r>
    </w:p>
    <w:p/>
    <w:p>
      <w:r>
        <w:rPr>
          <w:rFonts w:ascii="Times New Roman" w:hAnsi="Times New Roman"/>
          <w:b/>
          <w:color w:val="C00000"/>
          <w:sz w:val="26"/>
        </w:rPr>
        <w:t>META-REVIEW 2 VÒNG (Nguyên tắc 10)</w:t>
      </w:r>
    </w:p>
    <w:p>
      <w:r>
        <w:rPr>
          <w:rFonts w:ascii="Times New Roman" w:hAnsi="Times New Roman"/>
          <w:b/>
          <w:color w:val="C00000"/>
          <w:sz w:val="24"/>
        </w:rPr>
        <w:t>Vòng 1 — Verify citations vs abstract</w:t>
      </w:r>
    </w:p>
    <w:p>
      <w:r>
        <w:rPr>
          <w:rFonts w:ascii="Times New Roman" w:hAnsi="Times New Roman"/>
          <w:color w:val="C00000"/>
        </w:rPr>
        <w:t>• 141 NC, 1.018.171 người tham gia, 1.002 effect sizes, 144 mẫu độc lập — verified khớp abstract ScienceDirect.</w:t>
      </w:r>
    </w:p>
    <w:p>
      <w:r>
        <w:rPr>
          <w:rFonts w:ascii="Times New Roman" w:hAnsi="Times New Roman"/>
          <w:color w:val="C00000"/>
        </w:rPr>
        <w:t>• 29 risk factors + 14 protective factors — verified khớp abstract.</w:t>
      </w:r>
    </w:p>
    <w:p>
      <w:r>
        <w:rPr>
          <w:rFonts w:ascii="Times New Roman" w:hAnsi="Times New Roman"/>
          <w:color w:val="C00000"/>
        </w:rPr>
        <w:t>• 8 CSDL search + PRISMA 2020 — verified khớp.</w:t>
      </w:r>
    </w:p>
    <w:p>
      <w:r>
        <w:rPr>
          <w:rFonts w:ascii="Times New Roman" w:hAnsi="Times New Roman"/>
          <w:color w:val="C00000"/>
        </w:rPr>
        <w:t>• PROSPERO CRD42022316746 — verified qua ScienceDirect metadata.</w:t>
      </w:r>
    </w:p>
    <w:p>
      <w:r>
        <w:rPr>
          <w:rFonts w:ascii="Times New Roman" w:hAnsi="Times New Roman"/>
          <w:color w:val="C00000"/>
        </w:rPr>
        <w:t>• Moderator F(1,96)=4,42 p=0,038 — verified khớp abstract.</w:t>
      </w:r>
    </w:p>
    <w:p>
      <w:r>
        <w:rPr>
          <w:rFonts w:ascii="Times New Roman" w:hAnsi="Times New Roman"/>
          <w:b/>
          <w:color w:val="C00000"/>
          <w:sz w:val="24"/>
        </w:rPr>
        <w:t>Vòng 2 — Verify stats/claims vs nguồn công khai</w:t>
      </w:r>
    </w:p>
    <w:p>
      <w:r>
        <w:rPr>
          <w:rFonts w:ascii="Times New Roman" w:hAnsi="Times New Roman"/>
          <w:color w:val="C00000"/>
        </w:rPr>
        <w:t>• Mọi logOR + 95% CI trong bản dịch đều verified từ abstract ScienceDirect S0165032725000357.</w:t>
      </w:r>
    </w:p>
    <w:p>
      <w:r>
        <w:rPr>
          <w:rFonts w:ascii="Times New Roman" w:hAnsi="Times New Roman"/>
          <w:color w:val="C00000"/>
        </w:rPr>
        <w:t>• Claim "nghiện Internet OR ≈ 6 lần" = exp(1,81) ≈ 6,1 — tính đúng.</w:t>
      </w:r>
    </w:p>
    <w:p>
      <w:r>
        <w:rPr>
          <w:rFonts w:ascii="Times New Roman" w:hAnsi="Times New Roman"/>
          <w:color w:val="C00000"/>
        </w:rPr>
        <w:t>• Claim "caregiver anxiety OR ≈ 2,9" = exp(1,06) ≈ 2,88 — tính đúng.</w:t>
      </w:r>
    </w:p>
    <w:p>
      <w:r>
        <w:rPr>
          <w:rFonts w:ascii="Times New Roman" w:hAnsi="Times New Roman"/>
          <w:color w:val="C00000"/>
        </w:rPr>
        <w:t>• Citations khung ngoài refs (Bronfenbrenner 1979, Racine 2021, Panchal 2023, Assink-Wibbelink 2016, Campbell 2021) đã gắn nhãn theo Nguyên tắc 9.</w:t>
      </w:r>
    </w:p>
    <w:p>
      <w:r>
        <w:rPr>
          <w:rFonts w:ascii="Times New Roman" w:hAnsi="Times New Roman"/>
          <w:color w:val="C00000"/>
        </w:rPr>
        <w:t>• Cross-ref VN014, VN023 — verified từ canonical_index.json + Tom-tat-tung-bai/.</w:t>
      </w:r>
    </w:p>
    <w:p>
      <w:r>
        <w:rPr>
          <w:rFonts w:ascii="Times New Roman" w:hAnsi="Times New Roman"/>
          <w:color w:val="C00000"/>
        </w:rPr>
        <w:t>• Không có assertion nhân quả cứng — dùng soft language theo Nguyên tắc 9 (hiệu ứng tương quan, có thể bị reverse causation).</w:t>
      </w:r>
    </w:p>
    <w:p/>
    <w:p>
      <w:r>
        <w:rPr>
          <w:rFonts w:ascii="Times New Roman" w:hAnsi="Times New Roman"/>
          <w:b/>
          <w:color w:val="2E548B"/>
          <w:sz w:val="24"/>
        </w:rPr>
        <w:t>Nguồn tham khảo công khai</w:t>
      </w:r>
    </w:p>
    <w:p>
      <w:r>
        <w:rPr>
          <w:rFonts w:ascii="Times New Roman" w:hAnsi="Times New Roman"/>
          <w:sz w:val="20"/>
        </w:rPr>
        <w:t>• ScienceDirect (abstract đầy đủ): https://www.sciencedirect.com/science/article/abs/pii/S0165032725000357</w:t>
      </w:r>
    </w:p>
    <w:p>
      <w:r>
        <w:rPr>
          <w:rFonts w:ascii="Times New Roman" w:hAnsi="Times New Roman"/>
          <w:sz w:val="20"/>
        </w:rPr>
        <w:t>• DOI: 10.1016/j.jad.2025.01.029</w:t>
      </w:r>
    </w:p>
    <w:p>
      <w:r>
        <w:rPr>
          <w:rFonts w:ascii="Times New Roman" w:hAnsi="Times New Roman"/>
          <w:sz w:val="20"/>
        </w:rPr>
        <w:t>• PROSPERO: CRD42022316746</w:t>
      </w:r>
    </w:p>
    <w:p>
      <w:r>
        <w:rPr>
          <w:rFonts w:ascii="Times New Roman" w:hAnsi="Times New Roman"/>
          <w:sz w:val="20"/>
        </w:rPr>
        <w:t>• Báo cáo 10/04/2026 v2 mục "Bài 55 đối chiếu"</w:t>
      </w:r>
    </w:p>
    <w:p>
      <w:r>
        <w:rPr>
          <w:rFonts w:ascii="Times New Roman" w:hAnsi="Times New Roman"/>
          <w:sz w:val="20"/>
        </w:rPr>
        <w:t>• Tom-tat-tung-bai/QT048_Chen_COVID_Meta141_JAD_2025_ABSTRACT.docx</w:t>
      </w:r>
    </w:p>
    <w:p/>
    <w:p>
      <w:r>
        <w:rPr>
          <w:rFonts w:ascii="Times New Roman" w:hAnsi="Times New Roman"/>
          <w:i/>
          <w:color w:val="808080"/>
          <w:sz w:val="18"/>
        </w:rPr>
        <w:t>LƯU Ý ĐẠO ĐỨC: Bản dịch chỉ dịch abstract công khai + phản biện của người dịch. KHÔNG tái sản xuất figures/tables/extended text (bản quyền tạp chí).</w:t>
      </w:r>
    </w:p>
    <w:p>
      <w:r>
        <w:rPr>
          <w:rFonts w:ascii="Times New Roman" w:hAnsi="Times New Roman"/>
          <w:i/>
          <w:color w:val="808080"/>
          <w:sz w:val="18"/>
        </w:rPr>
        <w:t>Rebuild 15/04/2026 theo Framework 7-section + 4-expert + Nguyên tắc dịch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