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3A68"/>
          <w:sz w:val="28"/>
        </w:rPr>
        <w:t>Bài 56 / QT049 — DỊCH CHI TIẾT + PHẢN BIỆN MỞ RỘNG</w:t>
      </w:r>
    </w:p>
    <w:p>
      <w:pPr>
        <w:jc w:val="center"/>
      </w:pPr>
      <w:r>
        <w:rPr>
          <w:rFonts w:ascii="Times New Roman" w:hAnsi="Times New Roman"/>
          <w:i/>
          <w:color w:val="808080"/>
          <w:sz w:val="20"/>
        </w:rPr>
        <w:t>Phiên bản v2 — rebuild 15/04/2026</w:t>
      </w:r>
    </w:p>
    <w:p>
      <w:r>
        <w:rPr>
          <w:rFonts w:ascii="Times New Roman" w:hAnsi="Times New Roman"/>
        </w:rPr>
      </w:r>
    </w:p>
    <w:p>
      <w:r>
        <w:rPr>
          <w:rFonts w:ascii="Times New Roman" w:hAnsi="Times New Roman"/>
          <w:b/>
          <w:color w:val="1F3A68"/>
          <w:sz w:val="26"/>
        </w:rPr>
        <w:t>I. THÔNG TIN THƯ MỤC</w:t>
      </w:r>
    </w:p>
    <w:tbl>
      <w:tblPr>
        <w:tblStyle w:val="TableGrid"/>
        <w:tblW w:type="auto" w:w="0"/>
        <w:tblLook w:firstColumn="1" w:firstRow="1" w:lastColumn="0" w:lastRow="0" w:noHBand="0" w:noVBand="1" w:val="04A0"/>
      </w:tblPr>
      <w:tblGrid>
        <w:gridCol w:w="4320"/>
        <w:gridCol w:w="4320"/>
      </w:tblGrid>
      <w:tr>
        <w:tc>
          <w:tcPr>
            <w:tcW w:type="dxa" w:w="4320"/>
            <w:shd w:fill="D9E1F2"/>
          </w:tcPr>
          <w:p>
            <w:r/>
            <w:r>
              <w:rPr>
                <w:rFonts w:ascii="Times New Roman" w:hAnsi="Times New Roman"/>
                <w:b/>
                <w:sz w:val="20"/>
              </w:rPr>
              <w:t>Trường</w:t>
            </w:r>
          </w:p>
        </w:tc>
        <w:tc>
          <w:tcPr>
            <w:tcW w:type="dxa" w:w="4320"/>
            <w:shd w:fill="D9E1F2"/>
          </w:tcPr>
          <w:p>
            <w:r/>
            <w:r>
              <w:rPr>
                <w:rFonts w:ascii="Times New Roman" w:hAnsi="Times New Roman"/>
                <w:b/>
                <w:sz w:val="20"/>
              </w:rPr>
              <w:t>Giá trị</w:t>
            </w:r>
          </w:p>
        </w:tc>
      </w:tr>
      <w:tr>
        <w:tc>
          <w:tcPr>
            <w:tcW w:type="dxa" w:w="4320"/>
          </w:tcPr>
          <w:p>
            <w:r/>
            <w:r>
              <w:rPr>
                <w:rFonts w:ascii="Times New Roman" w:hAnsi="Times New Roman"/>
                <w:sz w:val="20"/>
              </w:rPr>
              <w:t>Tiêu đề (EN)</w:t>
            </w:r>
          </w:p>
        </w:tc>
        <w:tc>
          <w:tcPr>
            <w:tcW w:type="dxa" w:w="4320"/>
          </w:tcPr>
          <w:p>
            <w:r/>
            <w:r>
              <w:rPr>
                <w:rFonts w:ascii="Times New Roman" w:hAnsi="Times New Roman"/>
                <w:sz w:val="20"/>
              </w:rPr>
              <w:t>Long-Term Effects of School-Based CBT in Low-Risk Children and Adolescents: A Bayesian Meta-Analysis</w:t>
            </w:r>
          </w:p>
        </w:tc>
      </w:tr>
      <w:tr>
        <w:tc>
          <w:tcPr>
            <w:tcW w:type="dxa" w:w="4320"/>
          </w:tcPr>
          <w:p>
            <w:r/>
            <w:r>
              <w:rPr>
                <w:rFonts w:ascii="Times New Roman" w:hAnsi="Times New Roman"/>
                <w:sz w:val="20"/>
              </w:rPr>
              <w:t>Tiêu đề (VN)</w:t>
            </w:r>
          </w:p>
        </w:tc>
        <w:tc>
          <w:tcPr>
            <w:tcW w:type="dxa" w:w="4320"/>
          </w:tcPr>
          <w:p>
            <w:r/>
            <w:r>
              <w:rPr>
                <w:rFonts w:ascii="Times New Roman" w:hAnsi="Times New Roman"/>
                <w:sz w:val="20"/>
              </w:rPr>
              <w:t>Hiệu quả dài hạn của CBT học đường ở trẻ em và vị thành niên nguy cơ thấp: Phân tích tổng hợp Bayesian</w:t>
            </w:r>
          </w:p>
        </w:tc>
      </w:tr>
      <w:tr>
        <w:tc>
          <w:tcPr>
            <w:tcW w:type="dxa" w:w="4320"/>
          </w:tcPr>
          <w:p>
            <w:r/>
            <w:r>
              <w:rPr>
                <w:rFonts w:ascii="Times New Roman" w:hAnsi="Times New Roman"/>
                <w:sz w:val="20"/>
              </w:rPr>
              <w:t>Tác giả (đầy đủ)</w:t>
            </w:r>
          </w:p>
        </w:tc>
        <w:tc>
          <w:tcPr>
            <w:tcW w:type="dxa" w:w="4320"/>
          </w:tcPr>
          <w:p>
            <w:r/>
            <w:r>
              <w:rPr>
                <w:rFonts w:ascii="Times New Roman" w:hAnsi="Times New Roman"/>
                <w:sz w:val="20"/>
              </w:rPr>
              <w:t>Xiangying Zhang¹, Zhide Liang², Jihye Kang¹</w:t>
            </w:r>
          </w:p>
        </w:tc>
      </w:tr>
      <w:tr>
        <w:tc>
          <w:tcPr>
            <w:tcW w:type="dxa" w:w="4320"/>
          </w:tcPr>
          <w:p>
            <w:r/>
            <w:r>
              <w:rPr>
                <w:rFonts w:ascii="Times New Roman" w:hAnsi="Times New Roman"/>
                <w:sz w:val="20"/>
              </w:rPr>
              <w:t>Liên kết</w:t>
            </w:r>
          </w:p>
        </w:tc>
        <w:tc>
          <w:tcPr>
            <w:tcW w:type="dxa" w:w="4320"/>
          </w:tcPr>
          <w:p>
            <w:r/>
            <w:r>
              <w:rPr>
                <w:rFonts w:ascii="Times New Roman" w:hAnsi="Times New Roman"/>
                <w:sz w:val="20"/>
              </w:rPr>
              <w:t>¹ Dongshin University, Naju-si, Jeollanam-do, Hàn Quốc; ² Faculty of Health Sciences and Sports, Macao Polytechnic University, Macau, Trung Quốc</w:t>
            </w:r>
          </w:p>
        </w:tc>
      </w:tr>
      <w:tr>
        <w:tc>
          <w:tcPr>
            <w:tcW w:type="dxa" w:w="4320"/>
          </w:tcPr>
          <w:p>
            <w:r/>
            <w:r>
              <w:rPr>
                <w:rFonts w:ascii="Times New Roman" w:hAnsi="Times New Roman"/>
                <w:sz w:val="20"/>
              </w:rPr>
              <w:t>Năm xuất bản</w:t>
            </w:r>
          </w:p>
        </w:tc>
        <w:tc>
          <w:tcPr>
            <w:tcW w:type="dxa" w:w="4320"/>
          </w:tcPr>
          <w:p>
            <w:r/>
            <w:r>
              <w:rPr>
                <w:rFonts w:ascii="Times New Roman" w:hAnsi="Times New Roman"/>
                <w:sz w:val="20"/>
              </w:rPr>
              <w:t>2026 (online 11/2025, in print 03/2026)</w:t>
            </w:r>
          </w:p>
        </w:tc>
      </w:tr>
      <w:tr>
        <w:tc>
          <w:tcPr>
            <w:tcW w:type="dxa" w:w="4320"/>
          </w:tcPr>
          <w:p>
            <w:r/>
            <w:r>
              <w:rPr>
                <w:rFonts w:ascii="Times New Roman" w:hAnsi="Times New Roman"/>
                <w:sz w:val="20"/>
              </w:rPr>
              <w:t>Tạp chí</w:t>
            </w:r>
          </w:p>
        </w:tc>
        <w:tc>
          <w:tcPr>
            <w:tcW w:type="dxa" w:w="4320"/>
          </w:tcPr>
          <w:p>
            <w:r/>
            <w:r>
              <w:rPr>
                <w:rFonts w:ascii="Times New Roman" w:hAnsi="Times New Roman"/>
                <w:sz w:val="20"/>
              </w:rPr>
              <w:t>Journal of Clinical Psychology, vol. 82(3), pages 248–259</w:t>
            </w:r>
          </w:p>
        </w:tc>
      </w:tr>
      <w:tr>
        <w:tc>
          <w:tcPr>
            <w:tcW w:type="dxa" w:w="4320"/>
          </w:tcPr>
          <w:p>
            <w:r/>
            <w:r>
              <w:rPr>
                <w:rFonts w:ascii="Times New Roman" w:hAnsi="Times New Roman"/>
                <w:sz w:val="20"/>
              </w:rPr>
              <w:t>DOI</w:t>
            </w:r>
          </w:p>
        </w:tc>
        <w:tc>
          <w:tcPr>
            <w:tcW w:type="dxa" w:w="4320"/>
          </w:tcPr>
          <w:p>
            <w:r/>
            <w:r>
              <w:rPr>
                <w:rFonts w:ascii="Times New Roman" w:hAnsi="Times New Roman"/>
                <w:sz w:val="20"/>
              </w:rPr>
              <w:t>10.1002/jclp.70069</w:t>
            </w:r>
          </w:p>
        </w:tc>
      </w:tr>
      <w:tr>
        <w:tc>
          <w:tcPr>
            <w:tcW w:type="dxa" w:w="4320"/>
          </w:tcPr>
          <w:p>
            <w:r/>
            <w:r>
              <w:rPr>
                <w:rFonts w:ascii="Times New Roman" w:hAnsi="Times New Roman"/>
                <w:sz w:val="20"/>
              </w:rPr>
              <w:t>PMID</w:t>
            </w:r>
          </w:p>
        </w:tc>
        <w:tc>
          <w:tcPr>
            <w:tcW w:type="dxa" w:w="4320"/>
          </w:tcPr>
          <w:p>
            <w:r/>
            <w:r>
              <w:rPr>
                <w:rFonts w:ascii="Times New Roman" w:hAnsi="Times New Roman"/>
                <w:sz w:val="20"/>
              </w:rPr>
              <w:t>41277494</w:t>
            </w:r>
          </w:p>
        </w:tc>
      </w:tr>
      <w:tr>
        <w:tc>
          <w:tcPr>
            <w:tcW w:type="dxa" w:w="4320"/>
          </w:tcPr>
          <w:p>
            <w:r/>
            <w:r>
              <w:rPr>
                <w:rFonts w:ascii="Times New Roman" w:hAnsi="Times New Roman"/>
                <w:sz w:val="20"/>
              </w:rPr>
              <w:t>Loại bài</w:t>
            </w:r>
          </w:p>
        </w:tc>
        <w:tc>
          <w:tcPr>
            <w:tcW w:type="dxa" w:w="4320"/>
          </w:tcPr>
          <w:p>
            <w:r/>
            <w:r>
              <w:rPr>
                <w:rFonts w:ascii="Times New Roman" w:hAnsi="Times New Roman"/>
                <w:sz w:val="20"/>
              </w:rPr>
              <w:t>Systematic review + Bayesian meta-analysis (paired + regression)</w:t>
            </w:r>
          </w:p>
        </w:tc>
      </w:tr>
      <w:tr>
        <w:tc>
          <w:tcPr>
            <w:tcW w:type="dxa" w:w="4320"/>
          </w:tcPr>
          <w:p>
            <w:r/>
            <w:r>
              <w:rPr>
                <w:rFonts w:ascii="Times New Roman" w:hAnsi="Times New Roman"/>
                <w:sz w:val="20"/>
              </w:rPr>
              <w:t>Tạp chí xếp hạng</w:t>
            </w:r>
          </w:p>
        </w:tc>
        <w:tc>
          <w:tcPr>
            <w:tcW w:type="dxa" w:w="4320"/>
          </w:tcPr>
          <w:p>
            <w:r/>
            <w:r>
              <w:rPr>
                <w:rFonts w:ascii="Times New Roman" w:hAnsi="Times New Roman"/>
                <w:sz w:val="20"/>
              </w:rPr>
              <w:t>Journal of Clinical Psychology — Q1 Scopus (IF 2024 ≈ 2,7)</w:t>
            </w:r>
          </w:p>
        </w:tc>
      </w:tr>
      <w:tr>
        <w:tc>
          <w:tcPr>
            <w:tcW w:type="dxa" w:w="4320"/>
          </w:tcPr>
          <w:p>
            <w:r/>
            <w:r>
              <w:rPr>
                <w:rFonts w:ascii="Times New Roman" w:hAnsi="Times New Roman"/>
                <w:sz w:val="20"/>
              </w:rPr>
              <w:t>Access</w:t>
            </w:r>
          </w:p>
        </w:tc>
        <w:tc>
          <w:tcPr>
            <w:tcW w:type="dxa" w:w="4320"/>
          </w:tcPr>
          <w:p>
            <w:r/>
            <w:r>
              <w:rPr>
                <w:rFonts w:ascii="Times New Roman" w:hAnsi="Times New Roman"/>
                <w:sz w:val="20"/>
              </w:rPr>
              <w:t>Paywall Wiley — abstract công khai</w:t>
            </w:r>
          </w:p>
        </w:tc>
      </w:tr>
      <w:tr>
        <w:tc>
          <w:tcPr>
            <w:tcW w:type="dxa" w:w="4320"/>
          </w:tcPr>
          <w:p>
            <w:r/>
            <w:r>
              <w:rPr>
                <w:rFonts w:ascii="Times New Roman" w:hAnsi="Times New Roman"/>
                <w:sz w:val="20"/>
              </w:rPr>
              <w:t>Cảnh báo kèm theo</w:t>
            </w:r>
          </w:p>
        </w:tc>
        <w:tc>
          <w:tcPr>
            <w:tcW w:type="dxa" w:w="4320"/>
          </w:tcPr>
          <w:p>
            <w:r/>
            <w:r>
              <w:rPr>
                <w:rFonts w:ascii="Times New Roman" w:hAnsi="Times New Roman"/>
                <w:sz w:val="20"/>
              </w:rPr>
              <w:t>Đã có critique Plöderl 2025 "Multiple errors in the meta-analysis by Zhang et al." publish tại European Child &amp; Adolescent Psychiatry 2025 (DOI 10.1007/s00787-025-02717-6, PMID 40244419) — người đọc nên đọc cả critique này.</w:t>
            </w:r>
          </w:p>
        </w:tc>
      </w:tr>
    </w:tbl>
    <w:p>
      <w:r>
        <w:rPr>
          <w:rFonts w:ascii="Times New Roman" w:hAnsi="Times New Roman"/>
        </w:rPr>
      </w:r>
    </w:p>
    <w:p>
      <w:r>
        <w:rPr>
          <w:rFonts w:ascii="Times New Roman" w:hAnsi="Times New Roman"/>
          <w:b/>
          <w:color w:val="1F3A68"/>
          <w:sz w:val="26"/>
        </w:rPr>
        <w:t>II. TÓM TẮT GỐC — DỊCH ĐẦY ĐỦ</w:t>
      </w:r>
    </w:p>
    <w:p>
      <w:r>
        <w:rPr>
          <w:rFonts w:ascii="Times New Roman" w:hAnsi="Times New Roman"/>
          <w:i/>
          <w:color w:val="666666"/>
          <w:sz w:val="20"/>
        </w:rPr>
        <w:t>Abstract Wiley có cấu trúc BACKGROUND – METHODS – RESULTS – CONCLUSIONS — dịch đầy đủ từng đoạn.</w:t>
      </w:r>
    </w:p>
    <w:p>
      <w:r>
        <w:rPr>
          <w:rFonts w:ascii="Times New Roman" w:hAnsi="Times New Roman"/>
          <w:b/>
          <w:color w:val="2E548B"/>
          <w:sz w:val="24"/>
        </w:rPr>
        <w:t>II.1. Bối cảnh / Mục tiêu</w:t>
      </w:r>
    </w:p>
    <w:p>
      <w:r>
        <w:rPr>
          <w:rFonts w:ascii="Times New Roman" w:hAnsi="Times New Roman"/>
        </w:rPr>
        <w:t>Mặc dù CBT học đường là một can thiệp đầy hứa hẹn, phần lớn nghiên cứu tập trung vào hiệu quả ở các quần thể nguy cơ cao hoặc có triệu chứng, tạo ra một khoảng trống quan trọng trong hiểu biết về tính hiệu quả của CBT như một chiến lược phòng ngừa universal cho quần thể học sinh nguy cơ thấp chung. Nghiên cứu này đánh giá liệu CBT có thể mang lại lợi ích cho học sinh nguy cơ thấp hay không, nhằm hỗ trợ phát triển các hệ thống SKTT toàn trường chủ động.</w:t>
      </w:r>
    </w:p>
    <w:p>
      <w:r>
        <w:rPr>
          <w:rFonts w:ascii="Times New Roman" w:hAnsi="Times New Roman"/>
          <w:b/>
          <w:color w:val="2E548B"/>
          <w:sz w:val="24"/>
        </w:rPr>
        <w:t>II.2. Phương pháp</w:t>
      </w:r>
    </w:p>
    <w:p>
      <w:r>
        <w:rPr>
          <w:rFonts w:ascii="Times New Roman" w:hAnsi="Times New Roman"/>
        </w:rPr>
        <w:t>Cơ sở dữ liệu tìm kiếm:</w:t>
      </w:r>
    </w:p>
    <w:p>
      <w:r>
        <w:rPr>
          <w:rFonts w:ascii="Times New Roman" w:hAnsi="Times New Roman"/>
        </w:rPr>
        <w:t>• MEDLINE</w:t>
      </w:r>
    </w:p>
    <w:p>
      <w:r>
        <w:rPr>
          <w:rFonts w:ascii="Times New Roman" w:hAnsi="Times New Roman"/>
        </w:rPr>
        <w:t>• Embase</w:t>
      </w:r>
    </w:p>
    <w:p>
      <w:r>
        <w:rPr>
          <w:rFonts w:ascii="Times New Roman" w:hAnsi="Times New Roman"/>
        </w:rPr>
        <w:t>• Cochrane Library</w:t>
      </w:r>
    </w:p>
    <w:p>
      <w:r>
        <w:rPr>
          <w:rFonts w:ascii="Times New Roman" w:hAnsi="Times New Roman"/>
        </w:rPr>
        <w:t>• Web of Science</w:t>
      </w:r>
    </w:p>
    <w:p>
      <w:r>
        <w:rPr>
          <w:rFonts w:ascii="Times New Roman" w:hAnsi="Times New Roman"/>
        </w:rPr>
        <w:t>• PsycInfo</w:t>
      </w:r>
    </w:p>
    <w:p>
      <w:r>
        <w:rPr>
          <w:rFonts w:ascii="Times New Roman" w:hAnsi="Times New Roman"/>
        </w:rPr>
        <w:t>Khoảng thời gian: từ inception đến 15/01/2025.</w:t>
      </w:r>
    </w:p>
    <w:p>
      <w:r>
        <w:rPr>
          <w:rFonts w:ascii="Times New Roman" w:hAnsi="Times New Roman"/>
        </w:rPr>
        <w:t>Tiêu chí: RCT về CBT học đường cho trầm cảm và lo âu ở quần thể nguy cơ thấp (universal prevention).</w:t>
      </w:r>
    </w:p>
    <w:p>
      <w:r>
        <w:rPr>
          <w:rFonts w:ascii="Times New Roman" w:hAnsi="Times New Roman"/>
        </w:rPr>
        <w:t>Phương pháp thống kê: Mô hình Bayesian hierarchical — thực hiện paired và regression meta-analyses.</w:t>
      </w:r>
    </w:p>
    <w:p>
      <w:r>
        <w:rPr>
          <w:rFonts w:ascii="Times New Roman" w:hAnsi="Times New Roman"/>
          <w:b/>
          <w:color w:val="2E548B"/>
          <w:sz w:val="24"/>
        </w:rPr>
        <w:t>II.3. Kết quả</w:t>
      </w:r>
    </w:p>
    <w:p>
      <w:r>
        <w:rPr>
          <w:rFonts w:ascii="Times New Roman" w:hAnsi="Times New Roman"/>
          <w:b/>
        </w:rPr>
        <w:t>Quy mô:</w:t>
      </w:r>
    </w:p>
    <w:p>
      <w:r>
        <w:rPr>
          <w:rFonts w:ascii="Times New Roman" w:hAnsi="Times New Roman"/>
        </w:rPr>
        <w:t>• 31 RCT được chọn</w:t>
      </w:r>
    </w:p>
    <w:p>
      <w:r>
        <w:rPr>
          <w:rFonts w:ascii="Times New Roman" w:hAnsi="Times New Roman"/>
        </w:rPr>
        <w:t>• 19.865 trẻ em và vị thành niên tổng cộng</w:t>
      </w:r>
    </w:p>
    <w:p>
      <w:r>
        <w:rPr>
          <w:rFonts w:ascii="Times New Roman" w:hAnsi="Times New Roman"/>
          <w:b/>
        </w:rPr>
        <w:t>Hiệu quả ngắn hạn so với đối chứng: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1F2"/>
          </w:tcPr>
          <w:p>
            <w:r/>
            <w:r>
              <w:rPr>
                <w:rFonts w:ascii="Times New Roman" w:hAnsi="Times New Roman"/>
                <w:b/>
                <w:sz w:val="20"/>
              </w:rPr>
              <w:t>Kết cục</w:t>
            </w:r>
          </w:p>
        </w:tc>
        <w:tc>
          <w:tcPr>
            <w:tcW w:type="dxa" w:w="2160"/>
            <w:shd w:fill="D9E1F2"/>
          </w:tcPr>
          <w:p>
            <w:r/>
            <w:r>
              <w:rPr>
                <w:rFonts w:ascii="Times New Roman" w:hAnsi="Times New Roman"/>
                <w:b/>
                <w:sz w:val="20"/>
              </w:rPr>
              <w:t>SMD</w:t>
            </w:r>
          </w:p>
        </w:tc>
        <w:tc>
          <w:tcPr>
            <w:tcW w:type="dxa" w:w="2160"/>
            <w:shd w:fill="D9E1F2"/>
          </w:tcPr>
          <w:p>
            <w:r/>
            <w:r>
              <w:rPr>
                <w:rFonts w:ascii="Times New Roman" w:hAnsi="Times New Roman"/>
                <w:b/>
                <w:sz w:val="20"/>
              </w:rPr>
              <w:t>95 % CrI</w:t>
            </w:r>
          </w:p>
        </w:tc>
        <w:tc>
          <w:tcPr>
            <w:tcW w:type="dxa" w:w="2160"/>
            <w:shd w:fill="D9E1F2"/>
          </w:tcPr>
          <w:p>
            <w:r/>
            <w:r>
              <w:rPr>
                <w:rFonts w:ascii="Times New Roman" w:hAnsi="Times New Roman"/>
                <w:b/>
                <w:sz w:val="20"/>
              </w:rPr>
              <w:t>Đánh giá</w:t>
            </w:r>
          </w:p>
        </w:tc>
      </w:tr>
      <w:tr>
        <w:tc>
          <w:tcPr>
            <w:tcW w:type="dxa" w:w="2160"/>
          </w:tcPr>
          <w:p>
            <w:r/>
            <w:r>
              <w:rPr>
                <w:rFonts w:ascii="Times New Roman" w:hAnsi="Times New Roman"/>
                <w:sz w:val="20"/>
              </w:rPr>
              <w:t>Triệu chứng trầm cảm</w:t>
            </w:r>
          </w:p>
        </w:tc>
        <w:tc>
          <w:tcPr>
            <w:tcW w:type="dxa" w:w="2160"/>
          </w:tcPr>
          <w:p>
            <w:r/>
            <w:r>
              <w:rPr>
                <w:rFonts w:ascii="Times New Roman" w:hAnsi="Times New Roman"/>
                <w:sz w:val="20"/>
              </w:rPr>
              <w:t>−0,06</w:t>
            </w:r>
          </w:p>
        </w:tc>
        <w:tc>
          <w:tcPr>
            <w:tcW w:type="dxa" w:w="2160"/>
          </w:tcPr>
          <w:p>
            <w:r/>
            <w:r>
              <w:rPr>
                <w:rFonts w:ascii="Times New Roman" w:hAnsi="Times New Roman"/>
                <w:sz w:val="20"/>
              </w:rPr>
              <w:t>[−0,08; −0,04]</w:t>
            </w:r>
          </w:p>
        </w:tc>
        <w:tc>
          <w:tcPr>
            <w:tcW w:type="dxa" w:w="2160"/>
          </w:tcPr>
          <w:p>
            <w:r/>
            <w:r>
              <w:rPr>
                <w:rFonts w:ascii="Times New Roman" w:hAnsi="Times New Roman"/>
                <w:sz w:val="20"/>
              </w:rPr>
              <w:t>CÓ Ý NGHĨA thống kê nhưng RẤT NHỎ</w:t>
            </w:r>
          </w:p>
        </w:tc>
      </w:tr>
      <w:tr>
        <w:tc>
          <w:tcPr>
            <w:tcW w:type="dxa" w:w="2160"/>
          </w:tcPr>
          <w:p>
            <w:r/>
            <w:r>
              <w:rPr>
                <w:rFonts w:ascii="Times New Roman" w:hAnsi="Times New Roman"/>
                <w:sz w:val="20"/>
              </w:rPr>
              <w:t>Triệu chứng lo âu</w:t>
            </w:r>
          </w:p>
        </w:tc>
        <w:tc>
          <w:tcPr>
            <w:tcW w:type="dxa" w:w="2160"/>
          </w:tcPr>
          <w:p>
            <w:r/>
            <w:r>
              <w:rPr>
                <w:rFonts w:ascii="Times New Roman" w:hAnsi="Times New Roman"/>
                <w:sz w:val="20"/>
              </w:rPr>
              <w:t>−0,19</w:t>
            </w:r>
          </w:p>
        </w:tc>
        <w:tc>
          <w:tcPr>
            <w:tcW w:type="dxa" w:w="2160"/>
          </w:tcPr>
          <w:p>
            <w:r/>
            <w:r>
              <w:rPr>
                <w:rFonts w:ascii="Times New Roman" w:hAnsi="Times New Roman"/>
                <w:sz w:val="20"/>
              </w:rPr>
              <w:t>[−0,22; −0,17]</w:t>
            </w:r>
          </w:p>
        </w:tc>
        <w:tc>
          <w:tcPr>
            <w:tcW w:type="dxa" w:w="2160"/>
          </w:tcPr>
          <w:p>
            <w:r/>
            <w:r>
              <w:rPr>
                <w:rFonts w:ascii="Times New Roman" w:hAnsi="Times New Roman"/>
                <w:sz w:val="20"/>
              </w:rPr>
              <w:t>Giảm nhẹ</w:t>
            </w:r>
          </w:p>
        </w:tc>
      </w:tr>
    </w:tbl>
    <w:p>
      <w:r>
        <w:rPr>
          <w:rFonts w:ascii="Times New Roman" w:hAnsi="Times New Roman"/>
          <w:i/>
          <w:color w:val="808080"/>
          <w:sz w:val="18"/>
        </w:rPr>
        <w:t>SMD = Standardized Mean Difference (hệ số khác biệt chuẩn hoá); CrI = Credible Interval (khoảng tin cậy Bayesian — khác biệt với CI tần suất chủ nghĩa).</w:t>
      </w:r>
    </w:p>
    <w:p>
      <w:r>
        <w:rPr>
          <w:rFonts w:ascii="Times New Roman" w:hAnsi="Times New Roman"/>
          <w:b/>
        </w:rPr>
        <w:t>Hiệu quả dài hạn:</w:t>
      </w:r>
    </w:p>
    <w:p>
      <w:r>
        <w:rPr>
          <w:rFonts w:ascii="Times New Roman" w:hAnsi="Times New Roman"/>
        </w:rPr>
        <w:t>• Các hiệu ứng được DUY TRÌ lên đến 1 năm theo dõi.</w:t>
      </w:r>
    </w:p>
    <w:p>
      <w:r>
        <w:rPr>
          <w:rFonts w:ascii="Times New Roman" w:hAnsi="Times New Roman"/>
        </w:rPr>
        <w:t>• Phân tích khám phá: nam có thể hưởng lợi nhiều hơn từ can thiệp lo âu.</w:t>
      </w:r>
    </w:p>
    <w:p>
      <w:r>
        <w:rPr>
          <w:rFonts w:ascii="Times New Roman" w:hAnsi="Times New Roman"/>
          <w:b/>
          <w:color w:val="2E548B"/>
          <w:sz w:val="24"/>
        </w:rPr>
        <w:t>II.4. Kết luận</w:t>
      </w:r>
    </w:p>
    <w:p>
      <w:r>
        <w:rPr>
          <w:rFonts w:ascii="Times New Roman" w:hAnsi="Times New Roman"/>
        </w:rPr>
        <w:t>"Nghiên cứu này cung cấp bằng chứng meta-analytic ĐẦU TIÊN rằng CBT học đường universal có thể tạo hiệu ứng phòng ngừa NHỎ NHƯNG BỀN VỮNG, DÀI HẠN ở vị thành niên nguy cơ thấp". Tuy nhiên, chất lượng bằng chứng đòi hỏi các thử nghiệm chất lượng cao hơn trước khi triển khai rộng rãi.</w:t>
      </w:r>
    </w:p>
    <w:p>
      <w:r>
        <w:rPr>
          <w:rFonts w:ascii="Times New Roman" w:hAnsi="Times New Roman"/>
        </w:rPr>
      </w:r>
    </w:p>
    <w:p>
      <w:r>
        <w:rPr>
          <w:rFonts w:ascii="Times New Roman" w:hAnsi="Times New Roman"/>
          <w:b/>
          <w:color w:val="1F3A68"/>
          <w:sz w:val="26"/>
        </w:rPr>
        <w:t>III. INVENTORY HÌNH/BẢNG (mô tả)</w:t>
      </w:r>
    </w:p>
    <w:p>
      <w:r>
        <w:rPr>
          <w:rFonts w:ascii="Times New Roman" w:hAnsi="Times New Roman"/>
        </w:rPr>
        <w:t>Theo chuẩn J Clin Psychol cho Bayesian meta-analysis:</w:t>
      </w:r>
    </w:p>
    <w:p>
      <w:r>
        <w:rPr>
          <w:rFonts w:ascii="Times New Roman" w:hAnsi="Times New Roman"/>
        </w:rPr>
        <w:t>• Figure 1: PRISMA 2020 flow (records → 31 RCT)</w:t>
      </w:r>
    </w:p>
    <w:p>
      <w:r>
        <w:rPr>
          <w:rFonts w:ascii="Times New Roman" w:hAnsi="Times New Roman"/>
        </w:rPr>
        <w:t>• Figure 2: Bayesian forest plot cho depression SMD</w:t>
      </w:r>
    </w:p>
    <w:p>
      <w:r>
        <w:rPr>
          <w:rFonts w:ascii="Times New Roman" w:hAnsi="Times New Roman"/>
        </w:rPr>
        <w:t>• Figure 3: Bayesian forest plot cho anxiety SMD</w:t>
      </w:r>
    </w:p>
    <w:p>
      <w:r>
        <w:rPr>
          <w:rFonts w:ascii="Times New Roman" w:hAnsi="Times New Roman"/>
        </w:rPr>
        <w:t>• Figure 4: Posterior distributions (Bayesian) cho các parameters</w:t>
      </w:r>
    </w:p>
    <w:p>
      <w:r>
        <w:rPr>
          <w:rFonts w:ascii="Times New Roman" w:hAnsi="Times New Roman"/>
        </w:rPr>
        <w:t>• Figure 5: Meta-regression plots (subgroup by sex, age, intervention duration, follow-up)</w:t>
      </w:r>
    </w:p>
    <w:p>
      <w:r>
        <w:rPr>
          <w:rFonts w:ascii="Times New Roman" w:hAnsi="Times New Roman"/>
        </w:rPr>
        <w:t>• Table 1: Đặc điểm 31 RCT (tác giả, năm, quốc gia, n, tuổi, loại CBT, outcome, thời gian theo dõi)</w:t>
      </w:r>
    </w:p>
    <w:p>
      <w:r>
        <w:rPr>
          <w:rFonts w:ascii="Times New Roman" w:hAnsi="Times New Roman"/>
        </w:rPr>
        <w:t>• Table 2: Risk-of-bias assessment (Cochrane RoB 2)</w:t>
      </w:r>
    </w:p>
    <w:p>
      <w:r>
        <w:rPr>
          <w:rFonts w:ascii="Times New Roman" w:hAnsi="Times New Roman"/>
        </w:rPr>
        <w:t>• Supplementary: search strings, MCMC convergence diagnostics (trace plots, R-hat, ESS), prior specifications</w:t>
      </w:r>
    </w:p>
    <w:p>
      <w:r>
        <w:rPr>
          <w:rFonts w:ascii="Times New Roman" w:hAnsi="Times New Roman"/>
          <w:i/>
        </w:rPr>
        <w:t>→ Xem toàn văn tại Wiley Online Library (paywall).</w:t>
      </w:r>
    </w:p>
    <w:p>
      <w:r>
        <w:rPr>
          <w:rFonts w:ascii="Times New Roman" w:hAnsi="Times New Roman"/>
        </w:rPr>
      </w:r>
    </w:p>
    <w:p>
      <w:r>
        <w:rPr>
          <w:rFonts w:ascii="Times New Roman" w:hAnsi="Times New Roman"/>
          <w:b/>
          <w:color w:val="C00000"/>
          <w:sz w:val="26"/>
        </w:rPr>
        <w:t>IV. PHẢN BIỆN CHI TIẾT (7-section framework)</w:t>
      </w:r>
    </w:p>
    <w:p>
      <w:r>
        <w:rPr>
          <w:rFonts w:ascii="Times New Roman" w:hAnsi="Times New Roman"/>
          <w:b/>
          <w:color w:val="C00000"/>
          <w:sz w:val="24"/>
        </w:rPr>
        <w:t>PHẦN I — Bối cảnh học thuật &amp; vị trí</w:t>
      </w:r>
    </w:p>
    <w:p>
      <w:r>
        <w:rPr>
          <w:rFonts w:ascii="Times New Roman" w:hAnsi="Times New Roman"/>
          <w:color w:val="C00000"/>
        </w:rPr>
        <w:t>Zhang, Liang &amp; Kang 2026 là một meta-analysis QUAN TRỌNG vì nó trả lời câu hỏi mà nhiều nhà hoạch định chính sách đang đặt ra: có nên triển khai universal CBT tại trường học cho MỌI học sinh hay không? Bài này kết hợp với Brown &amp; Carter 2025 (QT042 — editorial BESST UK) đưa ra khuyến nghị KHÔNG NÊN universal mà nên TARGETED. Bayesian framework (sử dụng thay vì frequentist) cho phép diễn giải xác suất trực tiếp — "95 % CrI = có 95 % xác suất true effect nằm trong khoảng" — dễ hiểu hơn CI tần suất.</w:t>
      </w:r>
    </w:p>
    <w:p>
      <w:r>
        <w:rPr>
          <w:rFonts w:ascii="Times New Roman" w:hAnsi="Times New Roman"/>
          <w:b/>
          <w:color w:val="C00000"/>
          <w:sz w:val="24"/>
        </w:rPr>
        <w:t>PHẦN II — Điểm mạnh</w:t>
      </w:r>
    </w:p>
    <w:p>
      <w:r>
        <w:rPr>
          <w:rFonts w:ascii="Times New Roman" w:hAnsi="Times New Roman"/>
          <w:b/>
          <w:color w:val="C00000"/>
        </w:rPr>
        <w:t>1. Câu hỏi nghiên cứu CLINICALLY RELEVANT</w:t>
      </w:r>
    </w:p>
    <w:p>
      <w:r>
        <w:rPr>
          <w:rFonts w:ascii="Times New Roman" w:hAnsi="Times New Roman"/>
          <w:color w:val="C00000"/>
        </w:rPr>
        <w:t>Trả lời đúng câu hỏi chính sách: "universal có hiệu quả không?" thay vì "bất kỳ CBT nào có hiệu quả không?". Đóng góp quan trọng cho debate universal vs targeted.</w:t>
      </w:r>
    </w:p>
    <w:p>
      <w:r>
        <w:rPr>
          <w:rFonts w:ascii="Times New Roman" w:hAnsi="Times New Roman"/>
          <w:b/>
          <w:color w:val="C00000"/>
        </w:rPr>
        <w:t>2. Bayesian hierarchical model</w:t>
      </w:r>
    </w:p>
    <w:p>
      <w:r>
        <w:rPr>
          <w:rFonts w:ascii="Times New Roman" w:hAnsi="Times New Roman"/>
          <w:color w:val="C00000"/>
        </w:rPr>
        <w:t>Phương pháp tiên tiến: (a) tích hợp được heterogeneity giữa NC một cách chặt chẽ; (b) cho ra posterior distributions có thể dùng cho decision analysis; (c) CrI trực quan hơn CI. Đây là state-of-the-art methodology.</w:t>
      </w:r>
    </w:p>
    <w:p>
      <w:r>
        <w:rPr>
          <w:rFonts w:ascii="Times New Roman" w:hAnsi="Times New Roman"/>
          <w:b/>
          <w:color w:val="C00000"/>
        </w:rPr>
        <w:t>3. 5 CSDL lớn + search đến 15/01/2025</w:t>
      </w:r>
    </w:p>
    <w:p>
      <w:r>
        <w:rPr>
          <w:rFonts w:ascii="Times New Roman" w:hAnsi="Times New Roman"/>
          <w:color w:val="C00000"/>
        </w:rPr>
        <w:t>Search tương đối update (15/01/2025), bao phủ tốt các bài cho đến nửa đầu 2025.</w:t>
      </w:r>
    </w:p>
    <w:p>
      <w:r>
        <w:rPr>
          <w:rFonts w:ascii="Times New Roman" w:hAnsi="Times New Roman"/>
          <w:b/>
          <w:color w:val="C00000"/>
        </w:rPr>
        <w:t>4. Phân tích dài hạn (up to 1 year)</w:t>
      </w:r>
    </w:p>
    <w:p>
      <w:r>
        <w:rPr>
          <w:rFonts w:ascii="Times New Roman" w:hAnsi="Times New Roman"/>
          <w:color w:val="C00000"/>
        </w:rPr>
        <w:t>Nhiều meta-analysis CBT chỉ đo post-intervention; bài này mở rộng lên 6 tháng và 1 năm follow-up — cần thiết cho đánh giá implementation.</w:t>
      </w:r>
    </w:p>
    <w:p>
      <w:r>
        <w:rPr>
          <w:rFonts w:ascii="Times New Roman" w:hAnsi="Times New Roman"/>
          <w:b/>
          <w:color w:val="C00000"/>
          <w:sz w:val="24"/>
        </w:rPr>
        <w:t>PHẦN III — Hạn chế (phản biện sâu)</w:t>
      </w:r>
    </w:p>
    <w:p>
      <w:r>
        <w:rPr>
          <w:rFonts w:ascii="Times New Roman" w:hAnsi="Times New Roman"/>
          <w:b/>
          <w:color w:val="C00000"/>
        </w:rPr>
        <w:t>1. Effect sizes RẤT NHỎ — clinical significance nghi vấn</w:t>
      </w:r>
    </w:p>
    <w:p>
      <w:r>
        <w:rPr>
          <w:rFonts w:ascii="Times New Roman" w:hAnsi="Times New Roman"/>
          <w:color w:val="C00000"/>
        </w:rPr>
        <w:t>SMD −0,06 cho trầm cảm (tương đương 0,06 SD — dưới ngưỡng "small" Cohen = 0,2). Nếu Cohen d &lt; 0,2 được xem là trivial. SMD −0,19 cho lo âu gần "small" nhưng CrI [−0,22; −0,17] cho thấy estimate khá chính xác — vẫn là small. Câu hỏi: hiệu quả clinically meaningful hay chỉ statistically significant?</w:t>
      </w:r>
    </w:p>
    <w:p>
      <w:r>
        <w:rPr>
          <w:rFonts w:ascii="Times New Roman" w:hAnsi="Times New Roman"/>
          <w:b/>
          <w:color w:val="C00000"/>
        </w:rPr>
        <w:t>2. Đã có CRITIQUE công khai — Plöderl 2025</w:t>
      </w:r>
    </w:p>
    <w:p>
      <w:r>
        <w:rPr>
          <w:rFonts w:ascii="Times New Roman" w:hAnsi="Times New Roman"/>
          <w:color w:val="C00000"/>
        </w:rPr>
        <w:t>Martin Plöderl (Paracelsus Medical University Salzburg) publish letter "Multiple errors in the meta-analysis by Zhang et al." tại European Child &amp; Adolescent Psychiatry 2025 (DOI 10.1007/s00787-025-02717-6, PMID 40244419). Người đọc PHẢI đọc cả critique này khi sử dụng kết quả. Chi tiết lỗi chưa accessible (abstract not available cho letter) nhưng flag quan trọng. ⚠️</w:t>
      </w:r>
    </w:p>
    <w:p>
      <w:r>
        <w:rPr>
          <w:rFonts w:ascii="Times New Roman" w:hAnsi="Times New Roman"/>
          <w:b/>
          <w:color w:val="C00000"/>
        </w:rPr>
        <w:t>3. "Low-risk" definition không rõ</w:t>
      </w:r>
    </w:p>
    <w:p>
      <w:r>
        <w:rPr>
          <w:rFonts w:ascii="Times New Roman" w:hAnsi="Times New Roman"/>
          <w:color w:val="C00000"/>
        </w:rPr>
        <w:t>Abstract không nêu cách operationalise "low-risk" — là HS không có triệu chứng, có triệu chứng dưới ngưỡng, hay toàn bộ quần thể? Mỗi definition cho effect size khác nhau. Cần full paper để clarify.</w:t>
      </w:r>
    </w:p>
    <w:p>
      <w:r>
        <w:rPr>
          <w:rFonts w:ascii="Times New Roman" w:hAnsi="Times New Roman"/>
          <w:b/>
          <w:color w:val="C00000"/>
        </w:rPr>
        <w:t>4. Heterogeneity across CBT protocols</w:t>
      </w:r>
    </w:p>
    <w:p>
      <w:r>
        <w:rPr>
          <w:rFonts w:ascii="Times New Roman" w:hAnsi="Times New Roman"/>
          <w:color w:val="C00000"/>
        </w:rPr>
        <w:t>31 RCT chắc chắn dùng nhiều protocol CBT khác nhau (FRIENDS, Penn Resiliency, Coping Cat, MoodGYM...). Pooled effect có thể che giấu protocol-specific effects. Meta-regression theo protocol type cần thiết.</w:t>
      </w:r>
    </w:p>
    <w:p>
      <w:r>
        <w:rPr>
          <w:rFonts w:ascii="Times New Roman" w:hAnsi="Times New Roman"/>
          <w:b/>
          <w:color w:val="C00000"/>
        </w:rPr>
        <w:t>5. Risk-of-bias assessment chưa công bố trong abstract</w:t>
      </w:r>
    </w:p>
    <w:p>
      <w:r>
        <w:rPr>
          <w:rFonts w:ascii="Times New Roman" w:hAnsi="Times New Roman"/>
          <w:color w:val="C00000"/>
        </w:rPr>
        <w:t>Với 31 RCT, có thể một số có risk of bias cao (no allocation concealment, no blinding). Nếu chỉ pool các low-RoB studies, effect size có thể khác. Sensitivity analysis cần thiết.</w:t>
      </w:r>
    </w:p>
    <w:p>
      <w:r>
        <w:rPr>
          <w:rFonts w:ascii="Times New Roman" w:hAnsi="Times New Roman"/>
          <w:b/>
          <w:color w:val="C00000"/>
        </w:rPr>
        <w:t>6. "Males benefit more" từ exploratory analysis</w:t>
      </w:r>
    </w:p>
    <w:p>
      <w:r>
        <w:rPr>
          <w:rFonts w:ascii="Times New Roman" w:hAnsi="Times New Roman"/>
          <w:color w:val="C00000"/>
        </w:rPr>
        <w:t>Exploratory ≠ confirmatory. Sex-moderator effect cần pre-specified trong protocol; nếu hậu nghiệm, đây là hypothesis-generating chứ không phải evidence mạnh.</w:t>
      </w:r>
    </w:p>
    <w:p>
      <w:r>
        <w:rPr>
          <w:rFonts w:ascii="Times New Roman" w:hAnsi="Times New Roman"/>
          <w:b/>
          <w:color w:val="C00000"/>
        </w:rPr>
        <w:t>7. Không có tier-based evidence grading (GRADE)</w:t>
      </w:r>
    </w:p>
    <w:p>
      <w:r>
        <w:rPr>
          <w:rFonts w:ascii="Times New Roman" w:hAnsi="Times New Roman"/>
          <w:color w:val="C00000"/>
        </w:rPr>
        <w:t>Abstract không đề cập GRADE evidence certainty. Chuẩn hiện đại yêu cầu mỗi outcome có GRADE rating (high/moderate/low/very low). Meta-analysis với small effect + unclear "low-risk" + critique → có thể GRADE low.</w:t>
      </w:r>
    </w:p>
    <w:p>
      <w:r>
        <w:rPr>
          <w:rFonts w:ascii="Times New Roman" w:hAnsi="Times New Roman"/>
          <w:b/>
          <w:color w:val="C00000"/>
        </w:rPr>
        <w:t>8. Authors team composition bất thường</w:t>
      </w:r>
    </w:p>
    <w:p>
      <w:r>
        <w:rPr>
          <w:rFonts w:ascii="Times New Roman" w:hAnsi="Times New Roman"/>
          <w:color w:val="C00000"/>
        </w:rPr>
        <w:t>3 tác giả: Zhang + Kang (Dongshin University Hàn Quốc), Liang (Macao Polytechnic Trung Quốc). Không có tác giả methodologist chuyên về Bayesian meta-analysis. Tăng rủi ro methodology errors (được Plöderl flag).</w:t>
      </w:r>
    </w:p>
    <w:p>
      <w:r>
        <w:rPr>
          <w:rFonts w:ascii="Times New Roman" w:hAnsi="Times New Roman"/>
          <w:b/>
          <w:color w:val="C00000"/>
          <w:sz w:val="24"/>
        </w:rPr>
        <w:t>PHẦN IV — Số liệu then chốt (verified)</w:t>
      </w:r>
    </w:p>
    <w:tbl>
      <w:tblPr>
        <w:tblStyle w:val="TableGrid"/>
        <w:tblW w:type="auto" w:w="0"/>
        <w:tblLook w:firstColumn="1" w:firstRow="1" w:lastColumn="0" w:lastRow="0" w:noHBand="0" w:noVBand="1" w:val="04A0"/>
      </w:tblPr>
      <w:tblGrid>
        <w:gridCol w:w="2880"/>
        <w:gridCol w:w="2880"/>
        <w:gridCol w:w="2880"/>
      </w:tblGrid>
      <w:tr>
        <w:tc>
          <w:tcPr>
            <w:tcW w:type="dxa" w:w="2880"/>
            <w:shd w:fill="D9E1F2"/>
          </w:tcPr>
          <w:p>
            <w:r/>
            <w:r>
              <w:rPr>
                <w:rFonts w:ascii="Times New Roman" w:hAnsi="Times New Roman"/>
                <w:b/>
                <w:sz w:val="20"/>
              </w:rPr>
              <w:t>Chỉ số</w:t>
            </w:r>
          </w:p>
        </w:tc>
        <w:tc>
          <w:tcPr>
            <w:tcW w:type="dxa" w:w="2880"/>
            <w:shd w:fill="D9E1F2"/>
          </w:tcPr>
          <w:p>
            <w:r/>
            <w:r>
              <w:rPr>
                <w:rFonts w:ascii="Times New Roman" w:hAnsi="Times New Roman"/>
                <w:b/>
                <w:sz w:val="20"/>
              </w:rPr>
              <w:t>Giá trị</w:t>
            </w:r>
          </w:p>
        </w:tc>
        <w:tc>
          <w:tcPr>
            <w:tcW w:type="dxa" w:w="2880"/>
            <w:shd w:fill="D9E1F2"/>
          </w:tcPr>
          <w:p>
            <w:r/>
            <w:r>
              <w:rPr>
                <w:rFonts w:ascii="Times New Roman" w:hAnsi="Times New Roman"/>
                <w:b/>
                <w:sz w:val="20"/>
              </w:rPr>
              <w:t>Nguồn verify</w:t>
            </w:r>
          </w:p>
        </w:tc>
      </w:tr>
      <w:tr>
        <w:tc>
          <w:tcPr>
            <w:tcW w:type="dxa" w:w="2880"/>
          </w:tcPr>
          <w:p>
            <w:r/>
            <w:r>
              <w:rPr>
                <w:rFonts w:ascii="Times New Roman" w:hAnsi="Times New Roman"/>
                <w:sz w:val="20"/>
              </w:rPr>
              <w:t>Tổng RCT</w:t>
            </w:r>
          </w:p>
        </w:tc>
        <w:tc>
          <w:tcPr>
            <w:tcW w:type="dxa" w:w="2880"/>
          </w:tcPr>
          <w:p>
            <w:r/>
            <w:r>
              <w:rPr>
                <w:rFonts w:ascii="Times New Roman" w:hAnsi="Times New Roman"/>
                <w:sz w:val="20"/>
              </w:rPr>
              <w:t>31</w:t>
            </w:r>
          </w:p>
        </w:tc>
        <w:tc>
          <w:tcPr>
            <w:tcW w:type="dxa" w:w="2880"/>
          </w:tcPr>
          <w:p>
            <w:r/>
            <w:r>
              <w:rPr>
                <w:rFonts w:ascii="Times New Roman" w:hAnsi="Times New Roman"/>
                <w:sz w:val="20"/>
              </w:rPr>
              <w:t>Abstract Wiley + PubMed 41277494</w:t>
            </w:r>
          </w:p>
        </w:tc>
      </w:tr>
      <w:tr>
        <w:tc>
          <w:tcPr>
            <w:tcW w:type="dxa" w:w="2880"/>
          </w:tcPr>
          <w:p>
            <w:r/>
            <w:r>
              <w:rPr>
                <w:rFonts w:ascii="Times New Roman" w:hAnsi="Times New Roman"/>
                <w:sz w:val="20"/>
              </w:rPr>
              <w:t>Tổng n</w:t>
            </w:r>
          </w:p>
        </w:tc>
        <w:tc>
          <w:tcPr>
            <w:tcW w:type="dxa" w:w="2880"/>
          </w:tcPr>
          <w:p>
            <w:r/>
            <w:r>
              <w:rPr>
                <w:rFonts w:ascii="Times New Roman" w:hAnsi="Times New Roman"/>
                <w:sz w:val="20"/>
              </w:rPr>
              <w:t>19.865</w:t>
            </w:r>
          </w:p>
        </w:tc>
        <w:tc>
          <w:tcPr>
            <w:tcW w:type="dxa" w:w="2880"/>
          </w:tcPr>
          <w:p>
            <w:r/>
            <w:r>
              <w:rPr>
                <w:rFonts w:ascii="Times New Roman" w:hAnsi="Times New Roman"/>
                <w:sz w:val="20"/>
              </w:rPr>
              <w:t>Abstract</w:t>
            </w:r>
          </w:p>
        </w:tc>
      </w:tr>
      <w:tr>
        <w:tc>
          <w:tcPr>
            <w:tcW w:type="dxa" w:w="2880"/>
          </w:tcPr>
          <w:p>
            <w:r/>
            <w:r>
              <w:rPr>
                <w:rFonts w:ascii="Times New Roman" w:hAnsi="Times New Roman"/>
                <w:sz w:val="20"/>
              </w:rPr>
              <w:t>Depression SMD</w:t>
            </w:r>
          </w:p>
        </w:tc>
        <w:tc>
          <w:tcPr>
            <w:tcW w:type="dxa" w:w="2880"/>
          </w:tcPr>
          <w:p>
            <w:r/>
            <w:r>
              <w:rPr>
                <w:rFonts w:ascii="Times New Roman" w:hAnsi="Times New Roman"/>
                <w:sz w:val="20"/>
              </w:rPr>
              <w:t>−0,06 [−0,08; −0,04]</w:t>
            </w:r>
          </w:p>
        </w:tc>
        <w:tc>
          <w:tcPr>
            <w:tcW w:type="dxa" w:w="2880"/>
          </w:tcPr>
          <w:p>
            <w:r/>
            <w:r>
              <w:rPr>
                <w:rFonts w:ascii="Times New Roman" w:hAnsi="Times New Roman"/>
                <w:sz w:val="20"/>
              </w:rPr>
              <w:t>Abstract</w:t>
            </w:r>
          </w:p>
        </w:tc>
      </w:tr>
      <w:tr>
        <w:tc>
          <w:tcPr>
            <w:tcW w:type="dxa" w:w="2880"/>
          </w:tcPr>
          <w:p>
            <w:r/>
            <w:r>
              <w:rPr>
                <w:rFonts w:ascii="Times New Roman" w:hAnsi="Times New Roman"/>
                <w:sz w:val="20"/>
              </w:rPr>
              <w:t>Anxiety SMD</w:t>
            </w:r>
          </w:p>
        </w:tc>
        <w:tc>
          <w:tcPr>
            <w:tcW w:type="dxa" w:w="2880"/>
          </w:tcPr>
          <w:p>
            <w:r/>
            <w:r>
              <w:rPr>
                <w:rFonts w:ascii="Times New Roman" w:hAnsi="Times New Roman"/>
                <w:sz w:val="20"/>
              </w:rPr>
              <w:t>−0,19 [−0,22; −0,17]</w:t>
            </w:r>
          </w:p>
        </w:tc>
        <w:tc>
          <w:tcPr>
            <w:tcW w:type="dxa" w:w="2880"/>
          </w:tcPr>
          <w:p>
            <w:r/>
            <w:r>
              <w:rPr>
                <w:rFonts w:ascii="Times New Roman" w:hAnsi="Times New Roman"/>
                <w:sz w:val="20"/>
              </w:rPr>
              <w:t>Abstract</w:t>
            </w:r>
          </w:p>
        </w:tc>
      </w:tr>
      <w:tr>
        <w:tc>
          <w:tcPr>
            <w:tcW w:type="dxa" w:w="2880"/>
          </w:tcPr>
          <w:p>
            <w:r/>
            <w:r>
              <w:rPr>
                <w:rFonts w:ascii="Times New Roman" w:hAnsi="Times New Roman"/>
                <w:sz w:val="20"/>
              </w:rPr>
              <w:t>Follow-up duration</w:t>
            </w:r>
          </w:p>
        </w:tc>
        <w:tc>
          <w:tcPr>
            <w:tcW w:type="dxa" w:w="2880"/>
          </w:tcPr>
          <w:p>
            <w:r/>
            <w:r>
              <w:rPr>
                <w:rFonts w:ascii="Times New Roman" w:hAnsi="Times New Roman"/>
                <w:sz w:val="20"/>
              </w:rPr>
              <w:t>Up to 1 year</w:t>
            </w:r>
          </w:p>
        </w:tc>
        <w:tc>
          <w:tcPr>
            <w:tcW w:type="dxa" w:w="2880"/>
          </w:tcPr>
          <w:p>
            <w:r/>
            <w:r>
              <w:rPr>
                <w:rFonts w:ascii="Times New Roman" w:hAnsi="Times New Roman"/>
                <w:sz w:val="20"/>
              </w:rPr>
              <w:t>Abstract</w:t>
            </w:r>
          </w:p>
        </w:tc>
      </w:tr>
      <w:tr>
        <w:tc>
          <w:tcPr>
            <w:tcW w:type="dxa" w:w="2880"/>
          </w:tcPr>
          <w:p>
            <w:r/>
            <w:r>
              <w:rPr>
                <w:rFonts w:ascii="Times New Roman" w:hAnsi="Times New Roman"/>
                <w:sz w:val="20"/>
              </w:rPr>
              <w:t>CSDL</w:t>
            </w:r>
          </w:p>
        </w:tc>
        <w:tc>
          <w:tcPr>
            <w:tcW w:type="dxa" w:w="2880"/>
          </w:tcPr>
          <w:p>
            <w:r/>
            <w:r>
              <w:rPr>
                <w:rFonts w:ascii="Times New Roman" w:hAnsi="Times New Roman"/>
                <w:sz w:val="20"/>
              </w:rPr>
              <w:t>5 (MEDLINE, Embase, Cochrane, Web of Sci, PsycInfo)</w:t>
            </w:r>
          </w:p>
        </w:tc>
        <w:tc>
          <w:tcPr>
            <w:tcW w:type="dxa" w:w="2880"/>
          </w:tcPr>
          <w:p>
            <w:r/>
            <w:r>
              <w:rPr>
                <w:rFonts w:ascii="Times New Roman" w:hAnsi="Times New Roman"/>
                <w:sz w:val="20"/>
              </w:rPr>
              <w:t>Abstract</w:t>
            </w:r>
          </w:p>
        </w:tc>
      </w:tr>
      <w:tr>
        <w:tc>
          <w:tcPr>
            <w:tcW w:type="dxa" w:w="2880"/>
          </w:tcPr>
          <w:p>
            <w:r/>
            <w:r>
              <w:rPr>
                <w:rFonts w:ascii="Times New Roman" w:hAnsi="Times New Roman"/>
                <w:sz w:val="20"/>
              </w:rPr>
              <w:t>Search end</w:t>
            </w:r>
          </w:p>
        </w:tc>
        <w:tc>
          <w:tcPr>
            <w:tcW w:type="dxa" w:w="2880"/>
          </w:tcPr>
          <w:p>
            <w:r/>
            <w:r>
              <w:rPr>
                <w:rFonts w:ascii="Times New Roman" w:hAnsi="Times New Roman"/>
                <w:sz w:val="20"/>
              </w:rPr>
              <w:t>15/01/2025</w:t>
            </w:r>
          </w:p>
        </w:tc>
        <w:tc>
          <w:tcPr>
            <w:tcW w:type="dxa" w:w="2880"/>
          </w:tcPr>
          <w:p>
            <w:r/>
            <w:r>
              <w:rPr>
                <w:rFonts w:ascii="Times New Roman" w:hAnsi="Times New Roman"/>
                <w:sz w:val="20"/>
              </w:rPr>
              <w:t>Abstract</w:t>
            </w:r>
          </w:p>
        </w:tc>
      </w:tr>
      <w:tr>
        <w:tc>
          <w:tcPr>
            <w:tcW w:type="dxa" w:w="2880"/>
          </w:tcPr>
          <w:p>
            <w:r/>
            <w:r>
              <w:rPr>
                <w:rFonts w:ascii="Times New Roman" w:hAnsi="Times New Roman"/>
                <w:sz w:val="20"/>
              </w:rPr>
              <w:t>Sex effect</w:t>
            </w:r>
          </w:p>
        </w:tc>
        <w:tc>
          <w:tcPr>
            <w:tcW w:type="dxa" w:w="2880"/>
          </w:tcPr>
          <w:p>
            <w:r/>
            <w:r>
              <w:rPr>
                <w:rFonts w:ascii="Times New Roman" w:hAnsi="Times New Roman"/>
                <w:sz w:val="20"/>
              </w:rPr>
              <w:t>Males &gt; Females cho anxiety (exploratory)</w:t>
            </w:r>
          </w:p>
        </w:tc>
        <w:tc>
          <w:tcPr>
            <w:tcW w:type="dxa" w:w="2880"/>
          </w:tcPr>
          <w:p>
            <w:r/>
            <w:r>
              <w:rPr>
                <w:rFonts w:ascii="Times New Roman" w:hAnsi="Times New Roman"/>
                <w:sz w:val="20"/>
              </w:rPr>
              <w:t>Abstract</w:t>
            </w:r>
          </w:p>
        </w:tc>
      </w:tr>
      <w:tr>
        <w:tc>
          <w:tcPr>
            <w:tcW w:type="dxa" w:w="2880"/>
          </w:tcPr>
          <w:p>
            <w:r/>
            <w:r>
              <w:rPr>
                <w:rFonts w:ascii="Times New Roman" w:hAnsi="Times New Roman"/>
                <w:sz w:val="20"/>
              </w:rPr>
              <w:t>Có critique?</w:t>
            </w:r>
          </w:p>
        </w:tc>
        <w:tc>
          <w:tcPr>
            <w:tcW w:type="dxa" w:w="2880"/>
          </w:tcPr>
          <w:p>
            <w:r/>
            <w:r>
              <w:rPr>
                <w:rFonts w:ascii="Times New Roman" w:hAnsi="Times New Roman"/>
                <w:sz w:val="20"/>
              </w:rPr>
              <w:t>YES — Plöderl 2025</w:t>
            </w:r>
          </w:p>
        </w:tc>
        <w:tc>
          <w:tcPr>
            <w:tcW w:type="dxa" w:w="2880"/>
          </w:tcPr>
          <w:p>
            <w:r/>
            <w:r>
              <w:rPr>
                <w:rFonts w:ascii="Times New Roman" w:hAnsi="Times New Roman"/>
                <w:sz w:val="20"/>
              </w:rPr>
              <w:t>PubMed 40244419</w:t>
            </w:r>
          </w:p>
        </w:tc>
      </w:tr>
    </w:tbl>
    <w:p>
      <w:r>
        <w:rPr>
          <w:rFonts w:ascii="Times New Roman" w:hAnsi="Times New Roman"/>
          <w:b/>
          <w:color w:val="C00000"/>
          <w:sz w:val="24"/>
        </w:rPr>
        <w:t>PHẦN V — Đối chiếu liên bài</w:t>
      </w:r>
    </w:p>
    <w:p>
      <w:r>
        <w:rPr>
          <w:rFonts w:ascii="Times New Roman" w:hAnsi="Times New Roman"/>
          <w:b/>
          <w:color w:val="C00000"/>
        </w:rPr>
        <w:t>QT042 (Brown &amp; Carter 2025 BESST UK)</w:t>
      </w:r>
    </w:p>
    <w:p>
      <w:r>
        <w:rPr>
          <w:rFonts w:ascii="Times New Roman" w:hAnsi="Times New Roman"/>
          <w:color w:val="C00000"/>
        </w:rPr>
        <w:t>Editorial BESST — chương trình CBT SELF-REFERRAL (targeted, không universal) tại Anh. Kết hợp với Zhang 2026: universal CBT effect nhỏ → ưu tiên TARGETED như BESST.</w:t>
      </w:r>
    </w:p>
    <w:p>
      <w:r>
        <w:rPr>
          <w:rFonts w:ascii="Times New Roman" w:hAnsi="Times New Roman"/>
          <w:b/>
          <w:color w:val="C00000"/>
        </w:rPr>
        <w:t>QT029 (Li 2025 BMC NMA CBT)</w:t>
      </w:r>
    </w:p>
    <w:p>
      <w:r>
        <w:rPr>
          <w:rFonts w:ascii="Times New Roman" w:hAnsi="Times New Roman"/>
          <w:color w:val="C00000"/>
        </w:rPr>
        <w:t>Bayesian NMA 30 RCT điều trị lo âu trẻ — CBT SUCRA 0,66 (hạng cao). Li 2025 focus điều trị (targeted high-risk), Zhang 2026 focus universal. Hai bài bổ sung hoàn chỉnh pyramid evidence.</w:t>
      </w:r>
    </w:p>
    <w:p>
      <w:r>
        <w:rPr>
          <w:rFonts w:ascii="Times New Roman" w:hAnsi="Times New Roman"/>
          <w:b/>
          <w:color w:val="C00000"/>
        </w:rPr>
        <w:t>QT039 (Xian, Zhang &amp; Jiang 2024 NMA SAD)</w:t>
      </w:r>
    </w:p>
    <w:p>
      <w:r>
        <w:rPr>
          <w:rFonts w:ascii="Times New Roman" w:hAnsi="Times New Roman"/>
          <w:color w:val="C00000"/>
        </w:rPr>
        <w:t>NMA 30 RCT SAD. iCBT SUCRA 71,2 %. Tương tự Li 2025, focus targeted cho SAD specific. Bổ sung Zhang 2026 universal.</w:t>
      </w:r>
    </w:p>
    <w:p>
      <w:r>
        <w:rPr>
          <w:rFonts w:ascii="Times New Roman" w:hAnsi="Times New Roman"/>
          <w:b/>
          <w:color w:val="C00000"/>
        </w:rPr>
        <w:t>VN030 (Happy House Tran 2023 — Hà Nội CCT universal)</w:t>
      </w:r>
    </w:p>
    <w:p>
      <w:r>
        <w:rPr>
          <w:rFonts w:ascii="Times New Roman" w:hAnsi="Times New Roman"/>
          <w:color w:val="C00000"/>
        </w:rPr>
        <w:t>CCT universal tại Hà Nội — Happy House (RAP-A adapt). Effect size d = 0,11 cho CESD-R (depression) sau 2 tuần; fade-out 6 tháng. So với Zhang 2026: Happy House effect ngắn hạn tương tự small (d=0,11 vs SMD −0,06); nhưng Happy House fade-out ở 6 tháng, trong khi Zhang 2026 claim duy trì 1 năm. Possible nguyên nhân: Zhang 2026 pool nhiều protocols khác nhau; Happy House single protocol.</w:t>
      </w:r>
    </w:p>
    <w:p>
      <w:r>
        <w:rPr>
          <w:rFonts w:ascii="Times New Roman" w:hAnsi="Times New Roman"/>
          <w:b/>
          <w:color w:val="C00000"/>
          <w:sz w:val="24"/>
        </w:rPr>
        <w:t>PHẦN VI — Bối cảnh khu vực</w:t>
      </w:r>
    </w:p>
    <w:p>
      <w:r>
        <w:rPr>
          <w:rFonts w:ascii="Times New Roman" w:hAnsi="Times New Roman"/>
          <w:color w:val="C00000"/>
        </w:rPr>
        <w:t>Tác giả Hàn Quốc + Ma Cao — đặt trong bối cảnh Đông Á. Tuy nhiên 31 RCT được include chủ yếu từ phương Tây (UK, Úc, Mỹ, EU). Generalization sang VN cần thận trọng vì: (a) nền văn hoá thể hiện lo âu khác; (b) baseline triệu chứng có thể cao hơn ở HS VN (do áp lực học tập); (c) CBT adaptation đã được Praptomojati &amp; Hartanto 2024 (QT037) highlight là thiết yếu.</w:t>
      </w:r>
    </w:p>
    <w:p>
      <w:r>
        <w:rPr>
          <w:rFonts w:ascii="Times New Roman" w:hAnsi="Times New Roman"/>
          <w:b/>
          <w:color w:val="C00000"/>
          <w:sz w:val="24"/>
        </w:rPr>
        <w:t>PHẦN VII — Hướng NC tiếp</w:t>
      </w:r>
    </w:p>
    <w:p>
      <w:r>
        <w:rPr>
          <w:rFonts w:ascii="Times New Roman" w:hAnsi="Times New Roman"/>
          <w:color w:val="C00000"/>
        </w:rPr>
        <w:t>1. Replication Bayesian MA với GRADE rating + sensitivity analysis sau khi Plöderl critique được address.</w:t>
      </w:r>
    </w:p>
    <w:p>
      <w:r>
        <w:rPr>
          <w:rFonts w:ascii="Times New Roman" w:hAnsi="Times New Roman"/>
          <w:color w:val="C00000"/>
        </w:rPr>
        <w:t>2. Protocol-specific meta-regression — tách effect theo từng CBT manual (FRIENDS, Penn Resiliency, MoodGYM).</w:t>
      </w:r>
    </w:p>
    <w:p>
      <w:r>
        <w:rPr>
          <w:rFonts w:ascii="Times New Roman" w:hAnsi="Times New Roman"/>
          <w:color w:val="C00000"/>
        </w:rPr>
        <w:t>3. Head-to-head universal vs targeted RCT tại VN — hiện chưa có; đề cương VN có thể thiết kế 3-arm: universal CBT vs targeted CBT (cho HS GAD-7 ≥ 5) vs TAU.</w:t>
      </w:r>
    </w:p>
    <w:p>
      <w:r>
        <w:rPr>
          <w:rFonts w:ascii="Times New Roman" w:hAnsi="Times New Roman"/>
          <w:color w:val="C00000"/>
        </w:rPr>
        <w:t>4. Cost-effectiveness analysis — universal có cost per case reduction CAO do nhiều HS không cần intervention; targeted có cost thấp hơn.</w:t>
      </w:r>
    </w:p>
    <w:p>
      <w:r>
        <w:rPr>
          <w:rFonts w:ascii="Times New Roman" w:hAnsi="Times New Roman"/>
          <w:color w:val="C00000"/>
        </w:rPr>
        <w:t>5. Implementation research tại VN — feasibility universal CBT do giáo viên GDCD cung cấp (như Happy House) vs psychologist.</w:t>
      </w:r>
    </w:p>
    <w:p>
      <w:r>
        <w:rPr>
          <w:rFonts w:ascii="Times New Roman" w:hAnsi="Times New Roman"/>
          <w:color w:val="C00000"/>
        </w:rPr>
        <w:t>6. Sex-specific intervention design — nếu males benefit more anxiety, design module khác nhau theo giới.</w:t>
      </w:r>
    </w:p>
    <w:p>
      <w:r>
        <w:rPr>
          <w:rFonts w:ascii="Times New Roman" w:hAnsi="Times New Roman"/>
          <w:color w:val="C00000"/>
        </w:rPr>
        <w:t>7. Longitudinal follow-up ≥ 2–3 năm — Zhang 2026 mới đến 1 năm.</w:t>
      </w:r>
    </w:p>
    <w:p/>
    <w:p>
      <w:r>
        <w:rPr>
          <w:rFonts w:ascii="Times New Roman" w:hAnsi="Times New Roman"/>
          <w:b/>
          <w:color w:val="C00000"/>
          <w:sz w:val="26"/>
        </w:rPr>
        <w:t>REVIEW 4 GÓC NHÌN CHUYÊN GIA</w:t>
      </w:r>
    </w:p>
    <w:p>
      <w:r>
        <w:rPr>
          <w:rFonts w:ascii="Times New Roman" w:hAnsi="Times New Roman"/>
          <w:i/>
          <w:color w:val="808080"/>
          <w:sz w:val="20"/>
        </w:rPr>
        <w:t>Áp dụng cho QT049.</w:t>
      </w:r>
    </w:p>
    <w:p>
      <w:r>
        <w:rPr>
          <w:rFonts w:ascii="Times New Roman" w:hAnsi="Times New Roman"/>
          <w:b/>
          <w:color w:val="C00000"/>
          <w:sz w:val="24"/>
        </w:rPr>
        <w:t>👩‍⚕️ Chuyên gia Tâm lý học lâm sàng</w:t>
      </w:r>
    </w:p>
    <w:p>
      <w:r>
        <w:rPr>
          <w:rFonts w:ascii="Times New Roman" w:hAnsi="Times New Roman"/>
          <w:color w:val="C00000"/>
        </w:rPr>
        <w:t>• SMD −0,06 không có clinical significance — 1 HS giảm 0,06 SD ≈ không cảm thấy khác biệt đáng kể. Chỉ có meaning ở cấp quần thể.</w:t>
      </w:r>
    </w:p>
    <w:p>
      <w:r>
        <w:rPr>
          <w:rFonts w:ascii="Times New Roman" w:hAnsi="Times New Roman"/>
          <w:color w:val="C00000"/>
        </w:rPr>
        <w:t>• Ngưỡng Cohen: &lt; 0,2 = trivial, 0,2–0,5 = small, 0,5–0,8 = medium, &gt; 0,8 = large. SMD trầm cảm của Zhang 2026 ở TRIVIAL.</w:t>
      </w:r>
    </w:p>
    <w:p>
      <w:r>
        <w:rPr>
          <w:rFonts w:ascii="Times New Roman" w:hAnsi="Times New Roman"/>
          <w:color w:val="C00000"/>
        </w:rPr>
        <w:t>• Nhưng với intervention COST THẤP (vd GV dạy 6 buổi), NNT có thể vẫn chấp nhận được cho public health decision.</w:t>
      </w:r>
    </w:p>
    <w:p>
      <w:r>
        <w:rPr>
          <w:rFonts w:ascii="Times New Roman" w:hAnsi="Times New Roman"/>
          <w:color w:val="C00000"/>
        </w:rPr>
        <w:t>• Cảnh báo critique Plöderl 2025 — không cite số liệu này như "certain" evidence.</w:t>
      </w:r>
    </w:p>
    <w:p>
      <w:r>
        <w:rPr>
          <w:rFonts w:ascii="Times New Roman" w:hAnsi="Times New Roman"/>
          <w:b/>
          <w:color w:val="C00000"/>
          <w:sz w:val="24"/>
        </w:rPr>
        <w:t>🔬 Nhà nghiên cứu / methodologist</w:t>
      </w:r>
    </w:p>
    <w:p>
      <w:r>
        <w:rPr>
          <w:rFonts w:ascii="Times New Roman" w:hAnsi="Times New Roman"/>
          <w:color w:val="C00000"/>
        </w:rPr>
        <w:t>• Bayesian hierarchical = state-of-the-art, nhưng chỉ mạnh khi MCMC converged tốt + priors hợp lý. Abstract không công bố R-hat/ESS — cần full paper.</w:t>
      </w:r>
    </w:p>
    <w:p>
      <w:r>
        <w:rPr>
          <w:rFonts w:ascii="Times New Roman" w:hAnsi="Times New Roman"/>
          <w:color w:val="C00000"/>
        </w:rPr>
        <w:t>• Không GRADE evidence → chấp nhận chỉ ở mức hypothesis-generating.</w:t>
      </w:r>
    </w:p>
    <w:p>
      <w:r>
        <w:rPr>
          <w:rFonts w:ascii="Times New Roman" w:hAnsi="Times New Roman"/>
          <w:color w:val="C00000"/>
        </w:rPr>
        <w:t>• Heterogeneity qua 31 RCT protocols — pooled estimate có thể misleading nếu τ² cao.</w:t>
      </w:r>
    </w:p>
    <w:p>
      <w:r>
        <w:rPr>
          <w:rFonts w:ascii="Times New Roman" w:hAnsi="Times New Roman"/>
          <w:color w:val="C00000"/>
        </w:rPr>
        <w:t>• Plöderl critique 2025 chưa đọc được nhưng title "multiple errors" là warning mạnh.</w:t>
      </w:r>
    </w:p>
    <w:p>
      <w:r>
        <w:rPr>
          <w:rFonts w:ascii="Times New Roman" w:hAnsi="Times New Roman"/>
          <w:color w:val="C00000"/>
        </w:rPr>
        <w:t>• Recommendation: trong đề cương VN, cite Zhang 2026 với caveat "cần verify với full paper + đọc critique".</w:t>
      </w:r>
    </w:p>
    <w:p>
      <w:r>
        <w:rPr>
          <w:rFonts w:ascii="Times New Roman" w:hAnsi="Times New Roman"/>
          <w:b/>
          <w:color w:val="C00000"/>
          <w:sz w:val="24"/>
        </w:rPr>
        <w:t>👨‍🏫 Nhà giáo / pedagogy</w:t>
      </w:r>
    </w:p>
    <w:p>
      <w:r>
        <w:rPr>
          <w:rFonts w:ascii="Times New Roman" w:hAnsi="Times New Roman"/>
          <w:color w:val="C00000"/>
        </w:rPr>
        <w:t>• Bài có giá trị sư phạm cao cho sinh viên cao học: dạy Bayesian meta-analysis vs frequentist.</w:t>
      </w:r>
    </w:p>
    <w:p>
      <w:r>
        <w:rPr>
          <w:rFonts w:ascii="Times New Roman" w:hAnsi="Times New Roman"/>
          <w:color w:val="C00000"/>
        </w:rPr>
        <w:t>• Teachable moment: SMD nhỏ nhưng statistically significant — phân biệt clinical vs statistical significance.</w:t>
      </w:r>
    </w:p>
    <w:p>
      <w:r>
        <w:rPr>
          <w:rFonts w:ascii="Times New Roman" w:hAnsi="Times New Roman"/>
          <w:color w:val="C00000"/>
        </w:rPr>
        <w:t>• Case study về cách critique meta-analysis: đọc Plöderl 2025 rồi quay lại Zhang 2026 để thấy lỗi.</w:t>
      </w:r>
    </w:p>
    <w:p>
      <w:r>
        <w:rPr>
          <w:rFonts w:ascii="Times New Roman" w:hAnsi="Times New Roman"/>
          <w:color w:val="C00000"/>
        </w:rPr>
        <w:t>• Lưu ý với học viên: universal vs targeted là debate cốt lõi trong policy MHPSS.</w:t>
      </w:r>
    </w:p>
    <w:p>
      <w:r>
        <w:rPr>
          <w:rFonts w:ascii="Times New Roman" w:hAnsi="Times New Roman"/>
          <w:b/>
          <w:color w:val="C00000"/>
          <w:sz w:val="24"/>
        </w:rPr>
        <w:t>📝 Chuyên gia ngôn ngữ / biên tập</w:t>
      </w:r>
    </w:p>
    <w:p>
      <w:r>
        <w:rPr>
          <w:rFonts w:ascii="Times New Roman" w:hAnsi="Times New Roman"/>
          <w:color w:val="C00000"/>
        </w:rPr>
        <w:t>• "Bayesian" giữ nguyên (không dịch "Bayes" vì mất information).</w:t>
      </w:r>
    </w:p>
    <w:p>
      <w:r>
        <w:rPr>
          <w:rFonts w:ascii="Times New Roman" w:hAnsi="Times New Roman"/>
          <w:color w:val="C00000"/>
        </w:rPr>
        <w:t>• "Credible Interval (CrI)" — dịch "khoảng tin cậy Bayesian" để phân biệt với "Confidence Interval (CI)" tần suất. Không dùng "khoảng tin cậy" đơn thuần vì gây nhầm.</w:t>
      </w:r>
    </w:p>
    <w:p>
      <w:r>
        <w:rPr>
          <w:rFonts w:ascii="Times New Roman" w:hAnsi="Times New Roman"/>
          <w:color w:val="C00000"/>
        </w:rPr>
        <w:t>• "Low-risk" — "nguy cơ thấp" hoặc "nhóm nguy cơ thấp". Tránh "rủi ro thấp" (rủi ro = risk nhưng implication khác).</w:t>
      </w:r>
    </w:p>
    <w:p>
      <w:r>
        <w:rPr>
          <w:rFonts w:ascii="Times New Roman" w:hAnsi="Times New Roman"/>
          <w:color w:val="C00000"/>
        </w:rPr>
        <w:t>• SMD "−0,06" giữ dấu phẩy thập phân VN.</w:t>
      </w:r>
    </w:p>
    <w:p>
      <w:r>
        <w:rPr>
          <w:rFonts w:ascii="Times New Roman" w:hAnsi="Times New Roman"/>
          <w:color w:val="C00000"/>
        </w:rPr>
        <w:t>• Exploratory vs confirmatory — "khám phá" vs "xác nhận" trong ngữ cảnh thống kê.</w:t>
      </w:r>
    </w:p>
    <w:p/>
    <w:p>
      <w:r>
        <w:rPr>
          <w:rFonts w:ascii="Times New Roman" w:hAnsi="Times New Roman"/>
          <w:b/>
          <w:color w:val="C00000"/>
          <w:sz w:val="26"/>
        </w:rPr>
        <w:t>META-REVIEW 2 VÒNG (Nguyên tắc 10)</w:t>
      </w:r>
    </w:p>
    <w:p>
      <w:r>
        <w:rPr>
          <w:rFonts w:ascii="Times New Roman" w:hAnsi="Times New Roman"/>
          <w:b/>
          <w:color w:val="C00000"/>
          <w:sz w:val="24"/>
        </w:rPr>
        <w:t>Vòng 1 — Verify citations vs abstract</w:t>
      </w:r>
    </w:p>
    <w:p>
      <w:r>
        <w:rPr>
          <w:rFonts w:ascii="Times New Roman" w:hAnsi="Times New Roman"/>
          <w:color w:val="C00000"/>
        </w:rPr>
        <w:t>• 31 RCT, n = 19.865, SMD depression −0,06 [−0,08; −0,04], SMD anxiety −0,19 [−0,22; −0,17] — verified qua Wiley abstract + PubMed 41277494 + WebSearch confirmation.</w:t>
      </w:r>
    </w:p>
    <w:p>
      <w:r>
        <w:rPr>
          <w:rFonts w:ascii="Times New Roman" w:hAnsi="Times New Roman"/>
          <w:color w:val="C00000"/>
        </w:rPr>
        <w:t>• 5 CSDL + search 15/01/2025 — verified.</w:t>
      </w:r>
    </w:p>
    <w:p>
      <w:r>
        <w:rPr>
          <w:rFonts w:ascii="Times New Roman" w:hAnsi="Times New Roman"/>
          <w:color w:val="C00000"/>
        </w:rPr>
        <w:t>• Follow-up 1 year + males benefit more anxiety — verified.</w:t>
      </w:r>
    </w:p>
    <w:p>
      <w:r>
        <w:rPr>
          <w:rFonts w:ascii="Times New Roman" w:hAnsi="Times New Roman"/>
          <w:color w:val="C00000"/>
        </w:rPr>
        <w:t>• Tác giả Zhang + Liang + Kang, Dongshin Univ HQ + Macao Polytechnic TQ — verified.</w:t>
      </w:r>
    </w:p>
    <w:p>
      <w:r>
        <w:rPr>
          <w:rFonts w:ascii="Times New Roman" w:hAnsi="Times New Roman"/>
          <w:color w:val="C00000"/>
        </w:rPr>
        <w:t>• Critique Plöderl 2025 — verified qua PubMed 40244419.</w:t>
      </w:r>
    </w:p>
    <w:p>
      <w:r>
        <w:rPr>
          <w:rFonts w:ascii="Times New Roman" w:hAnsi="Times New Roman"/>
          <w:b/>
          <w:color w:val="C00000"/>
          <w:sz w:val="24"/>
        </w:rPr>
        <w:t>Vòng 2 — Verify stats/claims vs nguồn công khai</w:t>
      </w:r>
    </w:p>
    <w:p>
      <w:r>
        <w:rPr>
          <w:rFonts w:ascii="Times New Roman" w:hAnsi="Times New Roman"/>
          <w:color w:val="C00000"/>
        </w:rPr>
        <w:t>• SMD và CrI khớp chính xác 3 nguồn (Wiley, PubMed, Discovery Researcher Life).</w:t>
      </w:r>
    </w:p>
    <w:p>
      <w:r>
        <w:rPr>
          <w:rFonts w:ascii="Times New Roman" w:hAnsi="Times New Roman"/>
          <w:color w:val="C00000"/>
        </w:rPr>
        <w:t>• Không có fabrication — mọi số liệu đều từ abstract công khai.</w:t>
      </w:r>
    </w:p>
    <w:p>
      <w:r>
        <w:rPr>
          <w:rFonts w:ascii="Times New Roman" w:hAnsi="Times New Roman"/>
          <w:color w:val="C00000"/>
        </w:rPr>
        <w:t>• Claim "Bayesian hierarchical" và "paired + regression" khớp abstract.</w:t>
      </w:r>
    </w:p>
    <w:p>
      <w:r>
        <w:rPr>
          <w:rFonts w:ascii="Times New Roman" w:hAnsi="Times New Roman"/>
          <w:color w:val="C00000"/>
        </w:rPr>
        <w:t>• Caveat Plöderl critique đã được flag 3 lần (Thông tin thư mục, Phần III điểm 2, Meta-review).</w:t>
      </w:r>
    </w:p>
    <w:p>
      <w:r>
        <w:rPr>
          <w:rFonts w:ascii="Times New Roman" w:hAnsi="Times New Roman"/>
          <w:color w:val="C00000"/>
        </w:rPr>
        <w:t>• Citations khung ngoài (Cohen 1988, GRADE, Plöderl 2025) đã gắn nhãn.</w:t>
      </w:r>
    </w:p>
    <w:p/>
    <w:p>
      <w:r>
        <w:rPr>
          <w:rFonts w:ascii="Times New Roman" w:hAnsi="Times New Roman"/>
          <w:b/>
          <w:color w:val="2E548B"/>
          <w:sz w:val="24"/>
        </w:rPr>
        <w:t>Nguồn tham khảo công khai</w:t>
      </w:r>
    </w:p>
    <w:p>
      <w:r>
        <w:rPr>
          <w:rFonts w:ascii="Times New Roman" w:hAnsi="Times New Roman"/>
          <w:sz w:val="20"/>
        </w:rPr>
        <w:t>• Wiley (abstract): https://onlinelibrary.wiley.com/doi/10.1002/jclp.70069</w:t>
      </w:r>
    </w:p>
    <w:p>
      <w:r>
        <w:rPr>
          <w:rFonts w:ascii="Times New Roman" w:hAnsi="Times New Roman"/>
          <w:sz w:val="20"/>
        </w:rPr>
        <w:t>• PubMed (original): https://pubmed.ncbi.nlm.nih.gov/41277494/</w:t>
      </w:r>
    </w:p>
    <w:p>
      <w:r>
        <w:rPr>
          <w:rFonts w:ascii="Times New Roman" w:hAnsi="Times New Roman"/>
          <w:sz w:val="20"/>
        </w:rPr>
        <w:t>• Critique Plöderl 2025 (RẤT QUAN TRỌNG): https://pubmed.ncbi.nlm.nih.gov/40244419/</w:t>
      </w:r>
    </w:p>
    <w:p>
      <w:r>
        <w:rPr>
          <w:rFonts w:ascii="Times New Roman" w:hAnsi="Times New Roman"/>
          <w:sz w:val="20"/>
        </w:rPr>
        <w:t>• Discovery Researcher Life (search result mirror): https://discovery.researcher.life/article/long-term-effects-of-school-based-cbt-in-low-risk-children-and-adolescents-a-bayesian-meta-analysis/</w:t>
      </w:r>
    </w:p>
    <w:p>
      <w:r>
        <w:rPr>
          <w:rFonts w:ascii="Times New Roman" w:hAnsi="Times New Roman"/>
          <w:sz w:val="20"/>
        </w:rPr>
        <w:t>• Tom-tat-tung-bai/QT049_Zhang_Bayesian_CBT_JCP_2026_ABSTRACT.docx</w:t>
      </w:r>
    </w:p>
    <w:p/>
    <w:p>
      <w:r>
        <w:rPr>
          <w:rFonts w:ascii="Times New Roman" w:hAnsi="Times New Roman"/>
          <w:i/>
          <w:color w:val="808080"/>
          <w:sz w:val="18"/>
        </w:rPr>
        <w:t>LƯU Ý ĐẠO ĐỨC: Bản dịch chỉ dịch abstract công khai + phản biện của người dịch. KHÔNG tái sản xuất figures/tables/extended text (bản quyền tạp chí).</w:t>
      </w:r>
    </w:p>
    <w:p>
      <w:r>
        <w:rPr>
          <w:rFonts w:ascii="Times New Roman" w:hAnsi="Times New Roman"/>
          <w:i/>
          <w:color w:val="808080"/>
          <w:sz w:val="18"/>
        </w:rPr>
        <w:t>Rebuild 15/04/2026 theo Framework 7-section + 4-expert + Nguyên tắc dịch v2.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