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28"/>
        </w:rPr>
        <w:t>Bài 58 / QT051 — DỊCH CHI TIẾT + PHẢN BIỆN MỞ RỘNG</w:t>
      </w:r>
    </w:p>
    <w:p>
      <w:pPr>
        <w:jc w:val="center"/>
      </w:pPr>
      <w:r>
        <w:rPr>
          <w:rFonts w:ascii="Times New Roman" w:hAnsi="Times New Roman"/>
          <w:i/>
          <w:color w:val="808080"/>
          <w:sz w:val="20"/>
        </w:rPr>
        <w:t>Phiên bản v2 — rebuild 15/04/2026</w:t>
      </w:r>
    </w:p>
    <w:p>
      <w:r>
        <w:rPr>
          <w:rFonts w:ascii="Times New Roman" w:hAnsi="Times New Roman"/>
        </w:rPr>
      </w:r>
    </w:p>
    <w:p>
      <w:r>
        <w:rPr>
          <w:rFonts w:ascii="Times New Roman" w:hAnsi="Times New Roman"/>
          <w:b/>
          <w:color w:val="1F3A68"/>
          <w:sz w:val="26"/>
        </w:rPr>
        <w:t>I. 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
              <w:rPr>
                <w:rFonts w:ascii="Times New Roman" w:hAnsi="Times New Roman"/>
                <w:b/>
                <w:sz w:val="20"/>
              </w:rPr>
              <w:t>Trường</w:t>
            </w:r>
          </w:p>
        </w:tc>
        <w:tc>
          <w:tcPr>
            <w:tcW w:type="dxa" w:w="4320"/>
            <w:shd w:fill="D9E1F2"/>
          </w:tcPr>
          <w:p>
            <w:r/>
            <w:r>
              <w:rPr>
                <w:rFonts w:ascii="Times New Roman" w:hAnsi="Times New Roman"/>
                <w:b/>
                <w:sz w:val="20"/>
              </w:rPr>
              <w:t>Giá trị</w:t>
            </w:r>
          </w:p>
        </w:tc>
      </w:tr>
      <w:tr>
        <w:tc>
          <w:tcPr>
            <w:tcW w:type="dxa" w:w="4320"/>
          </w:tcPr>
          <w:p>
            <w:r/>
            <w:r>
              <w:rPr>
                <w:rFonts w:ascii="Times New Roman" w:hAnsi="Times New Roman"/>
                <w:sz w:val="20"/>
              </w:rPr>
              <w:t>Tiêu đề (EN)</w:t>
            </w:r>
          </w:p>
        </w:tc>
        <w:tc>
          <w:tcPr>
            <w:tcW w:type="dxa" w:w="4320"/>
          </w:tcPr>
          <w:p>
            <w:r/>
            <w:r>
              <w:rPr>
                <w:rFonts w:ascii="Times New Roman" w:hAnsi="Times New Roman"/>
                <w:sz w:val="20"/>
              </w:rPr>
              <w:t>Evaluated Interventions Targeting the Mental Health and Psychosocial Wellbeing of Children and Adolescents: A Scoping Review Focused on Low- and Middle-Income Countries in East Asia and the Pacific</w:t>
            </w:r>
          </w:p>
        </w:tc>
      </w:tr>
      <w:tr>
        <w:tc>
          <w:tcPr>
            <w:tcW w:type="dxa" w:w="4320"/>
          </w:tcPr>
          <w:p>
            <w:r/>
            <w:r>
              <w:rPr>
                <w:rFonts w:ascii="Times New Roman" w:hAnsi="Times New Roman"/>
                <w:sz w:val="20"/>
              </w:rPr>
              <w:t>Tiêu đề (VN)</w:t>
            </w:r>
          </w:p>
        </w:tc>
        <w:tc>
          <w:tcPr>
            <w:tcW w:type="dxa" w:w="4320"/>
          </w:tcPr>
          <w:p>
            <w:r/>
            <w:r>
              <w:rPr>
                <w:rFonts w:ascii="Times New Roman" w:hAnsi="Times New Roman"/>
                <w:sz w:val="20"/>
              </w:rPr>
              <w:t>Các can thiệp đã được đánh giá nhắm vào sức khoẻ tâm thần và hạnh phúc tâm lý xã hội ở trẻ em và vị thành niên: Rà soát phạm vi tập trung vào các nước thu nhập thấp – trung bình tại Đông Á và Thái Bình Dương</w:t>
            </w:r>
          </w:p>
        </w:tc>
      </w:tr>
      <w:tr>
        <w:tc>
          <w:tcPr>
            <w:tcW w:type="dxa" w:w="4320"/>
          </w:tcPr>
          <w:p>
            <w:r/>
            <w:r>
              <w:rPr>
                <w:rFonts w:ascii="Times New Roman" w:hAnsi="Times New Roman"/>
                <w:sz w:val="20"/>
              </w:rPr>
              <w:t>Tác giả</w:t>
            </w:r>
          </w:p>
        </w:tc>
        <w:tc>
          <w:tcPr>
            <w:tcW w:type="dxa" w:w="4320"/>
          </w:tcPr>
          <w:p>
            <w:r/>
            <w:r>
              <w:rPr>
                <w:rFonts w:ascii="Times New Roman" w:hAnsi="Times New Roman"/>
                <w:sz w:val="20"/>
              </w:rPr>
              <w:t>Vinay Menon, Miika Coppard, Samuel McEwen, Lorena Romero, Elissa Kennedy, Peter Azzopardi</w:t>
            </w:r>
          </w:p>
        </w:tc>
      </w:tr>
      <w:tr>
        <w:tc>
          <w:tcPr>
            <w:tcW w:type="dxa" w:w="4320"/>
          </w:tcPr>
          <w:p>
            <w:r/>
            <w:r>
              <w:rPr>
                <w:rFonts w:ascii="Times New Roman" w:hAnsi="Times New Roman"/>
                <w:sz w:val="20"/>
              </w:rPr>
              <w:t>Liên kết</w:t>
            </w:r>
          </w:p>
        </w:tc>
        <w:tc>
          <w:tcPr>
            <w:tcW w:type="dxa" w:w="4320"/>
          </w:tcPr>
          <w:p>
            <w:r/>
            <w:r>
              <w:rPr>
                <w:rFonts w:ascii="Times New Roman" w:hAnsi="Times New Roman"/>
                <w:sz w:val="20"/>
              </w:rPr>
              <w:t>Burnet Institute, Melbourne (Úc); Alfred Health (Lorena Romero — Ian Potter Library); Murdoch Children's Research Institute (Peter Azzopardi — Centre for Adolescent Health)</w:t>
            </w:r>
          </w:p>
        </w:tc>
      </w:tr>
      <w:tr>
        <w:tc>
          <w:tcPr>
            <w:tcW w:type="dxa" w:w="4320"/>
          </w:tcPr>
          <w:p>
            <w:r/>
            <w:r>
              <w:rPr>
                <w:rFonts w:ascii="Times New Roman" w:hAnsi="Times New Roman"/>
                <w:sz w:val="20"/>
              </w:rPr>
              <w:t>Năm xuất bản</w:t>
            </w:r>
          </w:p>
        </w:tc>
        <w:tc>
          <w:tcPr>
            <w:tcW w:type="dxa" w:w="4320"/>
          </w:tcPr>
          <w:p>
            <w:r/>
            <w:r>
              <w:rPr>
                <w:rFonts w:ascii="Times New Roman" w:hAnsi="Times New Roman"/>
                <w:sz w:val="20"/>
              </w:rPr>
              <w:t>2025</w:t>
            </w:r>
          </w:p>
        </w:tc>
      </w:tr>
      <w:tr>
        <w:tc>
          <w:tcPr>
            <w:tcW w:type="dxa" w:w="4320"/>
          </w:tcPr>
          <w:p>
            <w:r/>
            <w:r>
              <w:rPr>
                <w:rFonts w:ascii="Times New Roman" w:hAnsi="Times New Roman"/>
                <w:sz w:val="20"/>
              </w:rPr>
              <w:t>Tạp chí</w:t>
            </w:r>
          </w:p>
        </w:tc>
        <w:tc>
          <w:tcPr>
            <w:tcW w:type="dxa" w:w="4320"/>
          </w:tcPr>
          <w:p>
            <w:r/>
            <w:r>
              <w:rPr>
                <w:rFonts w:ascii="Times New Roman" w:hAnsi="Times New Roman"/>
                <w:sz w:val="20"/>
              </w:rPr>
              <w:t>Asia Pacific Journal of Public Health, vol. 37(4), pages 332–346</w:t>
            </w:r>
          </w:p>
        </w:tc>
      </w:tr>
      <w:tr>
        <w:tc>
          <w:tcPr>
            <w:tcW w:type="dxa" w:w="4320"/>
          </w:tcPr>
          <w:p>
            <w:r/>
            <w:r>
              <w:rPr>
                <w:rFonts w:ascii="Times New Roman" w:hAnsi="Times New Roman"/>
                <w:sz w:val="20"/>
              </w:rPr>
              <w:t>DOI</w:t>
            </w:r>
          </w:p>
        </w:tc>
        <w:tc>
          <w:tcPr>
            <w:tcW w:type="dxa" w:w="4320"/>
          </w:tcPr>
          <w:p>
            <w:r/>
            <w:r>
              <w:rPr>
                <w:rFonts w:ascii="Times New Roman" w:hAnsi="Times New Roman"/>
                <w:sz w:val="20"/>
              </w:rPr>
              <w:t>10.1177/10105395241313154</w:t>
            </w:r>
          </w:p>
        </w:tc>
      </w:tr>
      <w:tr>
        <w:tc>
          <w:tcPr>
            <w:tcW w:type="dxa" w:w="4320"/>
          </w:tcPr>
          <w:p>
            <w:r/>
            <w:r>
              <w:rPr>
                <w:rFonts w:ascii="Times New Roman" w:hAnsi="Times New Roman"/>
                <w:sz w:val="20"/>
              </w:rPr>
              <w:t>PMID</w:t>
            </w:r>
          </w:p>
        </w:tc>
        <w:tc>
          <w:tcPr>
            <w:tcW w:type="dxa" w:w="4320"/>
          </w:tcPr>
          <w:p>
            <w:r/>
            <w:r>
              <w:rPr>
                <w:rFonts w:ascii="Times New Roman" w:hAnsi="Times New Roman"/>
                <w:sz w:val="20"/>
              </w:rPr>
              <w:t>39927577</w:t>
            </w:r>
          </w:p>
        </w:tc>
      </w:tr>
      <w:tr>
        <w:tc>
          <w:tcPr>
            <w:tcW w:type="dxa" w:w="4320"/>
          </w:tcPr>
          <w:p>
            <w:r/>
            <w:r>
              <w:rPr>
                <w:rFonts w:ascii="Times New Roman" w:hAnsi="Times New Roman"/>
                <w:sz w:val="20"/>
              </w:rPr>
              <w:t>Loại bài</w:t>
            </w:r>
          </w:p>
        </w:tc>
        <w:tc>
          <w:tcPr>
            <w:tcW w:type="dxa" w:w="4320"/>
          </w:tcPr>
          <w:p>
            <w:r/>
            <w:r>
              <w:rPr>
                <w:rFonts w:ascii="Times New Roman" w:hAnsi="Times New Roman"/>
                <w:sz w:val="20"/>
              </w:rPr>
              <w:t>Scoping review (rà soát phạm vi — không định lượng effect sizes)</w:t>
            </w:r>
          </w:p>
        </w:tc>
      </w:tr>
      <w:tr>
        <w:tc>
          <w:tcPr>
            <w:tcW w:type="dxa" w:w="4320"/>
          </w:tcPr>
          <w:p>
            <w:r/>
            <w:r>
              <w:rPr>
                <w:rFonts w:ascii="Times New Roman" w:hAnsi="Times New Roman"/>
                <w:sz w:val="20"/>
              </w:rPr>
              <w:t>Tạp chí xếp hạng</w:t>
            </w:r>
          </w:p>
        </w:tc>
        <w:tc>
          <w:tcPr>
            <w:tcW w:type="dxa" w:w="4320"/>
          </w:tcPr>
          <w:p>
            <w:r/>
            <w:r>
              <w:rPr>
                <w:rFonts w:ascii="Times New Roman" w:hAnsi="Times New Roman"/>
                <w:sz w:val="20"/>
              </w:rPr>
              <w:t>Asia Pacific Journal of Public Health — Q2 Scopus (IF 2024 ≈ 1,9)</w:t>
            </w:r>
          </w:p>
        </w:tc>
      </w:tr>
      <w:tr>
        <w:tc>
          <w:tcPr>
            <w:tcW w:type="dxa" w:w="4320"/>
          </w:tcPr>
          <w:p>
            <w:r/>
            <w:r>
              <w:rPr>
                <w:rFonts w:ascii="Times New Roman" w:hAnsi="Times New Roman"/>
                <w:sz w:val="20"/>
              </w:rPr>
              <w:t>Access</w:t>
            </w:r>
          </w:p>
        </w:tc>
        <w:tc>
          <w:tcPr>
            <w:tcW w:type="dxa" w:w="4320"/>
          </w:tcPr>
          <w:p>
            <w:r/>
            <w:r>
              <w:rPr>
                <w:rFonts w:ascii="Times New Roman" w:hAnsi="Times New Roman"/>
                <w:sz w:val="20"/>
              </w:rPr>
              <w:t>Paywall SAGE — abstract công khai</w:t>
            </w:r>
          </w:p>
        </w:tc>
      </w:tr>
    </w:tbl>
    <w:p>
      <w:r>
        <w:rPr>
          <w:rFonts w:ascii="Times New Roman" w:hAnsi="Times New Roman"/>
        </w:rPr>
      </w:r>
    </w:p>
    <w:p>
      <w:r>
        <w:rPr>
          <w:rFonts w:ascii="Times New Roman" w:hAnsi="Times New Roman"/>
          <w:b/>
          <w:color w:val="1F3A68"/>
          <w:sz w:val="26"/>
        </w:rPr>
        <w:t>II. TÓM TẮT GỐC — DỊCH ĐẦY ĐỦ</w:t>
      </w:r>
    </w:p>
    <w:p>
      <w:r>
        <w:rPr>
          <w:rFonts w:ascii="Times New Roman" w:hAnsi="Times New Roman"/>
          <w:b/>
          <w:color w:val="2E548B"/>
          <w:sz w:val="24"/>
        </w:rPr>
        <w:t>II.1. Bối cảnh</w:t>
      </w:r>
    </w:p>
    <w:p>
      <w:r>
        <w:rPr>
          <w:rFonts w:ascii="Times New Roman" w:hAnsi="Times New Roman"/>
        </w:rPr>
        <w:t>Sức khoẻ tâm thần vị thành niên là ưu tiên ngày càng tăng trong các nước thu nhập thấp và trung bình (LMICs). Khu vực Đông Á – Thái Bình Dương có dân số VTN lớn (chiếm 18 % dân số VTN toàn cầu) nhưng bằng chứng can thiệp chưa được tổng hợp đầy đủ. Các báo cáo toàn cầu như WHO Mental Health Action Plan 2013–2030 và Lancet Commission on Adolescent Health (Patton et al. 2016, khung bên ngoài refs) kêu gọi thu hẹp khoảng cách giữa bằng chứng và thực hành tại LMIC.</w:t>
      </w:r>
    </w:p>
    <w:p>
      <w:r>
        <w:rPr>
          <w:rFonts w:ascii="Times New Roman" w:hAnsi="Times New Roman"/>
          <w:b/>
          <w:color w:val="2E548B"/>
          <w:sz w:val="24"/>
        </w:rPr>
        <w:t>II.2. Mục tiêu</w:t>
      </w:r>
    </w:p>
    <w:p>
      <w:r>
        <w:rPr>
          <w:rFonts w:ascii="Times New Roman" w:hAnsi="Times New Roman"/>
        </w:rPr>
        <w:t>Rà soát phạm vi các can thiệp đã được đánh giá nhắm SKTT và hạnh phúc tâm lý xã hội của trẻ em và VTN tại các LMIC thuộc khu vực Đông Á – Thái Bình Dương, nhằm xác định các khoảng trống lớn nhất về bằng chứng và chương trình.</w:t>
      </w:r>
    </w:p>
    <w:p>
      <w:r>
        <w:rPr>
          <w:rFonts w:ascii="Times New Roman" w:hAnsi="Times New Roman"/>
          <w:b/>
          <w:color w:val="2E548B"/>
          <w:sz w:val="24"/>
        </w:rPr>
        <w:t>II.3. Phương pháp</w:t>
      </w:r>
    </w:p>
    <w:p>
      <w:r>
        <w:rPr>
          <w:rFonts w:ascii="Times New Roman" w:hAnsi="Times New Roman"/>
        </w:rPr>
        <w:t>• 4 CSDL được tìm kiếm (abstract không liệt kê cụ thể).</w:t>
      </w:r>
    </w:p>
    <w:p>
      <w:r>
        <w:rPr>
          <w:rFonts w:ascii="Times New Roman" w:hAnsi="Times New Roman"/>
        </w:rPr>
        <w:t>• Khoảng thời gian: 2010 – 2021.</w:t>
      </w:r>
    </w:p>
    <w:p>
      <w:r>
        <w:rPr>
          <w:rFonts w:ascii="Times New Roman" w:hAnsi="Times New Roman"/>
        </w:rPr>
        <w:t>• Đối tượng: trẻ em và vị thành niên tại các LMIC Đông Á – Thái Bình Dương (định nghĩa LMIC theo World Bank).</w:t>
      </w:r>
    </w:p>
    <w:p>
      <w:r>
        <w:rPr>
          <w:rFonts w:ascii="Times New Roman" w:hAnsi="Times New Roman"/>
        </w:rPr>
        <w:t>• Phân loại can thiệp theo 3 trục:</w:t>
      </w:r>
    </w:p>
    <w:p>
      <w:r>
        <w:rPr>
          <w:rFonts w:ascii="Times New Roman" w:hAnsi="Times New Roman"/>
        </w:rPr>
        <w:t xml:space="preserve">   – Location (cộng đồng, trường học, cơ sở y tế, online)</w:t>
      </w:r>
    </w:p>
    <w:p>
      <w:r>
        <w:rPr>
          <w:rFonts w:ascii="Times New Roman" w:hAnsi="Times New Roman"/>
        </w:rPr>
        <w:t xml:space="preserve">   – Evaluation method (RCT, before-after, post-intervention)</w:t>
      </w:r>
    </w:p>
    <w:p>
      <w:r>
        <w:rPr>
          <w:rFonts w:ascii="Times New Roman" w:hAnsi="Times New Roman"/>
        </w:rPr>
        <w:t xml:space="preserve">   – Target (mental health promotion, prevention, response/treatment)</w:t>
      </w:r>
    </w:p>
    <w:p>
      <w:r>
        <w:rPr>
          <w:rFonts w:ascii="Times New Roman" w:hAnsi="Times New Roman"/>
          <w:b/>
          <w:color w:val="2E548B"/>
          <w:sz w:val="24"/>
        </w:rPr>
        <w:t>II.4. Kết quả</w:t>
      </w:r>
    </w:p>
    <w:p>
      <w:r>
        <w:rPr>
          <w:rFonts w:ascii="Times New Roman" w:hAnsi="Times New Roman"/>
          <w:b/>
        </w:rPr>
        <w:t>Quy mô:</w:t>
      </w:r>
    </w:p>
    <w:p>
      <w:r>
        <w:rPr>
          <w:rFonts w:ascii="Times New Roman" w:hAnsi="Times New Roman"/>
        </w:rPr>
        <w:t>• 69 nghiên cứu độc đáo được chọn</w:t>
      </w:r>
    </w:p>
    <w:p>
      <w:r>
        <w:rPr>
          <w:rFonts w:ascii="Times New Roman" w:hAnsi="Times New Roman"/>
        </w:rPr>
        <w:t>• 12 quốc gia được bao phủ</w:t>
      </w:r>
    </w:p>
    <w:p>
      <w:r>
        <w:rPr>
          <w:rFonts w:ascii="Times New Roman" w:hAnsi="Times New Roman"/>
        </w:rPr>
        <w:t>• Thiết kế: 32 RCT + 31 nghiên cứu before-after + 6 đánh giá post-intervention</w:t>
      </w:r>
    </w:p>
    <w:p>
      <w:r>
        <w:rPr>
          <w:rFonts w:ascii="Times New Roman" w:hAnsi="Times New Roman"/>
          <w:b/>
        </w:rPr>
        <w:t>Phân bố theo mục tiêu can thiệp:</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Mục tiêu can thiệp</w:t>
            </w:r>
          </w:p>
        </w:tc>
        <w:tc>
          <w:tcPr>
            <w:tcW w:type="dxa" w:w="2880"/>
            <w:shd w:fill="D9E1F2"/>
          </w:tcPr>
          <w:p>
            <w:r/>
            <w:r>
              <w:rPr>
                <w:rFonts w:ascii="Times New Roman" w:hAnsi="Times New Roman"/>
                <w:b/>
                <w:sz w:val="20"/>
              </w:rPr>
              <w:t>Số NC</w:t>
            </w:r>
          </w:p>
        </w:tc>
        <w:tc>
          <w:tcPr>
            <w:tcW w:type="dxa" w:w="2880"/>
            <w:shd w:fill="D9E1F2"/>
          </w:tcPr>
          <w:p>
            <w:r/>
            <w:r>
              <w:rPr>
                <w:rFonts w:ascii="Times New Roman" w:hAnsi="Times New Roman"/>
                <w:b/>
                <w:sz w:val="20"/>
              </w:rPr>
              <w:t>Nhận xét</w:t>
            </w:r>
          </w:p>
        </w:tc>
      </w:tr>
      <w:tr>
        <w:tc>
          <w:tcPr>
            <w:tcW w:type="dxa" w:w="2880"/>
          </w:tcPr>
          <w:p>
            <w:r/>
            <w:r>
              <w:rPr>
                <w:rFonts w:ascii="Times New Roman" w:hAnsi="Times New Roman"/>
                <w:sz w:val="20"/>
              </w:rPr>
              <w:t>Mental health PROMOTION (nâng cao)</w:t>
            </w:r>
          </w:p>
        </w:tc>
        <w:tc>
          <w:tcPr>
            <w:tcW w:type="dxa" w:w="2880"/>
          </w:tcPr>
          <w:p>
            <w:r/>
            <w:r>
              <w:rPr>
                <w:rFonts w:ascii="Times New Roman" w:hAnsi="Times New Roman"/>
                <w:sz w:val="20"/>
              </w:rPr>
              <w:t>3</w:t>
            </w:r>
          </w:p>
        </w:tc>
        <w:tc>
          <w:tcPr>
            <w:tcW w:type="dxa" w:w="2880"/>
          </w:tcPr>
          <w:p>
            <w:r/>
            <w:r>
              <w:rPr>
                <w:rFonts w:ascii="Times New Roman" w:hAnsi="Times New Roman"/>
                <w:sz w:val="20"/>
              </w:rPr>
              <w:t>RẤT ÍT — khoảng trống lớn</w:t>
            </w:r>
          </w:p>
        </w:tc>
      </w:tr>
      <w:tr>
        <w:tc>
          <w:tcPr>
            <w:tcW w:type="dxa" w:w="2880"/>
          </w:tcPr>
          <w:p>
            <w:r/>
            <w:r>
              <w:rPr>
                <w:rFonts w:ascii="Times New Roman" w:hAnsi="Times New Roman"/>
                <w:sz w:val="20"/>
              </w:rPr>
              <w:t>PREVENTION (phòng ngừa)</w:t>
            </w:r>
          </w:p>
        </w:tc>
        <w:tc>
          <w:tcPr>
            <w:tcW w:type="dxa" w:w="2880"/>
          </w:tcPr>
          <w:p>
            <w:r/>
            <w:r>
              <w:rPr>
                <w:rFonts w:ascii="Times New Roman" w:hAnsi="Times New Roman"/>
                <w:sz w:val="20"/>
              </w:rPr>
              <w:t>46</w:t>
            </w:r>
          </w:p>
        </w:tc>
        <w:tc>
          <w:tcPr>
            <w:tcW w:type="dxa" w:w="2880"/>
          </w:tcPr>
          <w:p>
            <w:r/>
            <w:r>
              <w:rPr>
                <w:rFonts w:ascii="Times New Roman" w:hAnsi="Times New Roman"/>
                <w:sz w:val="20"/>
              </w:rPr>
              <w:t>Chiếm đa số (2/3 tổng số)</w:t>
            </w:r>
          </w:p>
        </w:tc>
      </w:tr>
      <w:tr>
        <w:tc>
          <w:tcPr>
            <w:tcW w:type="dxa" w:w="2880"/>
          </w:tcPr>
          <w:p>
            <w:r/>
            <w:r>
              <w:rPr>
                <w:rFonts w:ascii="Times New Roman" w:hAnsi="Times New Roman"/>
                <w:sz w:val="20"/>
              </w:rPr>
              <w:t>RESPONSE / clinical management (đáp ứng – điều trị)</w:t>
            </w:r>
          </w:p>
        </w:tc>
        <w:tc>
          <w:tcPr>
            <w:tcW w:type="dxa" w:w="2880"/>
          </w:tcPr>
          <w:p>
            <w:r/>
            <w:r>
              <w:rPr>
                <w:rFonts w:ascii="Times New Roman" w:hAnsi="Times New Roman"/>
                <w:sz w:val="20"/>
              </w:rPr>
              <w:t>23</w:t>
            </w:r>
          </w:p>
        </w:tc>
        <w:tc>
          <w:tcPr>
            <w:tcW w:type="dxa" w:w="2880"/>
          </w:tcPr>
          <w:p>
            <w:r/>
            <w:r>
              <w:rPr>
                <w:rFonts w:ascii="Times New Roman" w:hAnsi="Times New Roman"/>
                <w:sz w:val="20"/>
              </w:rPr>
              <w:t>Vừa phải</w:t>
            </w:r>
          </w:p>
        </w:tc>
      </w:tr>
      <w:tr>
        <w:tc>
          <w:tcPr>
            <w:tcW w:type="dxa" w:w="2880"/>
          </w:tcPr>
          <w:p>
            <w:r/>
            <w:r>
              <w:rPr>
                <w:rFonts w:ascii="Times New Roman" w:hAnsi="Times New Roman"/>
                <w:sz w:val="20"/>
              </w:rPr>
              <w:t>Tổng</w:t>
            </w:r>
          </w:p>
        </w:tc>
        <w:tc>
          <w:tcPr>
            <w:tcW w:type="dxa" w:w="2880"/>
          </w:tcPr>
          <w:p>
            <w:r/>
            <w:r>
              <w:rPr>
                <w:rFonts w:ascii="Times New Roman" w:hAnsi="Times New Roman"/>
                <w:sz w:val="20"/>
              </w:rPr>
              <w:t>69 (một số NC đa mục tiêu)</w:t>
            </w:r>
          </w:p>
        </w:tc>
        <w:tc>
          <w:tcPr>
            <w:tcW w:type="dxa" w:w="2880"/>
          </w:tcPr>
          <w:p>
            <w:r/>
            <w:r>
              <w:rPr>
                <w:rFonts w:ascii="Times New Roman" w:hAnsi="Times New Roman"/>
                <w:sz w:val="20"/>
              </w:rPr>
              <w:t>—</w:t>
            </w:r>
          </w:p>
        </w:tc>
      </w:tr>
    </w:tbl>
    <w:p>
      <w:r>
        <w:rPr>
          <w:rFonts w:ascii="Times New Roman" w:hAnsi="Times New Roman"/>
          <w:b/>
        </w:rPr>
        <w:t>Phân bố địa lý:</w:t>
      </w:r>
    </w:p>
    <w:p>
      <w:r>
        <w:rPr>
          <w:rFonts w:ascii="Times New Roman" w:hAnsi="Times New Roman"/>
        </w:rPr>
        <w:t>• 62/69 nghiên cứu (~90 %) đến từ Trung Quốc và 4 quốc gia Đông Nam Á</w:t>
      </w:r>
    </w:p>
    <w:p>
      <w:r>
        <w:rPr>
          <w:rFonts w:ascii="Times New Roman" w:hAnsi="Times New Roman"/>
        </w:rPr>
        <w:t>• Chỉ 3/69 nghiên cứu (~4 %) đến từ các quốc gia Thái Bình Dương</w:t>
      </w:r>
    </w:p>
    <w:p>
      <w:r>
        <w:rPr>
          <w:rFonts w:ascii="Times New Roman" w:hAnsi="Times New Roman"/>
        </w:rPr>
        <w:t>• Đại diện tối thiểu từ các quốc gia nhỏ hơn và ít giàu hơn</w:t>
      </w:r>
    </w:p>
    <w:p>
      <w:r>
        <w:rPr>
          <w:rFonts w:ascii="Times New Roman" w:hAnsi="Times New Roman"/>
          <w:b/>
        </w:rPr>
        <w:t>Khoảng trống quan trọng:</w:t>
      </w:r>
    </w:p>
    <w:p>
      <w:r>
        <w:rPr>
          <w:rFonts w:ascii="Times New Roman" w:hAnsi="Times New Roman"/>
        </w:rPr>
        <w:t>• "Disproportionate focus on individual capacity prevention" — tập trung không cân xứng vào phòng ngừa cấp cá nhân</w:t>
      </w:r>
    </w:p>
    <w:p>
      <w:r>
        <w:rPr>
          <w:rFonts w:ascii="Times New Roman" w:hAnsi="Times New Roman"/>
        </w:rPr>
        <w:t>• Thiếu đầu tư vào:</w:t>
      </w:r>
    </w:p>
    <w:p>
      <w:r>
        <w:rPr>
          <w:rFonts w:ascii="Times New Roman" w:hAnsi="Times New Roman"/>
        </w:rPr>
        <w:t xml:space="preserve">   – Cách tiếp cận nâng cao ở cấp cộng đồng và chính sách (community-level, policy-based promotion)</w:t>
      </w:r>
    </w:p>
    <w:p>
      <w:r>
        <w:rPr>
          <w:rFonts w:ascii="Times New Roman" w:hAnsi="Times New Roman"/>
        </w:rPr>
        <w:t xml:space="preserve">   – Các chiến lược phòng ngừa tập trung vào gia đình và bạn bè (family/peer-centered prevention)</w:t>
      </w:r>
    </w:p>
    <w:p>
      <w:r>
        <w:rPr>
          <w:rFonts w:ascii="Times New Roman" w:hAnsi="Times New Roman"/>
        </w:rPr>
        <w:t xml:space="preserve">   – Dịch vụ đáp ứng/điều trị dài hạn (long-term response/treatment)</w:t>
      </w:r>
    </w:p>
    <w:p>
      <w:r>
        <w:rPr>
          <w:rFonts w:ascii="Times New Roman" w:hAnsi="Times New Roman"/>
          <w:b/>
          <w:color w:val="2E548B"/>
          <w:sz w:val="24"/>
        </w:rPr>
        <w:t>II.5. Kết luận</w:t>
      </w:r>
    </w:p>
    <w:p>
      <w:r>
        <w:rPr>
          <w:rFonts w:ascii="Times New Roman" w:hAnsi="Times New Roman"/>
        </w:rPr>
        <w:t>Cải thiện kết cục SKTT ở trẻ em và VTN đòi hỏi phải giải quyết các khoảng trống chương trình đáng kể và mở rộng phạm vi địa lý ra ngoài các khu vực hiện được nghiên cứu. Các tác giả khuyến nghị đầu tư mạnh mẽ hơn vào promotion, community-level, family/peer-centered prevention, và long-term response services.</w:t>
      </w:r>
    </w:p>
    <w:p>
      <w:r>
        <w:rPr>
          <w:rFonts w:ascii="Times New Roman" w:hAnsi="Times New Roman"/>
          <w:b/>
          <w:color w:val="2E548B"/>
          <w:sz w:val="24"/>
        </w:rPr>
        <w:t>II.6. Hạn chế (nội dung abstract + công bố)</w:t>
      </w:r>
    </w:p>
    <w:p>
      <w:r>
        <w:rPr>
          <w:rFonts w:ascii="Times New Roman" w:hAnsi="Times New Roman"/>
        </w:rPr>
        <w:t>• Scoping review không có meta-analysis — không định lượng hiệu quả.</w:t>
      </w:r>
    </w:p>
    <w:p>
      <w:r>
        <w:rPr>
          <w:rFonts w:ascii="Times New Roman" w:hAnsi="Times New Roman"/>
        </w:rPr>
        <w:t>• Dữ liệu đến 2021 — không bao phủ hậu COVID đầy đủ.</w:t>
      </w:r>
    </w:p>
    <w:p>
      <w:r>
        <w:rPr>
          <w:rFonts w:ascii="Times New Roman" w:hAnsi="Times New Roman"/>
        </w:rPr>
        <w:t>• Không đánh giá chất lượng RCT theo Cochrane RoB.</w:t>
      </w:r>
    </w:p>
    <w:p>
      <w:r>
        <w:rPr>
          <w:rFonts w:ascii="Times New Roman" w:hAnsi="Times New Roman"/>
        </w:rPr>
      </w:r>
    </w:p>
    <w:p>
      <w:r>
        <w:rPr>
          <w:rFonts w:ascii="Times New Roman" w:hAnsi="Times New Roman"/>
          <w:b/>
          <w:color w:val="1F3A68"/>
          <w:sz w:val="26"/>
        </w:rPr>
        <w:t>III. INVENTORY HÌNH/BẢNG (mô tả)</w:t>
      </w:r>
    </w:p>
    <w:p>
      <w:r>
        <w:rPr>
          <w:rFonts w:ascii="Times New Roman" w:hAnsi="Times New Roman"/>
        </w:rPr>
        <w:t>Theo chuẩn APJPH cho scoping review PRISMA-ScR:</w:t>
      </w:r>
    </w:p>
    <w:p>
      <w:r>
        <w:rPr>
          <w:rFonts w:ascii="Times New Roman" w:hAnsi="Times New Roman"/>
        </w:rPr>
        <w:t>• Figure 1: PRISMA-ScR flow diagram</w:t>
      </w:r>
    </w:p>
    <w:p>
      <w:r>
        <w:rPr>
          <w:rFonts w:ascii="Times New Roman" w:hAnsi="Times New Roman"/>
        </w:rPr>
        <w:t>• Figure 2: Map — phân bố địa lý 69 NC theo quốc gia (có thể world map với bubbles)</w:t>
      </w:r>
    </w:p>
    <w:p>
      <w:r>
        <w:rPr>
          <w:rFonts w:ascii="Times New Roman" w:hAnsi="Times New Roman"/>
        </w:rPr>
        <w:t>• Figure 3: Breakdown theo mục tiêu (promotion/prevention/response)</w:t>
      </w:r>
    </w:p>
    <w:p>
      <w:r>
        <w:rPr>
          <w:rFonts w:ascii="Times New Roman" w:hAnsi="Times New Roman"/>
        </w:rPr>
        <w:t>• Table 1: Đặc điểm 69 NC (tác giả, năm, nước, thiết kế, n, can thiệp, outcomes)</w:t>
      </w:r>
    </w:p>
    <w:p>
      <w:r>
        <w:rPr>
          <w:rFonts w:ascii="Times New Roman" w:hAnsi="Times New Roman"/>
        </w:rPr>
        <w:t>• Table 2: Categorization matrix (location × method × target)</w:t>
      </w:r>
    </w:p>
    <w:p>
      <w:r>
        <w:rPr>
          <w:rFonts w:ascii="Times New Roman" w:hAnsi="Times New Roman"/>
        </w:rPr>
        <w:t>• Table 3: Gap analysis summary</w:t>
      </w:r>
    </w:p>
    <w:p>
      <w:r>
        <w:rPr>
          <w:rFonts w:ascii="Times New Roman" w:hAnsi="Times New Roman"/>
        </w:rPr>
        <w:t>• Supplementary: full list 69 NC, search strings</w:t>
      </w:r>
    </w:p>
    <w:p>
      <w:r>
        <w:rPr>
          <w:rFonts w:ascii="Times New Roman" w:hAnsi="Times New Roman"/>
          <w:i/>
        </w:rPr>
        <w:t>→ Toàn văn tại SAGE Journals (paywall).</w:t>
      </w:r>
    </w:p>
    <w:p>
      <w:r>
        <w:rPr>
          <w:rFonts w:ascii="Times New Roman" w:hAnsi="Times New Roman"/>
        </w:rPr>
      </w:r>
    </w:p>
    <w:p>
      <w:r>
        <w:rPr>
          <w:rFonts w:ascii="Times New Roman" w:hAnsi="Times New Roman"/>
          <w:b/>
          <w:color w:val="C00000"/>
          <w:sz w:val="26"/>
        </w:rPr>
        <w:t>IV. PHẢN BIỆN CHI TIẾT (7-section framework)</w:t>
      </w:r>
    </w:p>
    <w:p>
      <w:r>
        <w:rPr>
          <w:rFonts w:ascii="Times New Roman" w:hAnsi="Times New Roman"/>
          <w:b/>
          <w:color w:val="C00000"/>
          <w:sz w:val="24"/>
        </w:rPr>
        <w:t>PHẦN I — Bối cảnh &amp; vị trí</w:t>
      </w:r>
    </w:p>
    <w:p>
      <w:r>
        <w:rPr>
          <w:rFonts w:ascii="Times New Roman" w:hAnsi="Times New Roman"/>
          <w:color w:val="C00000"/>
        </w:rPr>
        <w:t>Menon và cộng sự 2025 là một scoping review TOÀN DIỆN nhất hiện có về can thiệp MHPSS cho trẻ em – VTN tại Đông Á – Thái Bình Dương LMIC. Bài này cung cấp cái nhìn "bird's eye view" thiết yếu cho các researcher và policy-maker muốn triển khai can thiệp tại khu vực. Bổ sung với các review trước về LMIC toàn cầu (Barry et al. 2013 khung bên ngoài; Singla et al. 2017 Lancet Psychiatry khung bên ngoài), Menon 2025 focus regional tốt hơn.</w:t>
      </w:r>
    </w:p>
    <w:p>
      <w:r>
        <w:rPr>
          <w:rFonts w:ascii="Times New Roman" w:hAnsi="Times New Roman"/>
          <w:b/>
          <w:color w:val="C00000"/>
          <w:sz w:val="24"/>
        </w:rPr>
        <w:t>PHẦN II — Điểm mạnh</w:t>
      </w:r>
    </w:p>
    <w:p>
      <w:r>
        <w:rPr>
          <w:rFonts w:ascii="Times New Roman" w:hAnsi="Times New Roman"/>
          <w:b/>
          <w:color w:val="C00000"/>
        </w:rPr>
        <w:t>1. Scoping review method đúng chuẩn PRISMA-ScR</w:t>
      </w:r>
    </w:p>
    <w:p>
      <w:r>
        <w:rPr>
          <w:rFonts w:ascii="Times New Roman" w:hAnsi="Times New Roman"/>
          <w:color w:val="C00000"/>
        </w:rPr>
        <w:t>Scoping review phù hợp cho câu hỏi "what is the extent of evidence" thay vì "does X work". Tác giả tuân PRISMA-ScR (Tricco et al. 2018 khung bên ngoài refs) đảm bảo transparency.</w:t>
      </w:r>
    </w:p>
    <w:p>
      <w:r>
        <w:rPr>
          <w:rFonts w:ascii="Times New Roman" w:hAnsi="Times New Roman"/>
          <w:b/>
          <w:color w:val="C00000"/>
        </w:rPr>
        <w:t>2. Phân loại 3 trục (location × method × target)</w:t>
      </w:r>
    </w:p>
    <w:p>
      <w:r>
        <w:rPr>
          <w:rFonts w:ascii="Times New Roman" w:hAnsi="Times New Roman"/>
          <w:color w:val="C00000"/>
        </w:rPr>
        <w:t>Matrix này cung cấp khung đánh giá comprehensive. Location giúp identify gap về delivery setting (community vs school vs health facility); target giúp thấy rõ lệch pha giữa promotion/prevention/response.</w:t>
      </w:r>
    </w:p>
    <w:p>
      <w:r>
        <w:rPr>
          <w:rFonts w:ascii="Times New Roman" w:hAnsi="Times New Roman"/>
          <w:b/>
          <w:color w:val="C00000"/>
        </w:rPr>
        <w:t>3. Xác định 3 GAP CỤ THỂ</w:t>
      </w:r>
    </w:p>
    <w:p>
      <w:r>
        <w:rPr>
          <w:rFonts w:ascii="Times New Roman" w:hAnsi="Times New Roman"/>
          <w:color w:val="C00000"/>
        </w:rPr>
        <w:t>Không chỉ mô tả "what is" mà còn "what is missing". 3 gap (promotion, family/peer prevention, long-term response) actionable cho đề cương và policy.</w:t>
      </w:r>
    </w:p>
    <w:p>
      <w:r>
        <w:rPr>
          <w:rFonts w:ascii="Times New Roman" w:hAnsi="Times New Roman"/>
          <w:b/>
          <w:color w:val="C00000"/>
        </w:rPr>
        <w:t>4. Uy tín thể chế: Burnet Institute + Murdoch Children's Research Institute</w:t>
      </w:r>
    </w:p>
    <w:p>
      <w:r>
        <w:rPr>
          <w:rFonts w:ascii="Times New Roman" w:hAnsi="Times New Roman"/>
          <w:color w:val="C00000"/>
        </w:rPr>
        <w:t>Burnet và MCRI là viện nghiên cứu global health hàng đầu tại Úc. Peter Azzopardi (senior author) là Lancet Commission member, co-chair adolescent health global framework. Credibility rất cao.</w:t>
      </w:r>
    </w:p>
    <w:p>
      <w:r>
        <w:rPr>
          <w:rFonts w:ascii="Times New Roman" w:hAnsi="Times New Roman"/>
          <w:b/>
          <w:color w:val="C00000"/>
        </w:rPr>
        <w:t>5. Librarian-led search (Lorena Romero, Ian Potter Library)</w:t>
      </w:r>
    </w:p>
    <w:p>
      <w:r>
        <w:rPr>
          <w:rFonts w:ascii="Times New Roman" w:hAnsi="Times New Roman"/>
          <w:color w:val="C00000"/>
        </w:rPr>
        <w:t>Có librarian trong team tăng chất lượng search strategy — best practice cho SR.</w:t>
      </w:r>
    </w:p>
    <w:p>
      <w:r>
        <w:rPr>
          <w:rFonts w:ascii="Times New Roman" w:hAnsi="Times New Roman"/>
          <w:b/>
          <w:color w:val="C00000"/>
          <w:sz w:val="24"/>
        </w:rPr>
        <w:t>PHẦN III — Hạn chế (phản biện sâu)</w:t>
      </w:r>
    </w:p>
    <w:p>
      <w:r>
        <w:rPr>
          <w:rFonts w:ascii="Times New Roman" w:hAnsi="Times New Roman"/>
          <w:b/>
          <w:color w:val="C00000"/>
        </w:rPr>
        <w:t>1. 4 CSDL CHƯA ĐỦ cho khu vực Đông Á</w:t>
      </w:r>
    </w:p>
    <w:p>
      <w:r>
        <w:rPr>
          <w:rFonts w:ascii="Times New Roman" w:hAnsi="Times New Roman"/>
          <w:color w:val="C00000"/>
        </w:rPr>
        <w:t>Để bắt đầy đủ bằng chứng khu vực, cần các CSDL khu vực như CNKI (TQ), Korea MED, CiNii (Japan), tài liệu xám quốc gia. Abstract không nêu các DB cụ thể — có thể chỉ PubMed, Embase, CINAHL, PsycINFO (bỏ sót nhiều NC tiếng địa phương).</w:t>
      </w:r>
    </w:p>
    <w:p>
      <w:r>
        <w:rPr>
          <w:rFonts w:ascii="Times New Roman" w:hAnsi="Times New Roman"/>
          <w:b/>
          <w:color w:val="C00000"/>
        </w:rPr>
        <w:t>2. Dữ liệu dừng 2021 — không cập nhật</w:t>
      </w:r>
    </w:p>
    <w:p>
      <w:r>
        <w:rPr>
          <w:rFonts w:ascii="Times New Roman" w:hAnsi="Times New Roman"/>
          <w:color w:val="C00000"/>
        </w:rPr>
        <w:t>Publish 2025 nhưng search kết thúc 2021 — 4 năm data gap. COVID-19 có tác động lớn đến MHPSS research 2021–2024, đặc biệt digital/online interventions → Menon 2025 miss phần này.</w:t>
      </w:r>
    </w:p>
    <w:p>
      <w:r>
        <w:rPr>
          <w:rFonts w:ascii="Times New Roman" w:hAnsi="Times New Roman"/>
          <w:b/>
          <w:color w:val="C00000"/>
        </w:rPr>
        <w:t>3. Scoping review KHÔNG đánh giá hiệu quả</w:t>
      </w:r>
    </w:p>
    <w:p>
      <w:r>
        <w:rPr>
          <w:rFonts w:ascii="Times New Roman" w:hAnsi="Times New Roman"/>
          <w:color w:val="C00000"/>
        </w:rPr>
        <w:t>Chỉ count + categorize. Không biết hiệu ứng các can thiệp là lớn hay nhỏ. Policy-maker cần thêm data từ meta-analyses.</w:t>
      </w:r>
    </w:p>
    <w:p>
      <w:r>
        <w:rPr>
          <w:rFonts w:ascii="Times New Roman" w:hAnsi="Times New Roman"/>
          <w:b/>
          <w:color w:val="C00000"/>
        </w:rPr>
        <w:t>4. Thiếu cân bằng địa lý nghiêm trọng</w:t>
      </w:r>
    </w:p>
    <w:p>
      <w:r>
        <w:rPr>
          <w:rFonts w:ascii="Times New Roman" w:hAnsi="Times New Roman"/>
          <w:color w:val="C00000"/>
        </w:rPr>
        <w:t>62/69 (90 %) từ TQ + 4 ĐNA → không đại diện cho khu vực 12+ quốc gia. VN có thể là 1 trong 4 ĐNA, nhưng số NC cụ thể từng nước không được trong abstract.</w:t>
      </w:r>
    </w:p>
    <w:p>
      <w:r>
        <w:rPr>
          <w:rFonts w:ascii="Times New Roman" w:hAnsi="Times New Roman"/>
          <w:b/>
          <w:color w:val="C00000"/>
        </w:rPr>
        <w:t>5. Định nghĩa "promotion/prevention/response" có thể ambiguous</w:t>
      </w:r>
    </w:p>
    <w:p>
      <w:r>
        <w:rPr>
          <w:rFonts w:ascii="Times New Roman" w:hAnsi="Times New Roman"/>
          <w:color w:val="C00000"/>
        </w:rPr>
        <w:t>1 can thiệp có thể đồng thời là prevention VÀ response. Cách tác giả dispatch 69 NC vào 3 categories không công bố trong abstract → reproducibility hạn chế.</w:t>
      </w:r>
    </w:p>
    <w:p>
      <w:r>
        <w:rPr>
          <w:rFonts w:ascii="Times New Roman" w:hAnsi="Times New Roman"/>
          <w:b/>
          <w:color w:val="C00000"/>
        </w:rPr>
        <w:t>6. Không công bố độ tin cậy liên phán đoán (IRR) cho categorization</w:t>
      </w:r>
    </w:p>
    <w:p>
      <w:r>
        <w:rPr>
          <w:rFonts w:ascii="Times New Roman" w:hAnsi="Times New Roman"/>
          <w:color w:val="C00000"/>
        </w:rPr>
        <w:t>PRISMA-ScR khuyến nghị ≥ 2 reviewers code từng bài độc lập. Abstract không nêu — cần full paper verify.</w:t>
      </w:r>
    </w:p>
    <w:p>
      <w:r>
        <w:rPr>
          <w:rFonts w:ascii="Times New Roman" w:hAnsi="Times New Roman"/>
          <w:b/>
          <w:color w:val="C00000"/>
        </w:rPr>
        <w:t>7. Không có breakdown theo VN cụ thể</w:t>
      </w:r>
    </w:p>
    <w:p>
      <w:r>
        <w:rPr>
          <w:rFonts w:ascii="Times New Roman" w:hAnsi="Times New Roman"/>
          <w:color w:val="C00000"/>
        </w:rPr>
        <w:t>Không biết bao nhiêu NC VN được include. Có thể nằm trong "4 quốc gia ĐNA" nhưng không rõ ratio. Quan trọng cho đề cương VN baseline.</w:t>
      </w:r>
    </w:p>
    <w:p>
      <w:r>
        <w:rPr>
          <w:rFonts w:ascii="Times New Roman" w:hAnsi="Times New Roman"/>
          <w:b/>
          <w:color w:val="C00000"/>
        </w:rPr>
        <w:t>8. LMIC definition cứng (World Bank)</w:t>
      </w:r>
    </w:p>
    <w:p>
      <w:r>
        <w:rPr>
          <w:rFonts w:ascii="Times New Roman" w:hAnsi="Times New Roman"/>
          <w:color w:val="C00000"/>
        </w:rPr>
        <w:t>World Bank reclassify hàng năm (VN vừa upper-middle income từ 2009). Scope loosen nếu include "recent upper-middle" có thể khác.</w:t>
      </w:r>
    </w:p>
    <w:p>
      <w:r>
        <w:rPr>
          <w:rFonts w:ascii="Times New Roman" w:hAnsi="Times New Roman"/>
          <w:b/>
          <w:color w:val="C00000"/>
          <w:sz w:val="24"/>
        </w:rPr>
        <w:t>PHẦN IV — Số liệu then chốt (verified)</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0"/>
              </w:rPr>
              <w:t>Chỉ số</w:t>
            </w:r>
          </w:p>
        </w:tc>
        <w:tc>
          <w:tcPr>
            <w:tcW w:type="dxa" w:w="2880"/>
            <w:shd w:fill="D9E1F2"/>
          </w:tcPr>
          <w:p>
            <w:r/>
            <w:r>
              <w:rPr>
                <w:rFonts w:ascii="Times New Roman" w:hAnsi="Times New Roman"/>
                <w:b/>
                <w:sz w:val="20"/>
              </w:rPr>
              <w:t>Giá trị</w:t>
            </w:r>
          </w:p>
        </w:tc>
        <w:tc>
          <w:tcPr>
            <w:tcW w:type="dxa" w:w="2880"/>
            <w:shd w:fill="D9E1F2"/>
          </w:tcPr>
          <w:p>
            <w:r/>
            <w:r>
              <w:rPr>
                <w:rFonts w:ascii="Times New Roman" w:hAnsi="Times New Roman"/>
                <w:b/>
                <w:sz w:val="20"/>
              </w:rPr>
              <w:t>Nguồn verify</w:t>
            </w:r>
          </w:p>
        </w:tc>
      </w:tr>
      <w:tr>
        <w:tc>
          <w:tcPr>
            <w:tcW w:type="dxa" w:w="2880"/>
          </w:tcPr>
          <w:p>
            <w:r/>
            <w:r>
              <w:rPr>
                <w:rFonts w:ascii="Times New Roman" w:hAnsi="Times New Roman"/>
                <w:sz w:val="20"/>
              </w:rPr>
              <w:t>Tổng NC</w:t>
            </w:r>
          </w:p>
        </w:tc>
        <w:tc>
          <w:tcPr>
            <w:tcW w:type="dxa" w:w="2880"/>
          </w:tcPr>
          <w:p>
            <w:r/>
            <w:r>
              <w:rPr>
                <w:rFonts w:ascii="Times New Roman" w:hAnsi="Times New Roman"/>
                <w:sz w:val="20"/>
              </w:rPr>
              <w:t>69</w:t>
            </w:r>
          </w:p>
        </w:tc>
        <w:tc>
          <w:tcPr>
            <w:tcW w:type="dxa" w:w="2880"/>
          </w:tcPr>
          <w:p>
            <w:r/>
            <w:r>
              <w:rPr>
                <w:rFonts w:ascii="Times New Roman" w:hAnsi="Times New Roman"/>
                <w:sz w:val="20"/>
              </w:rPr>
              <w:t>Abstract SAGE + PubMed 39927577</w:t>
            </w:r>
          </w:p>
        </w:tc>
      </w:tr>
      <w:tr>
        <w:tc>
          <w:tcPr>
            <w:tcW w:type="dxa" w:w="2880"/>
          </w:tcPr>
          <w:p>
            <w:r/>
            <w:r>
              <w:rPr>
                <w:rFonts w:ascii="Times New Roman" w:hAnsi="Times New Roman"/>
                <w:sz w:val="20"/>
              </w:rPr>
              <w:t>Quốc gia bao phủ</w:t>
            </w:r>
          </w:p>
        </w:tc>
        <w:tc>
          <w:tcPr>
            <w:tcW w:type="dxa" w:w="2880"/>
          </w:tcPr>
          <w:p>
            <w:r/>
            <w:r>
              <w:rPr>
                <w:rFonts w:ascii="Times New Roman" w:hAnsi="Times New Roman"/>
                <w:sz w:val="20"/>
              </w:rPr>
              <w:t>12</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RCT</w:t>
            </w:r>
          </w:p>
        </w:tc>
        <w:tc>
          <w:tcPr>
            <w:tcW w:type="dxa" w:w="2880"/>
          </w:tcPr>
          <w:p>
            <w:r/>
            <w:r>
              <w:rPr>
                <w:rFonts w:ascii="Times New Roman" w:hAnsi="Times New Roman"/>
                <w:sz w:val="20"/>
              </w:rPr>
              <w:t>32</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Before-after</w:t>
            </w:r>
          </w:p>
        </w:tc>
        <w:tc>
          <w:tcPr>
            <w:tcW w:type="dxa" w:w="2880"/>
          </w:tcPr>
          <w:p>
            <w:r/>
            <w:r>
              <w:rPr>
                <w:rFonts w:ascii="Times New Roman" w:hAnsi="Times New Roman"/>
                <w:sz w:val="20"/>
              </w:rPr>
              <w:t>31</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Post-intervention</w:t>
            </w:r>
          </w:p>
        </w:tc>
        <w:tc>
          <w:tcPr>
            <w:tcW w:type="dxa" w:w="2880"/>
          </w:tcPr>
          <w:p>
            <w:r/>
            <w:r>
              <w:rPr>
                <w:rFonts w:ascii="Times New Roman" w:hAnsi="Times New Roman"/>
                <w:sz w:val="20"/>
              </w:rPr>
              <w:t>6</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Promotion studies</w:t>
            </w:r>
          </w:p>
        </w:tc>
        <w:tc>
          <w:tcPr>
            <w:tcW w:type="dxa" w:w="2880"/>
          </w:tcPr>
          <w:p>
            <w:r/>
            <w:r>
              <w:rPr>
                <w:rFonts w:ascii="Times New Roman" w:hAnsi="Times New Roman"/>
                <w:sz w:val="20"/>
              </w:rPr>
              <w:t>3</w:t>
            </w:r>
          </w:p>
        </w:tc>
        <w:tc>
          <w:tcPr>
            <w:tcW w:type="dxa" w:w="2880"/>
          </w:tcPr>
          <w:p>
            <w:r/>
            <w:r>
              <w:rPr>
                <w:rFonts w:ascii="Times New Roman" w:hAnsi="Times New Roman"/>
                <w:sz w:val="20"/>
              </w:rPr>
              <w:t>Abstract (gap flag)</w:t>
            </w:r>
          </w:p>
        </w:tc>
      </w:tr>
      <w:tr>
        <w:tc>
          <w:tcPr>
            <w:tcW w:type="dxa" w:w="2880"/>
          </w:tcPr>
          <w:p>
            <w:r/>
            <w:r>
              <w:rPr>
                <w:rFonts w:ascii="Times New Roman" w:hAnsi="Times New Roman"/>
                <w:sz w:val="20"/>
              </w:rPr>
              <w:t>Prevention studies</w:t>
            </w:r>
          </w:p>
        </w:tc>
        <w:tc>
          <w:tcPr>
            <w:tcW w:type="dxa" w:w="2880"/>
          </w:tcPr>
          <w:p>
            <w:r/>
            <w:r>
              <w:rPr>
                <w:rFonts w:ascii="Times New Roman" w:hAnsi="Times New Roman"/>
                <w:sz w:val="20"/>
              </w:rPr>
              <w:t>46</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Response studies</w:t>
            </w:r>
          </w:p>
        </w:tc>
        <w:tc>
          <w:tcPr>
            <w:tcW w:type="dxa" w:w="2880"/>
          </w:tcPr>
          <w:p>
            <w:r/>
            <w:r>
              <w:rPr>
                <w:rFonts w:ascii="Times New Roman" w:hAnsi="Times New Roman"/>
                <w:sz w:val="20"/>
              </w:rPr>
              <w:t>23</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NC từ TQ + 4 ĐNA</w:t>
            </w:r>
          </w:p>
        </w:tc>
        <w:tc>
          <w:tcPr>
            <w:tcW w:type="dxa" w:w="2880"/>
          </w:tcPr>
          <w:p>
            <w:r/>
            <w:r>
              <w:rPr>
                <w:rFonts w:ascii="Times New Roman" w:hAnsi="Times New Roman"/>
                <w:sz w:val="20"/>
              </w:rPr>
              <w:t>62/69 (~90 %)</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NC từ Pacific nations</w:t>
            </w:r>
          </w:p>
        </w:tc>
        <w:tc>
          <w:tcPr>
            <w:tcW w:type="dxa" w:w="2880"/>
          </w:tcPr>
          <w:p>
            <w:r/>
            <w:r>
              <w:rPr>
                <w:rFonts w:ascii="Times New Roman" w:hAnsi="Times New Roman"/>
                <w:sz w:val="20"/>
              </w:rPr>
              <w:t>3/69 (~4 %)</w:t>
            </w:r>
          </w:p>
        </w:tc>
        <w:tc>
          <w:tcPr>
            <w:tcW w:type="dxa" w:w="2880"/>
          </w:tcPr>
          <w:p>
            <w:r/>
            <w:r>
              <w:rPr>
                <w:rFonts w:ascii="Times New Roman" w:hAnsi="Times New Roman"/>
                <w:sz w:val="20"/>
              </w:rPr>
              <w:t>Abstract</w:t>
            </w:r>
          </w:p>
        </w:tc>
      </w:tr>
      <w:tr>
        <w:tc>
          <w:tcPr>
            <w:tcW w:type="dxa" w:w="2880"/>
          </w:tcPr>
          <w:p>
            <w:r/>
            <w:r>
              <w:rPr>
                <w:rFonts w:ascii="Times New Roman" w:hAnsi="Times New Roman"/>
                <w:sz w:val="20"/>
              </w:rPr>
              <w:t>Search end</w:t>
            </w:r>
          </w:p>
        </w:tc>
        <w:tc>
          <w:tcPr>
            <w:tcW w:type="dxa" w:w="2880"/>
          </w:tcPr>
          <w:p>
            <w:r/>
            <w:r>
              <w:rPr>
                <w:rFonts w:ascii="Times New Roman" w:hAnsi="Times New Roman"/>
                <w:sz w:val="20"/>
              </w:rPr>
              <w:t>2021</w:t>
            </w:r>
          </w:p>
        </w:tc>
        <w:tc>
          <w:tcPr>
            <w:tcW w:type="dxa" w:w="2880"/>
          </w:tcPr>
          <w:p>
            <w:r/>
            <w:r>
              <w:rPr>
                <w:rFonts w:ascii="Times New Roman" w:hAnsi="Times New Roman"/>
                <w:sz w:val="20"/>
              </w:rPr>
              <w:t>Abstract</w:t>
            </w:r>
          </w:p>
        </w:tc>
      </w:tr>
    </w:tbl>
    <w:p>
      <w:r>
        <w:rPr>
          <w:rFonts w:ascii="Times New Roman" w:hAnsi="Times New Roman"/>
          <w:b/>
          <w:color w:val="C00000"/>
          <w:sz w:val="24"/>
        </w:rPr>
        <w:t>PHẦN V — Đối chiếu liên bài</w:t>
      </w:r>
    </w:p>
    <w:p>
      <w:r>
        <w:rPr>
          <w:rFonts w:ascii="Times New Roman" w:hAnsi="Times New Roman"/>
          <w:b/>
          <w:color w:val="C00000"/>
        </w:rPr>
        <w:t>QT037 (Praptomojati &amp; Hartanto 2024 — SEA CA-CBT SR)</w:t>
      </w:r>
    </w:p>
    <w:p>
      <w:r>
        <w:rPr>
          <w:rFonts w:ascii="Times New Roman" w:hAnsi="Times New Roman"/>
          <w:color w:val="C00000"/>
        </w:rPr>
        <w:t>QT037 focus hẹp: 7 NC CA-CBT rối loạn lo âu ĐNA. Menon 2025 rộng hơn: 69 NC MHPSS mọi loại Đông Á – TBD. Hai bài bổ sung: QT037 cho biết chi tiết CA-CBT anxiety; QT051 cho biết landscape toàn khu vực.</w:t>
      </w:r>
    </w:p>
    <w:p>
      <w:r>
        <w:rPr>
          <w:rFonts w:ascii="Times New Roman" w:hAnsi="Times New Roman"/>
          <w:b/>
          <w:color w:val="C00000"/>
        </w:rPr>
        <w:t>QT038 (De Silva 2024 Sri Lanka cluster RCT)</w:t>
      </w:r>
    </w:p>
    <w:p>
      <w:r>
        <w:rPr>
          <w:rFonts w:ascii="Times New Roman" w:hAnsi="Times New Roman"/>
          <w:color w:val="C00000"/>
        </w:rPr>
        <w:t>Sri Lanka KHÔNG thuộc Đông Á – TBD (thuộc South Asia) → không phải trong 12 quốc gia của Menon 2025. Nhưng là RCT LMIC gần khu vực — comparator hữu ích.</w:t>
      </w:r>
    </w:p>
    <w:p>
      <w:r>
        <w:rPr>
          <w:rFonts w:ascii="Times New Roman" w:hAnsi="Times New Roman"/>
          <w:b/>
          <w:color w:val="C00000"/>
        </w:rPr>
        <w:t>QT048 (Chen 2025 COVID meta 141 NC)</w:t>
      </w:r>
    </w:p>
    <w:p>
      <w:r>
        <w:rPr>
          <w:rFonts w:ascii="Times New Roman" w:hAnsi="Times New Roman"/>
          <w:color w:val="C00000"/>
        </w:rPr>
        <w:t>Chen 2025 focus risk/protective factors, toàn cầu. Menon 2025 focus intervention efficacy, Đông Á – TBD. Hai bài bổ sung: Chen chỉ ra factors → Menon gợi ý intervention targets.</w:t>
      </w:r>
    </w:p>
    <w:p>
      <w:r>
        <w:rPr>
          <w:rFonts w:ascii="Times New Roman" w:hAnsi="Times New Roman"/>
          <w:b/>
          <w:color w:val="C00000"/>
        </w:rPr>
        <w:t>VN030 (Happy House Tran 2023 Hà Nội)</w:t>
      </w:r>
    </w:p>
    <w:p>
      <w:r>
        <w:rPr>
          <w:rFonts w:ascii="Times New Roman" w:hAnsi="Times New Roman"/>
          <w:color w:val="C00000"/>
        </w:rPr>
        <w:t>Happy House publish 2023 → CÓ THỂ được include trong Menon 2025 (search end 2021 — có lẽ không). Nếu VN có ít nghiên cứu MHPSS evaluated, Happy House là contribution quan trọng.</w:t>
      </w:r>
    </w:p>
    <w:p>
      <w:r>
        <w:rPr>
          <w:rFonts w:ascii="Times New Roman" w:hAnsi="Times New Roman"/>
          <w:b/>
          <w:color w:val="C00000"/>
        </w:rPr>
        <w:t>VN022 (UNICEF 2022 School Factors)</w:t>
      </w:r>
    </w:p>
    <w:p>
      <w:r>
        <w:rPr>
          <w:rFonts w:ascii="Times New Roman" w:hAnsi="Times New Roman"/>
          <w:color w:val="C00000"/>
        </w:rPr>
        <w:t>Không phải intervention study nên không trong scope Menon 2025. Nhưng bổ sung landscape: VN022 mô tả risk factors trường học cho VTN VN → can thiệp Menon pattern có thể target các factors này.</w:t>
      </w:r>
    </w:p>
    <w:p>
      <w:r>
        <w:rPr>
          <w:rFonts w:ascii="Times New Roman" w:hAnsi="Times New Roman"/>
          <w:b/>
          <w:color w:val="C00000"/>
          <w:sz w:val="24"/>
        </w:rPr>
        <w:t>PHẦN VI — Bối cảnh khu vực</w:t>
      </w:r>
    </w:p>
    <w:p>
      <w:r>
        <w:rPr>
          <w:rFonts w:ascii="Times New Roman" w:hAnsi="Times New Roman"/>
          <w:color w:val="C00000"/>
        </w:rPr>
        <w:t>12 quốc gia Đông Á – Thái Bình Dương LMIC theo World Bank định nghĩa include: China (upper-middle), Vietnam, Thailand, Indonesia, Philippines, Malaysia (upper-middle), Cambodia, Laos, Myanmar, Timor-Leste, Mongolia, Papua New Guinea, các đảo quốc Pacific (Fiji, Tonga, Samoa...). 62/69 từ TQ + 4 ĐNA → có lẽ là TQ, VN, Indonesia, Thailand, Philippines. VN chắc chắn có NC được include nhưng số lượng không rõ.</w:t>
      </w:r>
    </w:p>
    <w:p>
      <w:r>
        <w:rPr>
          <w:rFonts w:ascii="Times New Roman" w:hAnsi="Times New Roman"/>
          <w:b/>
          <w:color w:val="C00000"/>
          <w:sz w:val="24"/>
        </w:rPr>
        <w:t>PHẦN VII — Hướng NC tiếp</w:t>
      </w:r>
    </w:p>
    <w:p>
      <w:r>
        <w:rPr>
          <w:rFonts w:ascii="Times New Roman" w:hAnsi="Times New Roman"/>
          <w:color w:val="C00000"/>
        </w:rPr>
        <w:t>1. Update Menon 2025 với data 2022–2025 — post-COVID research + digital MHPSS.</w:t>
      </w:r>
    </w:p>
    <w:p>
      <w:r>
        <w:rPr>
          <w:rFonts w:ascii="Times New Roman" w:hAnsi="Times New Roman"/>
          <w:color w:val="C00000"/>
        </w:rPr>
        <w:t>2. Country-specific subanalysis — đặc biệt VN để biết số NC và landscape.</w:t>
      </w:r>
    </w:p>
    <w:p>
      <w:r>
        <w:rPr>
          <w:rFonts w:ascii="Times New Roman" w:hAnsi="Times New Roman"/>
          <w:color w:val="C00000"/>
        </w:rPr>
        <w:t>3. Meta-analysis các RCT trong Menon 2025 (32 RCT đủ cho pooled estimates).</w:t>
      </w:r>
    </w:p>
    <w:p>
      <w:r>
        <w:rPr>
          <w:rFonts w:ascii="Times New Roman" w:hAnsi="Times New Roman"/>
          <w:color w:val="C00000"/>
        </w:rPr>
        <w:t>4. Intervention mapping — tạo matrix chi tiết location × target × outcome đã hiệu quả.</w:t>
      </w:r>
    </w:p>
    <w:p>
      <w:r>
        <w:rPr>
          <w:rFonts w:ascii="Times New Roman" w:hAnsi="Times New Roman"/>
          <w:color w:val="C00000"/>
        </w:rPr>
        <w:t>5. Đề cương VN can thiệp PROMOTION + FAMILY/PEER + LONG-TERM — 3 gap Menon xác định → đóng góp lớn cho khu vực.</w:t>
      </w:r>
    </w:p>
    <w:p>
      <w:r>
        <w:rPr>
          <w:rFonts w:ascii="Times New Roman" w:hAnsi="Times New Roman"/>
          <w:color w:val="C00000"/>
        </w:rPr>
        <w:t>6. Pacific nations — chỉ 3/69 → nghiên cứu ở Fiji, Solomon Islands, PNG là priority.</w:t>
      </w:r>
    </w:p>
    <w:p>
      <w:r>
        <w:rPr>
          <w:rFonts w:ascii="Times New Roman" w:hAnsi="Times New Roman"/>
          <w:color w:val="C00000"/>
        </w:rPr>
        <w:t>7. Implementation science — Menon focus efficacy, cần implementation (dissemination, scale-up).</w:t>
      </w:r>
    </w:p>
    <w:p/>
    <w:p>
      <w:r>
        <w:rPr>
          <w:rFonts w:ascii="Times New Roman" w:hAnsi="Times New Roman"/>
          <w:b/>
          <w:color w:val="C00000"/>
          <w:sz w:val="26"/>
        </w:rPr>
        <w:t>REVIEW 4 GÓC NHÌN CHUYÊN GIA</w:t>
      </w:r>
    </w:p>
    <w:p>
      <w:r>
        <w:rPr>
          <w:rFonts w:ascii="Times New Roman" w:hAnsi="Times New Roman"/>
          <w:i/>
          <w:color w:val="808080"/>
          <w:sz w:val="20"/>
        </w:rPr>
        <w:t>Áp dụng cho QT051.</w:t>
      </w:r>
    </w:p>
    <w:p>
      <w:r>
        <w:rPr>
          <w:rFonts w:ascii="Times New Roman" w:hAnsi="Times New Roman"/>
          <w:b/>
          <w:color w:val="C00000"/>
          <w:sz w:val="24"/>
        </w:rPr>
        <w:t>👩‍⚕️ Chuyên gia Tâm lý học lâm sàng</w:t>
      </w:r>
    </w:p>
    <w:p>
      <w:r>
        <w:rPr>
          <w:rFonts w:ascii="Times New Roman" w:hAnsi="Times New Roman"/>
          <w:color w:val="C00000"/>
        </w:rPr>
        <w:t>• Khung promotion/prevention/response = khung kinh điển trong public mental health.</w:t>
      </w:r>
    </w:p>
    <w:p>
      <w:r>
        <w:rPr>
          <w:rFonts w:ascii="Times New Roman" w:hAnsi="Times New Roman"/>
          <w:color w:val="C00000"/>
        </w:rPr>
        <w:t>• Finding 3/69 promotion studies = alarm — implies can thiệp nâng cao (positive psychology, life skills) bị bỏ quên.</w:t>
      </w:r>
    </w:p>
    <w:p>
      <w:r>
        <w:rPr>
          <w:rFonts w:ascii="Times New Roman" w:hAnsi="Times New Roman"/>
          <w:color w:val="C00000"/>
        </w:rPr>
        <w:t>• Finding 46/69 prevention = predominant — nhưng có thể overlap với response nếu "indicated prevention" cho symptomatic.</w:t>
      </w:r>
    </w:p>
    <w:p>
      <w:r>
        <w:rPr>
          <w:rFonts w:ascii="Times New Roman" w:hAnsi="Times New Roman"/>
          <w:color w:val="C00000"/>
        </w:rPr>
        <w:t>• Clinical implication: VN đề cương có thể innovate ở promotion niche — chưa có ai làm.</w:t>
      </w:r>
    </w:p>
    <w:p>
      <w:r>
        <w:rPr>
          <w:rFonts w:ascii="Times New Roman" w:hAnsi="Times New Roman"/>
          <w:b/>
          <w:color w:val="C00000"/>
          <w:sz w:val="24"/>
        </w:rPr>
        <w:t>🔬 Nhà nghiên cứu / methodologist</w:t>
      </w:r>
    </w:p>
    <w:p>
      <w:r>
        <w:rPr>
          <w:rFonts w:ascii="Times New Roman" w:hAnsi="Times New Roman"/>
          <w:color w:val="C00000"/>
        </w:rPr>
        <w:t>• PRISMA-ScR chuẩn method cho scoping review, nhưng hạn chế hơn systematic review cho efficacy estimation.</w:t>
      </w:r>
    </w:p>
    <w:p>
      <w:r>
        <w:rPr>
          <w:rFonts w:ascii="Times New Roman" w:hAnsi="Times New Roman"/>
          <w:color w:val="C00000"/>
        </w:rPr>
        <w:t>• 62/69 từ TQ + 4 nước không đại diện region → limit generalizability.</w:t>
      </w:r>
    </w:p>
    <w:p>
      <w:r>
        <w:rPr>
          <w:rFonts w:ascii="Times New Roman" w:hAnsi="Times New Roman"/>
          <w:color w:val="C00000"/>
        </w:rPr>
        <w:t>• Dữ liệu 2010–2021 cần update gấp.</w:t>
      </w:r>
    </w:p>
    <w:p>
      <w:r>
        <w:rPr>
          <w:rFonts w:ascii="Times New Roman" w:hAnsi="Times New Roman"/>
          <w:color w:val="C00000"/>
        </w:rPr>
        <w:t>• Lorena Romero (librarian) là plus — tăng search quality.</w:t>
      </w:r>
    </w:p>
    <w:p>
      <w:r>
        <w:rPr>
          <w:rFonts w:ascii="Times New Roman" w:hAnsi="Times New Roman"/>
          <w:color w:val="C00000"/>
        </w:rPr>
        <w:t>• Không IRR % → reproducibility của categorization hạn chế.</w:t>
      </w:r>
    </w:p>
    <w:p>
      <w:r>
        <w:rPr>
          <w:rFonts w:ascii="Times New Roman" w:hAnsi="Times New Roman"/>
          <w:b/>
          <w:color w:val="C00000"/>
          <w:sz w:val="24"/>
        </w:rPr>
        <w:t>👨‍🏫 Nhà giáo / pedagogy</w:t>
      </w:r>
    </w:p>
    <w:p>
      <w:r>
        <w:rPr>
          <w:rFonts w:ascii="Times New Roman" w:hAnsi="Times New Roman"/>
          <w:color w:val="C00000"/>
        </w:rPr>
        <w:t>• Dạy sinh viên: phân biệt scoping review vs systematic review vs meta-analysis.</w:t>
      </w:r>
    </w:p>
    <w:p>
      <w:r>
        <w:rPr>
          <w:rFonts w:ascii="Times New Roman" w:hAnsi="Times New Roman"/>
          <w:color w:val="C00000"/>
        </w:rPr>
        <w:t>• Bài case study cho môn "Global Child Mental Health" — ngữ cảnh LMIC Đông Á.</w:t>
      </w:r>
    </w:p>
    <w:p>
      <w:r>
        <w:rPr>
          <w:rFonts w:ascii="Times New Roman" w:hAnsi="Times New Roman"/>
          <w:color w:val="C00000"/>
        </w:rPr>
        <w:t>• Teachable: khái niệm "individual capacity prevention" vs "community-level promotion" — paradigm shift cần thiết.</w:t>
      </w:r>
    </w:p>
    <w:p>
      <w:r>
        <w:rPr>
          <w:rFonts w:ascii="Times New Roman" w:hAnsi="Times New Roman"/>
          <w:color w:val="C00000"/>
        </w:rPr>
        <w:t>• VN gap analysis: không có NC VN cho promotion — cơ hội original contribution.</w:t>
      </w:r>
    </w:p>
    <w:p>
      <w:r>
        <w:rPr>
          <w:rFonts w:ascii="Times New Roman" w:hAnsi="Times New Roman"/>
          <w:b/>
          <w:color w:val="C00000"/>
          <w:sz w:val="24"/>
        </w:rPr>
        <w:t>📝 Chuyên gia ngôn ngữ / biên tập</w:t>
      </w:r>
    </w:p>
    <w:p>
      <w:r>
        <w:rPr>
          <w:rFonts w:ascii="Times New Roman" w:hAnsi="Times New Roman"/>
          <w:color w:val="C00000"/>
        </w:rPr>
        <w:t>• "Scoping review" — "rà soát phạm vi" (chuẩn COREQ VN). Tránh "tổng quan phạm vi" (gây nhầm với systematic review).</w:t>
      </w:r>
    </w:p>
    <w:p>
      <w:r>
        <w:rPr>
          <w:rFonts w:ascii="Times New Roman" w:hAnsi="Times New Roman"/>
          <w:color w:val="C00000"/>
        </w:rPr>
        <w:t>• "Psychosocial wellbeing" — "hạnh phúc tâm lý xã hội" (chuẩn WHO VN). Tránh "wellbeing tâm lý xã hội" (half-Vietnamese).</w:t>
      </w:r>
    </w:p>
    <w:p>
      <w:r>
        <w:rPr>
          <w:rFonts w:ascii="Times New Roman" w:hAnsi="Times New Roman"/>
          <w:color w:val="C00000"/>
        </w:rPr>
        <w:t>• "Promotion/Prevention/Response" — "nâng cao / phòng ngừa / đáp ứng" (tiếng Việt chuẩn y tế công cộng).</w:t>
      </w:r>
    </w:p>
    <w:p>
      <w:r>
        <w:rPr>
          <w:rFonts w:ascii="Times New Roman" w:hAnsi="Times New Roman"/>
          <w:color w:val="C00000"/>
        </w:rPr>
        <w:t>• "Low- and middle-income countries (LMICs)" — "các quốc gia thu nhập thấp và trung bình" hoặc "LMIC" (viết tắt).</w:t>
      </w:r>
    </w:p>
    <w:p>
      <w:r>
        <w:rPr>
          <w:rFonts w:ascii="Times New Roman" w:hAnsi="Times New Roman"/>
          <w:color w:val="C00000"/>
        </w:rPr>
        <w:t>• "East Asia and the Pacific" — "Đông Á và Thái Bình Dương" (khu vực địa lý WB) hoặc "Đông Á – TBD" (viết tắt).</w:t>
      </w:r>
    </w:p>
    <w:p/>
    <w:p>
      <w:r>
        <w:rPr>
          <w:rFonts w:ascii="Times New Roman" w:hAnsi="Times New Roman"/>
          <w:b/>
          <w:color w:val="C00000"/>
          <w:sz w:val="26"/>
        </w:rPr>
        <w:t>META-REVIEW 2 VÒNG (Nguyên tắc 10)</w:t>
      </w:r>
    </w:p>
    <w:p>
      <w:r>
        <w:rPr>
          <w:rFonts w:ascii="Times New Roman" w:hAnsi="Times New Roman"/>
          <w:b/>
          <w:color w:val="C00000"/>
          <w:sz w:val="24"/>
        </w:rPr>
        <w:t>Vòng 1 — Verify citations vs abstract</w:t>
      </w:r>
    </w:p>
    <w:p>
      <w:r>
        <w:rPr>
          <w:rFonts w:ascii="Times New Roman" w:hAnsi="Times New Roman"/>
          <w:color w:val="C00000"/>
        </w:rPr>
        <w:t>• 69 NC, 12 quốc gia, 32 RCT + 31 before-after + 6 post — verified qua SAGE abstract + PubMed 39927577.</w:t>
      </w:r>
    </w:p>
    <w:p>
      <w:r>
        <w:rPr>
          <w:rFonts w:ascii="Times New Roman" w:hAnsi="Times New Roman"/>
          <w:color w:val="C00000"/>
        </w:rPr>
        <w:t>• 3 promotion + 46 prevention + 23 response — verified.</w:t>
      </w:r>
    </w:p>
    <w:p>
      <w:r>
        <w:rPr>
          <w:rFonts w:ascii="Times New Roman" w:hAnsi="Times New Roman"/>
          <w:color w:val="C00000"/>
        </w:rPr>
        <w:t>• 62/69 từ TQ + 4 ĐNA, 3/69 Pacific — verified.</w:t>
      </w:r>
    </w:p>
    <w:p>
      <w:r>
        <w:rPr>
          <w:rFonts w:ascii="Times New Roman" w:hAnsi="Times New Roman"/>
          <w:color w:val="C00000"/>
        </w:rPr>
        <w:t>• Search 2010–2021 — verified.</w:t>
      </w:r>
    </w:p>
    <w:p>
      <w:r>
        <w:rPr>
          <w:rFonts w:ascii="Times New Roman" w:hAnsi="Times New Roman"/>
          <w:color w:val="C00000"/>
        </w:rPr>
        <w:t>• Tác giả Menon + Coppard + McEwen + Romero + Kennedy + Azzopardi — verified.</w:t>
      </w:r>
    </w:p>
    <w:p>
      <w:r>
        <w:rPr>
          <w:rFonts w:ascii="Times New Roman" w:hAnsi="Times New Roman"/>
          <w:color w:val="C00000"/>
        </w:rPr>
        <w:t>• DOI + PMID — verified.</w:t>
      </w:r>
    </w:p>
    <w:p>
      <w:r>
        <w:rPr>
          <w:rFonts w:ascii="Times New Roman" w:hAnsi="Times New Roman"/>
          <w:b/>
          <w:color w:val="C00000"/>
          <w:sz w:val="24"/>
        </w:rPr>
        <w:t>Vòng 2 — Verify stats/claims vs nguồn công khai</w:t>
      </w:r>
    </w:p>
    <w:p>
      <w:r>
        <w:rPr>
          <w:rFonts w:ascii="Times New Roman" w:hAnsi="Times New Roman"/>
          <w:color w:val="C00000"/>
        </w:rPr>
        <w:t>• Không fabrication số liệu — mọi số đều từ SAGE abstract + PubMed.</w:t>
      </w:r>
    </w:p>
    <w:p>
      <w:r>
        <w:rPr>
          <w:rFonts w:ascii="Times New Roman" w:hAnsi="Times New Roman"/>
          <w:color w:val="C00000"/>
        </w:rPr>
        <w:t>• Citations khung ngoài (WHO Mental Health Action Plan, Patton 2016, Barry 2013, Singla 2017, Tricco 2018 PRISMA-ScR) gắn nhãn.</w:t>
      </w:r>
    </w:p>
    <w:p>
      <w:r>
        <w:rPr>
          <w:rFonts w:ascii="Times New Roman" w:hAnsi="Times New Roman"/>
          <w:color w:val="C00000"/>
        </w:rPr>
        <w:t>• Cross-ref VN022, VN030, QT037, QT038, QT048 — verified từ Tom-tat-tung-bai/.</w:t>
      </w:r>
    </w:p>
    <w:p>
      <w:r>
        <w:rPr>
          <w:rFonts w:ascii="Times New Roman" w:hAnsi="Times New Roman"/>
          <w:color w:val="C00000"/>
        </w:rPr>
        <w:t>• Claim "VN có NC trong Menon" là suy diễn (chưa verify full paper) — đã dùng soft language "có thể trong 4 ĐNA".</w:t>
      </w:r>
    </w:p>
    <w:p>
      <w:r>
        <w:rPr>
          <w:rFonts w:ascii="Times New Roman" w:hAnsi="Times New Roman"/>
          <w:color w:val="C00000"/>
        </w:rPr>
        <w:t>• 12 quốc gia LMIC Đông Á – TBD list là inference từ World Bank classification — đã gắn nhãn "theo định nghĩa".</w:t>
      </w:r>
    </w:p>
    <w:p/>
    <w:p>
      <w:r>
        <w:rPr>
          <w:rFonts w:ascii="Times New Roman" w:hAnsi="Times New Roman"/>
          <w:b/>
          <w:color w:val="2E548B"/>
          <w:sz w:val="24"/>
        </w:rPr>
        <w:t>Nguồn tham khảo công khai</w:t>
      </w:r>
    </w:p>
    <w:p>
      <w:r>
        <w:rPr>
          <w:rFonts w:ascii="Times New Roman" w:hAnsi="Times New Roman"/>
          <w:sz w:val="20"/>
        </w:rPr>
        <w:t>• SAGE Journals: https://journals.sagepub.com/doi/10.1177/10105395241313154</w:t>
      </w:r>
    </w:p>
    <w:p>
      <w:r>
        <w:rPr>
          <w:rFonts w:ascii="Times New Roman" w:hAnsi="Times New Roman"/>
          <w:sz w:val="20"/>
        </w:rPr>
        <w:t>• PubMed: https://pubmed.ncbi.nlm.nih.gov/39927577/</w:t>
      </w:r>
    </w:p>
    <w:p>
      <w:r>
        <w:rPr>
          <w:rFonts w:ascii="Times New Roman" w:hAnsi="Times New Roman"/>
          <w:sz w:val="20"/>
        </w:rPr>
        <w:t>• Báo cáo 10/04/2026 v2 mục "Bài 58*"</w:t>
      </w:r>
    </w:p>
    <w:p>
      <w:r>
        <w:rPr>
          <w:rFonts w:ascii="Times New Roman" w:hAnsi="Times New Roman"/>
          <w:sz w:val="20"/>
        </w:rPr>
        <w:t>• Tom-tat-tung-bai/QT051_Menon_LMIC_SEA_Pacific_APJPH_2025_ABSTRACT.docx</w:t>
      </w:r>
    </w:p>
    <w:p>
      <w:r>
        <w:rPr>
          <w:rFonts w:ascii="Times New Roman" w:hAnsi="Times New Roman"/>
          <w:sz w:val="20"/>
        </w:rPr>
        <w:t>• WHO Mental Health Action Plan 2013-2030 (framework reference): https://www.who.int/publications/i/item/9789240031029</w:t>
      </w:r>
    </w:p>
    <w:p/>
    <w:p>
      <w:r>
        <w:rPr>
          <w:rFonts w:ascii="Times New Roman" w:hAnsi="Times New Roman"/>
          <w:i/>
          <w:color w:val="808080"/>
          <w:sz w:val="18"/>
        </w:rPr>
        <w:t>LƯU Ý ĐẠO ĐỨC: Bản dịch chỉ dịch abstract công khai + phản biện của người dịch. KHÔNG tái sản xuất figures/tables/extended text (bản quyền tạp chí).</w:t>
      </w:r>
    </w:p>
    <w:p>
      <w:r>
        <w:rPr>
          <w:rFonts w:ascii="Times New Roman" w:hAnsi="Times New Roman"/>
          <w:i/>
          <w:color w:val="808080"/>
          <w:sz w:val="18"/>
        </w:rPr>
        <w:t>Rebuild 15/04/2026 theo Framework 7-section + 4-expert + Nguyên tắc dịch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