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https://doi.org/10.1177/00207640221140282</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1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1: Trầm cảm và lo âu ở học sinh trung học cơ sở đa sắc tộc: Tuổi, giới tính và môi trường văn hóa xã hội</w:t>
      </w:r>
    </w:p>
    <w:p>
      <w:pPr>
        <w:pStyle w:val="Heading2"/>
      </w:pPr>
      <w:r>
        <w:t>THÔNG TIN THƯ MỤC / BIBLIOGRAPHIC INFORMATION</w:t>
      </w:r>
    </w:p>
    <w:p>
      <w:pPr>
        <w:pStyle w:val="ListBullet"/>
      </w:pPr>
      <w:r>
        <w:rPr>
          <w:b/>
          <w:sz w:val="22"/>
        </w:rPr>
        <w:t>Tiêu đề gốc (English):</w:t>
      </w:r>
      <w:r>
        <w:rPr>
          <w:sz w:val="22"/>
        </w:rPr>
        <w:t xml:space="preserve"> Depression and anxiety among multiethnic middle school students: Age, gender, and sociocultural environment</w:t>
      </w:r>
    </w:p>
    <w:p>
      <w:pPr>
        <w:pStyle w:val="ListBullet"/>
      </w:pPr>
      <w:r>
        <w:rPr>
          <w:b/>
          <w:sz w:val="22"/>
        </w:rPr>
        <w:t>Tiêu đề dịch (Vietnamese):</w:t>
      </w:r>
      <w:r>
        <w:rPr>
          <w:sz w:val="22"/>
        </w:rPr>
        <w:t xml:space="preserve"> Trầm cảm và lo âu ở học sinh trung học cơ sở đa sắc tộc: Tuổi, giới tính và môi trường văn hóa xã hội</w:t>
      </w:r>
    </w:p>
    <w:p>
      <w:pPr>
        <w:pStyle w:val="ListBullet"/>
      </w:pPr>
      <w:r>
        <w:rPr>
          <w:b/>
          <w:sz w:val="22"/>
        </w:rPr>
        <w:t>Tác giả:</w:t>
      </w:r>
      <w:r>
        <w:rPr>
          <w:sz w:val="22"/>
        </w:rPr>
        <w:t xml:space="preserve"> Janis H. Jenkins, Giselle Sanchez, Eric A. Miller, Nadia Irina Santillanes Allande, Grace Urano, Alexandra J. Pryor</w:t>
      </w:r>
    </w:p>
    <w:p>
      <w:pPr>
        <w:pStyle w:val="ListBullet"/>
      </w:pPr>
      <w:r>
        <w:rPr>
          <w:b/>
          <w:sz w:val="22"/>
        </w:rPr>
        <w:t>Cơ quan:</w:t>
      </w:r>
      <w:r>
        <w:rPr>
          <w:sz w:val="22"/>
        </w:rPr>
        <w:t xml:space="preserve"> Khoa Nhân học, Đại học California San Diego (UCSD); Trường Y khoa UCSD; CIESAS Noreste, Monterrey, Mexico</w:t>
      </w:r>
    </w:p>
    <w:p>
      <w:pPr>
        <w:pStyle w:val="ListBullet"/>
      </w:pPr>
      <w:r>
        <w:rPr>
          <w:b/>
          <w:sz w:val="22"/>
        </w:rPr>
        <w:t>Tạp chí:</w:t>
      </w:r>
      <w:r>
        <w:rPr>
          <w:sz w:val="22"/>
        </w:rPr>
        <w:t xml:space="preserve"> International Journal of Social Psychiatry, 2023, Vol. 69(3), 784–794</w:t>
      </w:r>
    </w:p>
    <w:p>
      <w:pPr>
        <w:pStyle w:val="ListBullet"/>
      </w:pPr>
      <w:r>
        <w:rPr>
          <w:b/>
          <w:sz w:val="22"/>
        </w:rPr>
        <w:t>DOI:</w:t>
      </w:r>
      <w:r>
        <w:rPr>
          <w:sz w:val="22"/>
        </w:rPr>
        <w:t xml:space="preserve"> 10.1177/00207640221140282</w:t>
      </w:r>
    </w:p>
    <w:p>
      <w:pPr>
        <w:pStyle w:val="ListBullet"/>
      </w:pPr>
      <w:r>
        <w:rPr>
          <w:b/>
          <w:sz w:val="22"/>
        </w:rPr>
        <w:t>PMID:</w:t>
      </w:r>
      <w:r>
        <w:rPr>
          <w:sz w:val="22"/>
        </w:rPr>
        <w:t xml:space="preserve"> 36529994 | </w:t>
      </w:r>
      <w:r>
        <w:rPr>
          <w:b/>
          <w:sz w:val="22"/>
        </w:rPr>
        <w:t>PMCID:</w:t>
      </w:r>
      <w:r>
        <w:rPr>
          <w:sz w:val="22"/>
        </w:rPr>
        <w:t xml:space="preserve"> PMC10152214</w:t>
      </w:r>
    </w:p>
    <w:p>
      <w:r>
        <w:rPr>
          <w:b/>
          <w:color w:val="FF6600"/>
          <w:sz w:val="20"/>
        </w:rPr>
        <w:t>--- Trang 784, International Journal of Social Psychiatry, Vol. 69(3), 2023 ---</w:t>
      </w:r>
    </w:p>
    <w:p>
      <w:pPr>
        <w:pStyle w:val="Heading2"/>
      </w:pPr>
      <w:r>
        <w:t>TÓM TẮT</w:t>
      </w:r>
    </w:p>
    <w:p>
      <w:r>
        <w:rPr>
          <w:b/>
          <w:sz w:val="24"/>
        </w:rPr>
        <w:t>Bối cảnh:</w:t>
      </w:r>
      <w:r>
        <w:rPr>
          <w:sz w:val="24"/>
        </w:rPr>
        <w:t xml:space="preserve"> Các rối loạn liên quan đến trầm cảm và lo âu phổ biến ở thanh thiếu niên. Sự quan tâm nghiên cứu đối với giai đoạn đầu tuổi vị thành niên và các nhóm dân cư thu nhập thấp, đa dạng sắc tộc còn hạn chế.</w:t>
      </w:r>
    </w:p>
    <w:p>
      <w:r>
        <w:rPr>
          <w:b/>
          <w:sz w:val="24"/>
        </w:rPr>
        <w:t>Mục tiêu:</w:t>
      </w:r>
      <w:r>
        <w:rPr>
          <w:sz w:val="24"/>
        </w:rPr>
        <w:t xml:space="preserve"> Tiến hành sàng lọc trầm cảm và lo âu ở lứa tuổi sớm, chú trọng đến giới tính và bối cảnh môi trường văn hóa xã hội trong điều kiện thu nhập thấp.</w:t>
      </w:r>
    </w:p>
    <w:p>
      <w:r>
        <w:rPr>
          <w:b/>
          <w:sz w:val="24"/>
        </w:rPr>
        <w:t>Phương pháp:</w:t>
      </w:r>
      <w:r>
        <w:rPr>
          <w:sz w:val="24"/>
        </w:rPr>
        <w:t xml:space="preserve"> Phương pháp hỗn hợp bao gồm các công cụ sàng lọc </w:t>
      </w:r>
      <w:r>
        <w:rPr>
          <w:b/>
          <w:color w:val="CC0000"/>
          <w:sz w:val="24"/>
        </w:rPr>
        <w:t>PHQ-9A</w:t>
      </w:r>
      <w:r>
        <w:rPr>
          <w:sz w:val="24"/>
        </w:rPr>
        <w:t xml:space="preserve"> và </w:t>
      </w:r>
      <w:r>
        <w:rPr>
          <w:b/>
          <w:color w:val="CC0000"/>
          <w:sz w:val="24"/>
        </w:rPr>
        <w:t>GAD-10</w:t>
      </w:r>
      <w:r>
        <w:rPr>
          <w:sz w:val="24"/>
        </w:rPr>
        <w:t xml:space="preserve"> kết hợp với phỏng vấn dân tộc học.</w:t>
      </w:r>
    </w:p>
    <w:p>
      <w:r>
        <w:rPr>
          <w:b/>
          <w:sz w:val="24"/>
        </w:rPr>
        <w:t>Kết quả:</w:t>
      </w:r>
      <w:r>
        <w:rPr>
          <w:sz w:val="24"/>
        </w:rPr>
        <w:t xml:space="preserve"> 75 học sinh trung học cơ sở đa sắc tộc đã được đưa vào nghiên cứu. Tuổi trung bình là 11,2 (0,74). Học sinh nữ có tổng điểm </w:t>
      </w:r>
      <w:r>
        <w:rPr>
          <w:sz w:val="24"/>
        </w:rPr>
        <w:t>PHQ-9A</w:t>
      </w:r>
      <w:r>
        <w:rPr>
          <w:sz w:val="24"/>
        </w:rPr>
        <w:t xml:space="preserve"> cao hơn nam (p = 0,002, kiểm định Mann-Whitney) và tổng điểm </w:t>
      </w:r>
      <w:r>
        <w:rPr>
          <w:sz w:val="24"/>
        </w:rPr>
        <w:t>GAD-10</w:t>
      </w:r>
      <w:r>
        <w:rPr>
          <w:sz w:val="24"/>
        </w:rPr>
        <w:t xml:space="preserve"> cao hơn nam (p = 0,016, kiểm định Mann-Whitney). Sau khi kiểm soát đa so sánh, nữ sinh có phản hồi trung bình cao hơn ở ba mục </w:t>
      </w:r>
      <w:r>
        <w:rPr>
          <w:sz w:val="24"/>
        </w:rPr>
        <w:t>PHQ-9A</w:t>
      </w:r>
      <w:r>
        <w:rPr>
          <w:sz w:val="24"/>
        </w:rPr>
        <w:t xml:space="preserve"> (p &lt; 0,006, kiểm định t hai phía) và chỉ một mục </w:t>
      </w:r>
      <w:r>
        <w:rPr>
          <w:sz w:val="24"/>
        </w:rPr>
        <w:t>GAD-10</w:t>
      </w:r>
      <w:r>
        <w:rPr>
          <w:sz w:val="24"/>
        </w:rPr>
        <w:t xml:space="preserve"> (p &lt; 0,005, kiểm định t hai phía). Các cuộc phỏng vấn dân tộc học đã cho thấy các bối cảnh liên quan đến trải nghiệm trầm cảm và lo âu của nữ sinh, bao gồm bạo lực trên cơ sở giới trong cả môi trường trường học và gia đình. Điều nổi bật đối với cả nữ sinh và nam sinh là sự lo lắng về hậu quả của </w:t>
      </w:r>
      <w:r>
        <w:rPr>
          <w:b/>
          <w:color w:val="CC0000"/>
          <w:sz w:val="24"/>
        </w:rPr>
        <w:t>COVID-19</w:t>
      </w:r>
      <w:r>
        <w:rPr>
          <w:sz w:val="24"/>
        </w:rPr>
        <w:t xml:space="preserve"> đối với gia đình liên quan đến bệnh tật, tử vong, mất việc làm và khó khăn kinh tế. Nỗi sợ hãi trước nhận thức của học sinh về sự gia tăng phân biệt đối xử và phân biệt chủng tộc trong trường học và cộng đồng là rất nổi bật. Những vấn đề này được học sinh trải nghiệm như những rào cản đối với sự tham gia giáo dục.</w:t>
      </w:r>
    </w:p>
    <w:p>
      <w:r>
        <w:rPr>
          <w:b/>
          <w:sz w:val="24"/>
        </w:rPr>
        <w:t>Kết luận:</w:t>
      </w:r>
      <w:r>
        <w:rPr>
          <w:sz w:val="24"/>
        </w:rPr>
        <w:t xml:space="preserve"> Cần có sự quan tâm cụ thể đến giai đoạn đầu tuổi vị thành niên để nhận diện sự xuất hiện của các tình trạng dưới ngưỡng hội chứng có thể được hưởng lợi từ can thiệp trị liệu nhằm giảm mức độ nghiêm trọng của triệu chứng, xác định các yếu tố gây căng thẳng về văn hóa xã hội, cấu trúc và đặc thù giới tính, và tăng cường sự tham gia giáo dục.</w:t>
      </w:r>
    </w:p>
    <w:p>
      <w:r>
        <w:rPr>
          <w:b/>
          <w:sz w:val="24"/>
        </w:rPr>
        <w:t>Từ khóa:</w:t>
      </w:r>
      <w:r>
        <w:rPr>
          <w:sz w:val="24"/>
        </w:rPr>
        <w:t xml:space="preserve"> Thanh thiếu niên, trầm cảm, lo âu, giới tính, </w:t>
      </w:r>
      <w:r>
        <w:rPr>
          <w:sz w:val="24"/>
        </w:rPr>
        <w:t>COVID-19</w:t>
      </w:r>
      <w:r>
        <w:rPr>
          <w:sz w:val="24"/>
        </w:rPr>
        <w:t>, phương pháp hỗn hợp dân tộc học, sức khỏe tâm thần toàn cầu</w:t>
      </w:r>
    </w:p>
    <w:p>
      <w:pPr>
        <w:pStyle w:val="Heading2"/>
      </w:pPr>
      <w:r>
        <w:t>GIỚI THIỆU</w:t>
      </w:r>
    </w:p>
    <w:p>
      <w:r>
        <w:rPr>
          <w:sz w:val="24"/>
        </w:rPr>
        <w:t>Mặc dù sức khỏe tâm thần của thanh thiếu niên đã là chủ đề nghiên cứu trong nhiều thập kỷ qua (Cohen và cộng sự, 1993; Kazdin, 1993; Rutter &amp; Stevenson, 2008), nghiên cứu cần xác định chính xác hơn các yếu tố liên quan đến sự phát triển của rối loạn tâm thần. Đối với thanh thiếu niên, trầm cảm và các rối loạn liên quan đến lo âu là phổ biến, thường xảy ra đồng thời như các tình trạng bệnh kèm (Garber &amp; Weersing, 2010; Seligman &amp; Ollendick, 1998). Mặc dù các nghiên cứu trước đây đã xác định các lĩnh vực rủi ro rộng như tuổi vị thành niên, giới tính và căng thẳng tâm lý (Kuehner, 2017; Nolen-Hoeksema, 1990; Petersen và cộng sự, 1991), nghiên cứu thực nghiệm cần xác định các yếu tố cụ thể trong bối cảnh xã hội. Mặc dù tác động của các yếu tố này có thể khác nhau trên toàn cầu, các nghiên cứu hiện tại chỉ ra rằng các yếu tố rủi ro cao hơn một cách không tương xứng trong các môi trường thu nhập thấp (GBD 2019 Mental Disorders Collaborators, 2022). Một nền tảng để tiếp cận mục tiêu về tính cụ thể cao hơn trong hiểu biết của chúng ta về sức khỏe tâm thần thanh thiếu niên được hướng dẫn hữu ích bởi ba cân nhắc.</w:t>
      </w:r>
    </w:p>
    <w:p>
      <w:r>
        <w:rPr>
          <w:b/>
          <w:color w:val="FF6600"/>
          <w:sz w:val="20"/>
        </w:rPr>
        <w:t>--- Trang 785, Int J Social Psychiatry, Vol. 69(3), 2023 ---</w:t>
      </w:r>
    </w:p>
    <w:p>
      <w:r>
        <w:rPr>
          <w:sz w:val="24"/>
        </w:rPr>
        <w:t>Thứ nhất, lĩnh vực sức khỏe tâm thần toàn cầu đang phát triển mạnh mẽ đã mở rộng trọng tâm để bao gồm các nhóm dân cư trẻ em và thanh thiếu niên (Kessler và cộng sự, 2009; Kieling và cộng sự, 2011). Tổ chức Y tế Thế giới (</w:t>
      </w:r>
      <w:r>
        <w:rPr>
          <w:b/>
          <w:color w:val="CC0000"/>
          <w:sz w:val="24"/>
        </w:rPr>
        <w:t>WHO</w:t>
      </w:r>
      <w:r>
        <w:rPr>
          <w:sz w:val="24"/>
        </w:rPr>
        <w:t xml:space="preserve">, 2022a) gần đây báo cáo rằng 14% thanh thiếu niên (dựa trên độ tuổi 10-19 tuổi) sống với một rối loạn tâm thần vào năm 2019. Trong khi các nghiên cứu về gánh nặng bệnh tật toàn cầu tiếp tục cho thấy rối loạn tâm thần là nguyên nhân hàng đầu gây khuyết tật, thời thơ ấu và tuổi vị thành niên là giai đoạn mà tính dễ bị tổn thương này được quan sát thấy tăng đều đặn (GBD 2019 Mental Disorders Collaborators, 2022). Thứ hai, các báo cáo hiện tại về tuổi khởi phát rối loạn tâm thần dao động từ hơn một phần ba các trường hợp trước 14 tuổi (Solmi và cộng sự, 2022) đến khoảng một nửa tất cả các trường hợp trước 14 tuổi (Revet &amp; Kennedy, 2022). Do đó, khởi phát sớm không phải là hiếm và có thể yêu cầu can thiệp sớm khi cần thiết và có thể hiệu quả hơn (Correll và cộng sự, 2018; Fusar-Poli và cộng sự, 2017). Theo cách tương tự, khởi phát sớm cung cấp cơ sở nghiên cứu để tập trung vào nhóm tuổi trẻ hơn so với thông thường. Thứ ba, vẫn trong giai đoạn sớm, các nghiên cứu về </w:t>
      </w:r>
      <w:r>
        <w:rPr>
          <w:sz w:val="24"/>
        </w:rPr>
        <w:t>COVID-19</w:t>
      </w:r>
      <w:r>
        <w:rPr>
          <w:sz w:val="24"/>
        </w:rPr>
        <w:t xml:space="preserve"> và sức khỏe tâm thần đã xác định các tác động bất lợi của đại dịch (Necho và cộng sự, 2021; Samji và cộng sự, 2022; Torales và cộng sự, 2020). Các ước tính gần đây từ Tổ chức Y tế Thế giới cho thấy mức tăng tổng thể 25% trong tỷ lệ lo âu và trầm cảm toàn cầu, trong đó thanh niên và phụ nữ là những nhóm bị ảnh hưởng nặng nhất (GBD 2019 Mental Disorders Collaborators, 2022; </w:t>
      </w:r>
      <w:r>
        <w:rPr>
          <w:sz w:val="24"/>
        </w:rPr>
        <w:t>WHO</w:t>
      </w:r>
      <w:r>
        <w:rPr>
          <w:sz w:val="24"/>
        </w:rPr>
        <w:t xml:space="preserve">, 2022b). Các chuyên gia y tế và liên ngành đã đưa ra tuyên bố về cuộc khủng hoảng sức khỏe tâm thần đã bị </w:t>
      </w:r>
      <w:r>
        <w:rPr>
          <w:sz w:val="24"/>
        </w:rPr>
        <w:t>COVID-19</w:t>
      </w:r>
      <w:r>
        <w:rPr>
          <w:sz w:val="24"/>
        </w:rPr>
        <w:t xml:space="preserve"> làm trầm trọng thêm, đặc biệt ở trẻ em và thanh thiếu niên sống trong các cộng đồng và quốc gia thu nhập thấp (American Academy of Pediatrics, American Academy of Child and Adolescent Psychiatry, and Children's Hospital Association, 2021; Huang &amp; Ougrin, 2021; Mansfield và cộng sự, 2022; Organization for Economic Development and Cooperation, 2021; United States Department of Health and Human Services, 2021). Kết hợp lại, ba nhóm đặc điểm đan xen này chỉ ra nhu cầu nghiên cứu sức khỏe tâm thần thanh thiếu niên với sự chú ý đến nhóm tuổi trẻ hơn, giới tính và bất lợi về môi trường văn hóa xã hội.</w:t>
      </w:r>
    </w:p>
    <w:p>
      <w:pPr>
        <w:pStyle w:val="Heading2"/>
      </w:pPr>
      <w:r>
        <w:t>PHƯƠNG PHÁP</w:t>
      </w:r>
    </w:p>
    <w:p>
      <w:pPr>
        <w:pStyle w:val="Heading3"/>
      </w:pPr>
      <w:r>
        <w:t>Tổng quan về thiết kế và quy trình nghiên cứu</w:t>
      </w:r>
    </w:p>
    <w:p>
      <w:r>
        <w:rPr>
          <w:sz w:val="24"/>
        </w:rPr>
        <w:t>Nghiên cứu này được thiết kế để khảo sát trải nghiệm sống và sức khỏe tâm thần trong giai đoạn tuổi vị thành niên thông qua phương pháp hỗn hợp và tiếp cận dân tộc học. Bối cảnh của nghiên cứu phi lâm sàng này là một trường học và cộng đồng đa sắc tộc thu nhập thấp ở Nam California, Hoa Kỳ. Kế hoạch nghiên cứu tập trung vào việc khảo sát các thói quen hàng ngày, tình trạng sức khỏe tâm thần và sự tham gia giáo dục của học sinh trung học cơ sở được tuyển chọn ở trình độ lớp sáu (độ tuổi 10-11). Việc lựa chọn từ nhóm tuổi trẻ hơn này nhằm đóng góp vào việc xác định các tính dễ bị tổn thương phát triển có thể xảy ra trong giai đoạn đầu tuổi vị thành niên. Cần lưu ý rằng sự phân định về những gì cấu thành phạm vi tuổi của "tuổi vị thành niên" đã thay đổi theo lịch sử và xuyên văn hóa (Aries, 1996). Các quy trình thu thập dữ liệu bao gồm thông tin nền tảng nhân khẩu xã hội, một loạt các cuộc phỏng vấn dân tộc học bán cấu trúc, các quan sát dân tộc học, các phiên bản sửa đổi cho thanh thiếu niên của thang sàng lọc trầm cảm Bảng câu hỏi Sức khỏe Bệnh nhân (</w:t>
      </w:r>
      <w:r>
        <w:rPr>
          <w:sz w:val="24"/>
        </w:rPr>
        <w:t>PHQ-9A</w:t>
      </w:r>
      <w:r>
        <w:rPr>
          <w:sz w:val="24"/>
        </w:rPr>
        <w:t>) (Johnson và cộng sự, 2002) và phiên bản dành cho trẻ em (tuổi 11-17) của thang Rối loạn Lo âu Tổng quát (</w:t>
      </w:r>
      <w:r>
        <w:rPr>
          <w:sz w:val="24"/>
        </w:rPr>
        <w:t>GAD-10</w:t>
      </w:r>
      <w:r>
        <w:rPr>
          <w:sz w:val="24"/>
        </w:rPr>
        <w:t>) (Craske và cộng sự, 2013). Dữ liệu nhân khẩu xã hội bao gồm tuổi, bản dạng giới tính, thành phần gia đình và tôn giáo. Hướng dẫn phỏng vấn dân tộc học của chúng tôi được thiết kế để tìm hiểu một cách mở, với sự linh hoạt cho các câu hỏi thăm dò. Các chủ đề phỏng vấn bao gồm cuộc sống gia đình, trải nghiệm ở trường, sức khỏe tâm thần và sức khỏe tổng thể, quan điểm về bạn bè đồng trang lứa, các viễn cảnh về khu phố và các sự kiện quốc gia và toàn cầu rộng lớn hơn, cũng như mục tiêu tương lai. Tất cả các cuộc phỏng vấn được tiến hành bằng tiếng Anh và được ghi âm để phiên âm và phân tích mã hóa chủ đề định tính bằng phần mềm NVivo.</w:t>
      </w:r>
    </w:p>
    <w:p>
      <w:r>
        <w:rPr>
          <w:sz w:val="24"/>
        </w:rPr>
        <w:t xml:space="preserve">Phương pháp hỗn hợp của chúng tôi sử dụng các thang sàng lọc trầm cảm và lo âu kết hợp với các công cụ dân tộc học, được xây dựng dựa trên các nghiên cứu trước đây chứng minh tính bổ sung của nhiều loại bằng chứng nghiên cứu khác nhau chiếu sáng lẫn nhau trên các lĩnh vực tìm hiểu (Csordas và cộng sự, 2010; Jenkins, 2015; Jenkins &amp; Csordas, 2020). Ví dụ, trong khi học sinh có thể phủ nhận sự hiện diện của các triệu chứng khi được đánh giá theo thang điểm, họ có thể kể lại trải nghiệm của mình về các triệu chứng này trong một cuộc phỏng vấn mở. Ngược lại, một số người tham gia nghiên cứu có thể xác nhận các mục trong đánh giá thang điểm mà họ có thể không muốn nói đến trong phỏng vấn tường thuật. Chúng tôi tập trung cụ thể vào trầm cảm và lo âu vì đây là những tình trạng sức khỏe tâm thần phổ biến nhất ở thanh thiếu niên, bao gồm các nhóm dân cư gốc Mexico có quy mô đáng kể cư trú trong địa bàn nghiên cứu (Flores, 2013; Garber &amp; Weersing, 2010). Tổng quan tài liệu của chúng tôi cho thấy các thang </w:t>
      </w:r>
      <w:r>
        <w:rPr>
          <w:b/>
          <w:color w:val="CC0000"/>
          <w:sz w:val="24"/>
        </w:rPr>
        <w:t>PHQ-9</w:t>
      </w:r>
      <w:r>
        <w:rPr>
          <w:sz w:val="24"/>
        </w:rPr>
        <w:t xml:space="preserve"> và </w:t>
      </w:r>
      <w:r>
        <w:rPr>
          <w:b/>
          <w:color w:val="CC0000"/>
          <w:sz w:val="24"/>
        </w:rPr>
        <w:t>GAD-7</w:t>
      </w:r>
      <w:r>
        <w:rPr>
          <w:sz w:val="24"/>
        </w:rPr>
        <w:t xml:space="preserve"> dành cho người lớn thường được sử dụng không phù hợp với trẻ em và thanh thiếu niên (Anand và cộng sự, 2021; Mossman và cộng sự, 2017; Richardson và cộng sự, 2010; Tiirikainen và cộng sự, 2019; Tsai và cộng sự, 2014; Walter và cộng sự, 2020). Hơn nữa, các nghiên cứu sử dụng </w:t>
      </w:r>
      <w:r>
        <w:rPr>
          <w:sz w:val="24"/>
        </w:rPr>
        <w:t>PHQ-9A</w:t>
      </w:r>
      <w:r>
        <w:rPr>
          <w:sz w:val="24"/>
        </w:rPr>
        <w:t xml:space="preserve"> thường dựa vào các nhóm tuổi vị thành niên bắt đầu từ 12 tuổi, có thể dựa trên các khuyến nghị bắt đầu sàng lọc trầm cảm lâm sàng từ 12 tuổi của Viện Hàn lâm Nhi khoa Hoa Kỳ, Lực lượng Đặc nhiệm Dự phòng Hoa Kỳ và Ủy ban Quốc gia về Đảm bảo Chất lượng. Hướng dẫn này cũng dường như phù hợp với quyết định của Lực lượng Đặc nhiệm Dự phòng Hoa Kỳ (2022) rằng không có đủ bằng chứng để bảo đảm sàng lọc trầm cảm ở độ tuổi trẻ hơn. Về mặt đánh giá sử dụng </w:t>
      </w:r>
      <w:r>
        <w:rPr>
          <w:sz w:val="24"/>
        </w:rPr>
        <w:t>PHQ-9A</w:t>
      </w:r>
      <w:r>
        <w:rPr>
          <w:sz w:val="24"/>
        </w:rPr>
        <w:t>, một nghiên cứu không ghi nhận sự khác biệt có ý nghĩa trong việc hoàn thành, tổng điểm trung bình hoặc tỷ lệ sàng lọc dương tính ảnh hưởng đến việc sử dụng cho trẻ 11 tuổi (Cortez và cộng sự, 2021). Nghiên cứu đó đã chọn sử dụng các phiên bản sửa đổi dành cho thanh thiếu niên của các thang đo (dành cho nhóm tuổi 11-17) dựa trên độ tin cậy đã được thiết lập trong các bối cảnh đa văn hóa (Aggarwal và cộng sự, 2017; Burdzovic Andreas &amp; Brunborg, 2017; Naveed và cộng sự, 2019; Yalin Sapmaz và cộng sự, 2018). Trong nghiên cứu hiện tại, chúng tôi sử dụng các phiên bản dành cho thanh thiếu niên của thang PHQ và GAD để có được cái nhìn tổng quan cơ bản về các triệu chứng trầm cảm và lo âu được xác nhận ở học sinh trung học cơ sở.</w:t>
      </w:r>
    </w:p>
    <w:p>
      <w:r>
        <w:rPr>
          <w:b/>
          <w:color w:val="FF6600"/>
          <w:sz w:val="20"/>
        </w:rPr>
        <w:t>--- Trang 786, Int J Social Psychiatry, Vol. 69(3), 2023 ---</w:t>
      </w:r>
    </w:p>
    <w:p>
      <w:pPr>
        <w:pStyle w:val="Heading3"/>
      </w:pPr>
      <w:r>
        <w:t>Tuyển chọn người tham gia và quy trình trước và trong đại dịch COVID-19</w:t>
      </w:r>
    </w:p>
    <w:p>
      <w:r>
        <w:rPr>
          <w:sz w:val="24"/>
        </w:rPr>
        <w:t>Việc tuyển chọn cho nghiên cứu này được tiến hành từ năm 2018 đến 2021 sử dụng mẫu có chủ đích gồm các học sinh trung học cơ sở trong độ tuổi đi học và gia đình của họ tại một sự kiện định hướng trường học. Đợt tuyển chọn đầu tiên thu được 53 học sinh tham gia, chủ yếu là học sinh 11 tuổi (trình độ lớp sáu). Hai thành viên nhóm nghiên cứu song ngữ (Anh-Tây Ban Nha) đã tuyển chọn người tham gia, giải thích mục tiêu, quy trình nghiên cứu và trả lời câu hỏi của phụ huynh và học sinh quan tâm. Việc tuyển chọn cũng được thực hiện qua phương pháp lấy mẫu quả cầu tuyết và phát tờ rơi tại trường. Phụ huynh hoàn thành tờ rơi hoặc được giới thiệu cho nghiên cứu đã được một thành viên nhóm nghiên cứu liên hệ để giải thích mục tiêu và quy trình nghiên cứu. Sau khi nhận được bản đồng ý có chữ ký của phụ huynh và sự chấp thuận của trẻ, chúng tôi bắt đầu các quy trình nghiên cứu với người tham gia tại trường. Chúng tôi tiến hành từ 1 đến 8 cuộc phỏng vấn bán cấu trúc trong khoảng thời gian 1 năm với mỗi học sinh tham gia, mỗi cuộc kéo dài từ 35 đến 45 phút trong các giờ học tự chọn ở trường. Các cuộc phỏng vấn được thực hiện trong các phòng do quản lý trường cung cấp để đảm bảo sự riêng tư cho học sinh. Tổng số cuộc phỏng vấn mỗi học sinh phụ thuộc vào thời gian cần thiết để hoàn thành tất cả các quy trình nghiên cứu. Các quy trình nghiên cứu được thực hiện bởi năm thành viên nhóm nghiên cứu, mỗi người gặp cùng một nhóm học sinh để xây dựng mối quan hệ và sự tin tưởng. Trong khi tuyển chọn đối tượng cho N là 83, chúng tôi chỉ có thể đưa vào 75 người đã hoàn thành đầy đủ các quy trình vì tám học sinh đã chuyển nhà, xung đột lịch học hoặc không còn quan tâm đến việc tiếp tục tham gia nghiên cứu.</w:t>
      </w:r>
    </w:p>
    <w:p>
      <w:r>
        <w:rPr>
          <w:sz w:val="24"/>
        </w:rPr>
        <w:t xml:space="preserve">Sau đợt bùng phát </w:t>
      </w:r>
      <w:r>
        <w:rPr>
          <w:sz w:val="24"/>
        </w:rPr>
        <w:t>COVID-19</w:t>
      </w:r>
      <w:r>
        <w:rPr>
          <w:sz w:val="24"/>
        </w:rPr>
        <w:t xml:space="preserve"> và đóng cửa trường học, chúng tôi tiến hành các câu hỏi theo dõi qua điện thoại hoặc Zoom và bổ sung các câu hỏi bổ sung trong các cuộc phỏng vấn dân tộc học khi việc giảng dạy trực tiếp tại trường được nối lại, cùng với đợt tuyển chọn thứ hai. Nội dung của các cuộc phỏng vấn này bao gồm các câu hỏi mở về trải nghiệm của học sinh về sức khỏe và sự an lạc tổng thể, trải nghiệm với người thân và bạn bè trong thời gian phong tỏa, và trải nghiệm học trực tuyến trong đại dịch </w:t>
      </w:r>
      <w:r>
        <w:rPr>
          <w:sz w:val="24"/>
        </w:rPr>
        <w:t>COVID-19</w:t>
      </w:r>
      <w:r>
        <w:rPr>
          <w:sz w:val="24"/>
        </w:rPr>
        <w:t xml:space="preserve">. Với các căng thẳng chính trị gia tăng đáng kể trong bối cảnh nghiên cứu, đặc biệt do vị trí gần vùng biên giới Hoa Kỳ/Mexico, chúng tôi tìm hiểu quan điểm của học sinh về các sự kiện đương đại tại địa phương và toàn cầu như chính sách nhập cư, các cuộc biểu tình Black Lives Matter, vụ xông vào tòa nhà Quốc hội ngày 6 tháng 1 tại Washington D.C., và các biện pháp an toàn </w:t>
      </w:r>
      <w:r>
        <w:rPr>
          <w:sz w:val="24"/>
        </w:rPr>
        <w:t>COVID-19</w:t>
      </w:r>
      <w:r>
        <w:rPr>
          <w:sz w:val="24"/>
        </w:rPr>
        <w:t>.</w:t>
      </w:r>
    </w:p>
    <w:p>
      <w:pPr>
        <w:pStyle w:val="Heading3"/>
      </w:pPr>
      <w:r>
        <w:t>Bảo vệ quyền con người trong nghiên cứu</w:t>
      </w:r>
    </w:p>
    <w:p>
      <w:r>
        <w:rPr>
          <w:sz w:val="24"/>
        </w:rPr>
        <w:t xml:space="preserve">Các quy trình nghiên cứu được thực hiện tuân thủ Hội đồng Đánh giá Thể chế UCSD về Bảo vệ Quyền Con người trong Nghiên cứu, với phê duyệt dự án số #171596, và với sự cho phép của các quản lý học khu. Người tham gia nhận được bản sao mẫu đồng ý có chữ ký nêu chi tiết mọi rủi ro tiềm ẩn khi tham gia nghiên cứu. Các nhà nghiên cứu chuyển sang các câu hỏi khác nếu họ cảm nhận sự khó chịu từ người tham gia vị thành niên và nhắc nhở họ rằng mọi câu trả lời đều là tự nguyện. Để giảm thiểu khả năng vi phạm bảo mật, tất cả thông tin nhận dạng đã được xóa khỏi bản phiên âm, chỉ sử dụng bút danh và số. Tất cả dữ liệu vật lý được giữ trong tủ khóa chỉ nhóm nghiên cứu mới được tiếp cận và dữ liệu số được lưu trữ trên máy chủ đại học được bảo vệ bằng mật khẩu. Theo quy trình </w:t>
      </w:r>
      <w:r>
        <w:rPr>
          <w:b/>
          <w:color w:val="CC0000"/>
          <w:sz w:val="24"/>
        </w:rPr>
        <w:t>IRB</w:t>
      </w:r>
      <w:r>
        <w:rPr>
          <w:sz w:val="24"/>
        </w:rPr>
        <w:t xml:space="preserve"> (Hội đồng Xét duyệt Nghiên cứu - Institutional Review Board), chúng tôi kết nối học sinh có nhu cầu nói chuyện với chuyên viên tư vấn trường học hoặc chuyên gia sức khỏe tâm thần.</w:t>
      </w:r>
    </w:p>
    <w:p>
      <w:pPr>
        <w:pStyle w:val="Heading2"/>
      </w:pPr>
      <w:r>
        <w:t>KẾT QUẢ</w:t>
      </w:r>
    </w:p>
    <w:p>
      <w:pPr>
        <w:pStyle w:val="Heading3"/>
      </w:pPr>
      <w:r>
        <w:t>Đặc điểm nhân khẩu xã hội</w:t>
      </w:r>
    </w:p>
    <w:p>
      <w:r>
        <w:rPr>
          <w:sz w:val="24"/>
        </w:rPr>
        <w:t>Bảng 1 liệt kê các đặc điểm nhân khẩu xã hội của mẫu nghiên cứu, bao gồm giới tính, tuổi, trình độ lớp, nền tảng sắc tộc và loại hộ gia đình. Tuổi trung bình là 11,2 với phạm vi tuổi hạn chế giữa các học sinh tham gia. Trong mẫu này, phần lớn học sinh xác định là nam hoặc nữ; tuy nhiên, điều đáng lưu ý là trong các cuộc phỏng vấn, một số học sinh đang đặt câu hỏi về bản dạng giới tính và xu hướng tình dục của mình, cho thấy những hạn chế của việc mã hóa giới tính hoặc tính dục theo kiểu nhị phân. Nhận dạng sắc tộc phổ biến nhất là gốc Mexico, tiếp theo là các tổ hợp nền tảng Âu-Mỹ. Các nhận dạng bổ sung bao gồm người Mỹ gốc Phi và Da đen, Trung Mỹ, quần đảo Thái Bình Dương, Nam Á và Đông Á, và người bản địa Mỹ. Về nền tảng sắc tộc, chúng tôi lưu ý rằng đối với một số học sinh đây là vấn đề đơn giản (ví dụ: "Tôi là người Mexico") trong khi những em khác xác định với nhiều hơn một nguồn gốc sắc tộc hoặc vùng địa lý. Bảng 1 do đó đơn giản hóa quá mức sự phức tạp của các tổ hợp có thể. Sự phức tạp ngày càng phổ biến của đa dạng sắc tộc đã được Hannah (2011) xác định là "siêu đa dạng" tồn tại tại Hoa Kỳ. Nhìn chung, có sự đa dạng văn hóa đáng kể giữa các học sinh trong mẫu và trong bối cảnh trường học nói chung. Về thành phần hộ gia đình, tất cả trừ một học sinh sống với cha mẹ.</w:t>
      </w:r>
    </w:p>
    <w:p>
      <w:r>
        <w:rPr>
          <w:b/>
          <w:color w:val="FF6600"/>
          <w:sz w:val="20"/>
        </w:rPr>
        <w:t>--- Trang 787, Int J Social Psychiatry, Vol. 69(3), 2023 ---</w:t>
      </w:r>
    </w:p>
    <w:p>
      <w:r>
        <w:rPr>
          <w:b/>
          <w:sz w:val="24"/>
        </w:rPr>
        <w:t>Bảng 1. Đặc điểm nhân khẩu xã hội của học sinh tham gia (N = 75).</w:t>
      </w:r>
    </w:p>
    <w:tbl>
      <w:tblPr>
        <w:tblStyle w:val="TableGrid"/>
        <w:tblW w:type="auto" w:w="0"/>
        <w:tblLook w:firstColumn="1" w:firstRow="1" w:lastColumn="0" w:lastRow="0" w:noHBand="0" w:noVBand="1" w:val="04A0"/>
      </w:tblPr>
      <w:tblGrid>
        <w:gridCol w:w="2880"/>
        <w:gridCol w:w="2880"/>
        <w:gridCol w:w="2880"/>
      </w:tblGrid>
      <w:tr>
        <w:tc>
          <w:tcPr>
            <w:tcW w:type="dxa" w:w="6551"/>
          </w:tcPr>
          <w:p>
            <w:r>
              <w:rPr>
                <w:b/>
              </w:rPr>
            </w:r>
            <w:r>
              <w:rPr>
                <w:rFonts w:ascii="Times New Roman" w:hAnsi="Times New Roman"/>
                <w:b/>
                <w:sz w:val="18"/>
              </w:rPr>
              <w:t>Đặc điểm</w:t>
            </w:r>
          </w:p>
        </w:tc>
        <w:tc>
          <w:tcPr>
            <w:tcW w:type="dxa" w:w="1848"/>
          </w:tcPr>
          <w:p>
            <w:r>
              <w:rPr>
                <w:b/>
              </w:rPr>
            </w:r>
            <w:r>
              <w:rPr>
                <w:rFonts w:ascii="Times New Roman" w:hAnsi="Times New Roman"/>
                <w:b/>
                <w:sz w:val="18"/>
              </w:rPr>
              <w:t>N</w:t>
            </w:r>
          </w:p>
        </w:tc>
        <w:tc>
          <w:tcPr>
            <w:tcW w:type="dxa" w:w="850"/>
          </w:tcPr>
          <w:p>
            <w:r>
              <w:rPr>
                <w:b/>
              </w:rPr>
            </w:r>
            <w:r>
              <w:rPr>
                <w:rFonts w:ascii="Times New Roman" w:hAnsi="Times New Roman"/>
                <w:b/>
                <w:sz w:val="18"/>
              </w:rPr>
              <w:t>%</w:t>
            </w:r>
          </w:p>
        </w:tc>
      </w:tr>
      <w:tr>
        <w:tc>
          <w:tcPr>
            <w:tcW w:type="dxa" w:w="6551"/>
          </w:tcPr>
          <w:p>
            <w:r/>
            <w:r>
              <w:rPr>
                <w:rFonts w:ascii="Times New Roman" w:hAnsi="Times New Roman"/>
                <w:sz w:val="18"/>
              </w:rPr>
              <w:t>Giới tính</w:t>
            </w:r>
          </w:p>
        </w:tc>
        <w:tc>
          <w:tcPr>
            <w:tcW w:type="dxa" w:w="1848"/>
          </w:tcPr>
          <w:p>
            <w:r/>
            <w:r>
              <w:rPr>
                <w:rFonts w:ascii="Times New Roman" w:hAnsi="Times New Roman"/>
                <w:sz w:val="18"/>
              </w:rPr>
            </w:r>
          </w:p>
        </w:tc>
        <w:tc>
          <w:tcPr>
            <w:tcW w:type="dxa" w:w="850"/>
          </w:tcPr>
          <w:p>
            <w:r/>
            <w:r>
              <w:rPr>
                <w:rFonts w:ascii="Times New Roman" w:hAnsi="Times New Roman"/>
                <w:sz w:val="18"/>
              </w:rPr>
            </w:r>
          </w:p>
        </w:tc>
      </w:tr>
      <w:tr>
        <w:tc>
          <w:tcPr>
            <w:tcW w:type="dxa" w:w="6551"/>
          </w:tcPr>
          <w:p>
            <w:r/>
            <w:r>
              <w:rPr>
                <w:rFonts w:ascii="Times New Roman" w:hAnsi="Times New Roman"/>
                <w:sz w:val="18"/>
              </w:rPr>
              <w:t>Nữ</w:t>
            </w:r>
          </w:p>
        </w:tc>
        <w:tc>
          <w:tcPr>
            <w:tcW w:type="dxa" w:w="1848"/>
          </w:tcPr>
          <w:p>
            <w:r/>
            <w:r>
              <w:rPr>
                <w:rFonts w:ascii="Times New Roman" w:hAnsi="Times New Roman"/>
                <w:sz w:val="18"/>
              </w:rPr>
              <w:t>38</w:t>
            </w:r>
          </w:p>
        </w:tc>
        <w:tc>
          <w:tcPr>
            <w:tcW w:type="dxa" w:w="850"/>
          </w:tcPr>
          <w:p>
            <w:r/>
            <w:r>
              <w:rPr>
                <w:rFonts w:ascii="Times New Roman" w:hAnsi="Times New Roman"/>
                <w:sz w:val="18"/>
              </w:rPr>
              <w:t>50,7</w:t>
            </w:r>
          </w:p>
        </w:tc>
      </w:tr>
      <w:tr>
        <w:tc>
          <w:tcPr>
            <w:tcW w:type="dxa" w:w="6551"/>
          </w:tcPr>
          <w:p>
            <w:r/>
            <w:r>
              <w:rPr>
                <w:rFonts w:ascii="Times New Roman" w:hAnsi="Times New Roman"/>
                <w:sz w:val="18"/>
              </w:rPr>
              <w:t>Nam</w:t>
            </w:r>
          </w:p>
        </w:tc>
        <w:tc>
          <w:tcPr>
            <w:tcW w:type="dxa" w:w="1848"/>
          </w:tcPr>
          <w:p>
            <w:r/>
            <w:r>
              <w:rPr>
                <w:rFonts w:ascii="Times New Roman" w:hAnsi="Times New Roman"/>
                <w:sz w:val="18"/>
              </w:rPr>
              <w:t>37</w:t>
            </w:r>
          </w:p>
        </w:tc>
        <w:tc>
          <w:tcPr>
            <w:tcW w:type="dxa" w:w="850"/>
          </w:tcPr>
          <w:p>
            <w:r/>
            <w:r>
              <w:rPr>
                <w:rFonts w:ascii="Times New Roman" w:hAnsi="Times New Roman"/>
                <w:sz w:val="18"/>
              </w:rPr>
              <w:t>49,3</w:t>
            </w:r>
          </w:p>
        </w:tc>
      </w:tr>
      <w:tr>
        <w:tc>
          <w:tcPr>
            <w:tcW w:type="dxa" w:w="6551"/>
          </w:tcPr>
          <w:p>
            <w:r/>
            <w:r>
              <w:rPr>
                <w:rFonts w:ascii="Times New Roman" w:hAnsi="Times New Roman"/>
                <w:sz w:val="18"/>
              </w:rPr>
              <w:t>Tuổi (số năm)</w:t>
            </w:r>
          </w:p>
        </w:tc>
        <w:tc>
          <w:tcPr>
            <w:tcW w:type="dxa" w:w="1848"/>
          </w:tcPr>
          <w:p>
            <w:r/>
            <w:r>
              <w:rPr>
                <w:rFonts w:ascii="Times New Roman" w:hAnsi="Times New Roman"/>
                <w:sz w:val="18"/>
              </w:rPr>
            </w:r>
          </w:p>
        </w:tc>
        <w:tc>
          <w:tcPr>
            <w:tcW w:type="dxa" w:w="850"/>
          </w:tcPr>
          <w:p>
            <w:r/>
            <w:r>
              <w:rPr>
                <w:rFonts w:ascii="Times New Roman" w:hAnsi="Times New Roman"/>
                <w:sz w:val="18"/>
              </w:rPr>
            </w:r>
          </w:p>
        </w:tc>
      </w:tr>
      <w:tr>
        <w:tc>
          <w:tcPr>
            <w:tcW w:type="dxa" w:w="6551"/>
          </w:tcPr>
          <w:p>
            <w:r/>
            <w:r>
              <w:rPr>
                <w:rFonts w:ascii="Times New Roman" w:hAnsi="Times New Roman"/>
                <w:sz w:val="18"/>
              </w:rPr>
              <w:t>Trung bình (SD)</w:t>
            </w:r>
          </w:p>
        </w:tc>
        <w:tc>
          <w:tcPr>
            <w:tcW w:type="dxa" w:w="1848"/>
          </w:tcPr>
          <w:p>
            <w:r/>
            <w:r>
              <w:rPr>
                <w:rFonts w:ascii="Times New Roman" w:hAnsi="Times New Roman"/>
                <w:sz w:val="18"/>
              </w:rPr>
              <w:t>11,2 (0,74)</w:t>
            </w:r>
          </w:p>
        </w:tc>
        <w:tc>
          <w:tcPr>
            <w:tcW w:type="dxa" w:w="850"/>
          </w:tcPr>
          <w:p>
            <w:r/>
            <w:r>
              <w:rPr>
                <w:rFonts w:ascii="Times New Roman" w:hAnsi="Times New Roman"/>
                <w:sz w:val="18"/>
              </w:rPr>
            </w:r>
          </w:p>
        </w:tc>
      </w:tr>
      <w:tr>
        <w:tc>
          <w:tcPr>
            <w:tcW w:type="dxa" w:w="6551"/>
          </w:tcPr>
          <w:p>
            <w:r/>
            <w:r>
              <w:rPr>
                <w:rFonts w:ascii="Times New Roman" w:hAnsi="Times New Roman"/>
                <w:sz w:val="18"/>
              </w:rPr>
              <w:t>Phạm vi</w:t>
            </w:r>
          </w:p>
        </w:tc>
        <w:tc>
          <w:tcPr>
            <w:tcW w:type="dxa" w:w="1848"/>
          </w:tcPr>
          <w:p>
            <w:r/>
            <w:r>
              <w:rPr>
                <w:rFonts w:ascii="Times New Roman" w:hAnsi="Times New Roman"/>
                <w:sz w:val="18"/>
              </w:rPr>
              <w:t>10-14</w:t>
            </w:r>
          </w:p>
        </w:tc>
        <w:tc>
          <w:tcPr>
            <w:tcW w:type="dxa" w:w="850"/>
          </w:tcPr>
          <w:p>
            <w:r/>
            <w:r>
              <w:rPr>
                <w:rFonts w:ascii="Times New Roman" w:hAnsi="Times New Roman"/>
                <w:sz w:val="18"/>
              </w:rPr>
            </w:r>
          </w:p>
        </w:tc>
      </w:tr>
      <w:tr>
        <w:tc>
          <w:tcPr>
            <w:tcW w:type="dxa" w:w="6551"/>
          </w:tcPr>
          <w:p>
            <w:r/>
            <w:r>
              <w:rPr>
                <w:rFonts w:ascii="Times New Roman" w:hAnsi="Times New Roman"/>
                <w:sz w:val="18"/>
              </w:rPr>
              <w:t>Trình độ lớp</w:t>
            </w:r>
          </w:p>
        </w:tc>
        <w:tc>
          <w:tcPr>
            <w:tcW w:type="dxa" w:w="1848"/>
          </w:tcPr>
          <w:p>
            <w:r/>
            <w:r>
              <w:rPr>
                <w:rFonts w:ascii="Times New Roman" w:hAnsi="Times New Roman"/>
                <w:sz w:val="18"/>
              </w:rPr>
            </w:r>
          </w:p>
        </w:tc>
        <w:tc>
          <w:tcPr>
            <w:tcW w:type="dxa" w:w="850"/>
          </w:tcPr>
          <w:p>
            <w:r/>
            <w:r>
              <w:rPr>
                <w:rFonts w:ascii="Times New Roman" w:hAnsi="Times New Roman"/>
                <w:sz w:val="18"/>
              </w:rPr>
            </w:r>
          </w:p>
        </w:tc>
      </w:tr>
      <w:tr>
        <w:tc>
          <w:tcPr>
            <w:tcW w:type="dxa" w:w="6551"/>
          </w:tcPr>
          <w:p>
            <w:r/>
            <w:r>
              <w:rPr>
                <w:rFonts w:ascii="Times New Roman" w:hAnsi="Times New Roman"/>
                <w:sz w:val="18"/>
              </w:rPr>
              <w:t>Trung bình (SD)</w:t>
            </w:r>
          </w:p>
        </w:tc>
        <w:tc>
          <w:tcPr>
            <w:tcW w:type="dxa" w:w="1848"/>
          </w:tcPr>
          <w:p>
            <w:r/>
            <w:r>
              <w:rPr>
                <w:rFonts w:ascii="Times New Roman" w:hAnsi="Times New Roman"/>
                <w:sz w:val="18"/>
              </w:rPr>
              <w:t>6,21 (0,58)</w:t>
            </w:r>
          </w:p>
        </w:tc>
        <w:tc>
          <w:tcPr>
            <w:tcW w:type="dxa" w:w="850"/>
          </w:tcPr>
          <w:p>
            <w:r/>
            <w:r>
              <w:rPr>
                <w:rFonts w:ascii="Times New Roman" w:hAnsi="Times New Roman"/>
                <w:sz w:val="18"/>
              </w:rPr>
            </w:r>
          </w:p>
        </w:tc>
      </w:tr>
      <w:tr>
        <w:tc>
          <w:tcPr>
            <w:tcW w:type="dxa" w:w="6551"/>
          </w:tcPr>
          <w:p>
            <w:r/>
            <w:r>
              <w:rPr>
                <w:rFonts w:ascii="Times New Roman" w:hAnsi="Times New Roman"/>
                <w:sz w:val="18"/>
              </w:rPr>
              <w:t>Phạm vi</w:t>
            </w:r>
          </w:p>
        </w:tc>
        <w:tc>
          <w:tcPr>
            <w:tcW w:type="dxa" w:w="1848"/>
          </w:tcPr>
          <w:p>
            <w:r/>
            <w:r>
              <w:rPr>
                <w:rFonts w:ascii="Times New Roman" w:hAnsi="Times New Roman"/>
                <w:sz w:val="18"/>
              </w:rPr>
              <w:t>6-8</w:t>
            </w:r>
          </w:p>
        </w:tc>
        <w:tc>
          <w:tcPr>
            <w:tcW w:type="dxa" w:w="850"/>
          </w:tcPr>
          <w:p>
            <w:r/>
            <w:r>
              <w:rPr>
                <w:rFonts w:ascii="Times New Roman" w:hAnsi="Times New Roman"/>
                <w:sz w:val="18"/>
              </w:rPr>
            </w:r>
          </w:p>
        </w:tc>
      </w:tr>
      <w:tr>
        <w:tc>
          <w:tcPr>
            <w:tcW w:type="dxa" w:w="6551"/>
          </w:tcPr>
          <w:p>
            <w:r/>
            <w:r>
              <w:rPr>
                <w:rFonts w:ascii="Times New Roman" w:hAnsi="Times New Roman"/>
                <w:sz w:val="18"/>
              </w:rPr>
              <w:t>Nền tảng sắc tộc*</w:t>
            </w:r>
          </w:p>
        </w:tc>
        <w:tc>
          <w:tcPr>
            <w:tcW w:type="dxa" w:w="1848"/>
          </w:tcPr>
          <w:p>
            <w:r/>
            <w:r>
              <w:rPr>
                <w:rFonts w:ascii="Times New Roman" w:hAnsi="Times New Roman"/>
                <w:sz w:val="18"/>
              </w:rPr>
            </w:r>
          </w:p>
        </w:tc>
        <w:tc>
          <w:tcPr>
            <w:tcW w:type="dxa" w:w="850"/>
          </w:tcPr>
          <w:p>
            <w:r/>
            <w:r>
              <w:rPr>
                <w:rFonts w:ascii="Times New Roman" w:hAnsi="Times New Roman"/>
                <w:sz w:val="18"/>
              </w:rPr>
            </w:r>
          </w:p>
        </w:tc>
      </w:tr>
      <w:tr>
        <w:tc>
          <w:tcPr>
            <w:tcW w:type="dxa" w:w="6551"/>
          </w:tcPr>
          <w:p>
            <w:r/>
            <w:r>
              <w:rPr>
                <w:rFonts w:ascii="Times New Roman" w:hAnsi="Times New Roman"/>
                <w:sz w:val="18"/>
              </w:rPr>
              <w:t>Gốc Mexico</w:t>
            </w:r>
          </w:p>
        </w:tc>
        <w:tc>
          <w:tcPr>
            <w:tcW w:type="dxa" w:w="1848"/>
          </w:tcPr>
          <w:p>
            <w:r/>
            <w:r>
              <w:rPr>
                <w:rFonts w:ascii="Times New Roman" w:hAnsi="Times New Roman"/>
                <w:sz w:val="18"/>
              </w:rPr>
              <w:t>41</w:t>
            </w:r>
          </w:p>
        </w:tc>
        <w:tc>
          <w:tcPr>
            <w:tcW w:type="dxa" w:w="850"/>
          </w:tcPr>
          <w:p>
            <w:r/>
            <w:r>
              <w:rPr>
                <w:rFonts w:ascii="Times New Roman" w:hAnsi="Times New Roman"/>
                <w:sz w:val="18"/>
              </w:rPr>
              <w:t>54,7</w:t>
            </w:r>
          </w:p>
        </w:tc>
      </w:tr>
      <w:tr>
        <w:tc>
          <w:tcPr>
            <w:tcW w:type="dxa" w:w="6551"/>
          </w:tcPr>
          <w:p>
            <w:r/>
            <w:r>
              <w:rPr>
                <w:rFonts w:ascii="Times New Roman" w:hAnsi="Times New Roman"/>
                <w:sz w:val="18"/>
              </w:rPr>
              <w:t>Âu-Mỹ</w:t>
            </w:r>
          </w:p>
        </w:tc>
        <w:tc>
          <w:tcPr>
            <w:tcW w:type="dxa" w:w="1848"/>
          </w:tcPr>
          <w:p>
            <w:r/>
            <w:r>
              <w:rPr>
                <w:rFonts w:ascii="Times New Roman" w:hAnsi="Times New Roman"/>
                <w:sz w:val="18"/>
              </w:rPr>
              <w:t>32</w:t>
            </w:r>
          </w:p>
        </w:tc>
        <w:tc>
          <w:tcPr>
            <w:tcW w:type="dxa" w:w="850"/>
          </w:tcPr>
          <w:p>
            <w:r/>
            <w:r>
              <w:rPr>
                <w:rFonts w:ascii="Times New Roman" w:hAnsi="Times New Roman"/>
                <w:sz w:val="18"/>
              </w:rPr>
              <w:t>42,7</w:t>
            </w:r>
          </w:p>
        </w:tc>
      </w:tr>
      <w:tr>
        <w:tc>
          <w:tcPr>
            <w:tcW w:type="dxa" w:w="6551"/>
          </w:tcPr>
          <w:p>
            <w:r/>
            <w:r>
              <w:rPr>
                <w:rFonts w:ascii="Times New Roman" w:hAnsi="Times New Roman"/>
                <w:sz w:val="18"/>
              </w:rPr>
              <w:t>Mỹ gốc Phi/Da đen</w:t>
            </w:r>
          </w:p>
        </w:tc>
        <w:tc>
          <w:tcPr>
            <w:tcW w:type="dxa" w:w="1848"/>
          </w:tcPr>
          <w:p>
            <w:r/>
            <w:r>
              <w:rPr>
                <w:rFonts w:ascii="Times New Roman" w:hAnsi="Times New Roman"/>
                <w:sz w:val="18"/>
              </w:rPr>
              <w:t>10</w:t>
            </w:r>
          </w:p>
        </w:tc>
        <w:tc>
          <w:tcPr>
            <w:tcW w:type="dxa" w:w="850"/>
          </w:tcPr>
          <w:p>
            <w:r/>
            <w:r>
              <w:rPr>
                <w:rFonts w:ascii="Times New Roman" w:hAnsi="Times New Roman"/>
                <w:sz w:val="18"/>
              </w:rPr>
              <w:t>13,3</w:t>
            </w:r>
          </w:p>
        </w:tc>
      </w:tr>
      <w:tr>
        <w:tc>
          <w:tcPr>
            <w:tcW w:type="dxa" w:w="6551"/>
          </w:tcPr>
          <w:p>
            <w:r/>
            <w:r>
              <w:rPr>
                <w:rFonts w:ascii="Times New Roman" w:hAnsi="Times New Roman"/>
                <w:sz w:val="18"/>
              </w:rPr>
              <w:t>Trung Mỹ</w:t>
            </w:r>
          </w:p>
        </w:tc>
        <w:tc>
          <w:tcPr>
            <w:tcW w:type="dxa" w:w="1848"/>
          </w:tcPr>
          <w:p>
            <w:r/>
            <w:r>
              <w:rPr>
                <w:rFonts w:ascii="Times New Roman" w:hAnsi="Times New Roman"/>
                <w:sz w:val="18"/>
              </w:rPr>
              <w:t>5</w:t>
            </w:r>
          </w:p>
        </w:tc>
        <w:tc>
          <w:tcPr>
            <w:tcW w:type="dxa" w:w="850"/>
          </w:tcPr>
          <w:p>
            <w:r/>
            <w:r>
              <w:rPr>
                <w:rFonts w:ascii="Times New Roman" w:hAnsi="Times New Roman"/>
                <w:sz w:val="18"/>
              </w:rPr>
              <w:t>6,7</w:t>
            </w:r>
          </w:p>
        </w:tc>
      </w:tr>
      <w:tr>
        <w:tc>
          <w:tcPr>
            <w:tcW w:type="dxa" w:w="6551"/>
          </w:tcPr>
          <w:p>
            <w:r/>
            <w:r>
              <w:rPr>
                <w:rFonts w:ascii="Times New Roman" w:hAnsi="Times New Roman"/>
                <w:sz w:val="18"/>
              </w:rPr>
              <w:t>Quần đảo Thái Bình Dương</w:t>
            </w:r>
          </w:p>
        </w:tc>
        <w:tc>
          <w:tcPr>
            <w:tcW w:type="dxa" w:w="1848"/>
          </w:tcPr>
          <w:p>
            <w:r/>
            <w:r>
              <w:rPr>
                <w:rFonts w:ascii="Times New Roman" w:hAnsi="Times New Roman"/>
                <w:sz w:val="18"/>
              </w:rPr>
              <w:t>4</w:t>
            </w:r>
          </w:p>
        </w:tc>
        <w:tc>
          <w:tcPr>
            <w:tcW w:type="dxa" w:w="850"/>
          </w:tcPr>
          <w:p>
            <w:r/>
            <w:r>
              <w:rPr>
                <w:rFonts w:ascii="Times New Roman" w:hAnsi="Times New Roman"/>
                <w:sz w:val="18"/>
              </w:rPr>
              <w:t>5,3</w:t>
            </w:r>
          </w:p>
        </w:tc>
      </w:tr>
      <w:tr>
        <w:tc>
          <w:tcPr>
            <w:tcW w:type="dxa" w:w="6551"/>
          </w:tcPr>
          <w:p>
            <w:r/>
            <w:r>
              <w:rPr>
                <w:rFonts w:ascii="Times New Roman" w:hAnsi="Times New Roman"/>
                <w:sz w:val="18"/>
              </w:rPr>
              <w:t>Nam Á</w:t>
            </w:r>
          </w:p>
        </w:tc>
        <w:tc>
          <w:tcPr>
            <w:tcW w:type="dxa" w:w="1848"/>
          </w:tcPr>
          <w:p>
            <w:r/>
            <w:r>
              <w:rPr>
                <w:rFonts w:ascii="Times New Roman" w:hAnsi="Times New Roman"/>
                <w:sz w:val="18"/>
              </w:rPr>
              <w:t>3</w:t>
            </w:r>
          </w:p>
        </w:tc>
        <w:tc>
          <w:tcPr>
            <w:tcW w:type="dxa" w:w="850"/>
          </w:tcPr>
          <w:p>
            <w:r/>
            <w:r>
              <w:rPr>
                <w:rFonts w:ascii="Times New Roman" w:hAnsi="Times New Roman"/>
                <w:sz w:val="18"/>
              </w:rPr>
              <w:t>4,0</w:t>
            </w:r>
          </w:p>
        </w:tc>
      </w:tr>
      <w:tr>
        <w:tc>
          <w:tcPr>
            <w:tcW w:type="dxa" w:w="6551"/>
          </w:tcPr>
          <w:p>
            <w:r/>
            <w:r>
              <w:rPr>
                <w:rFonts w:ascii="Times New Roman" w:hAnsi="Times New Roman"/>
                <w:sz w:val="18"/>
              </w:rPr>
              <w:t>Đông Á</w:t>
            </w:r>
          </w:p>
        </w:tc>
        <w:tc>
          <w:tcPr>
            <w:tcW w:type="dxa" w:w="1848"/>
          </w:tcPr>
          <w:p>
            <w:r/>
            <w:r>
              <w:rPr>
                <w:rFonts w:ascii="Times New Roman" w:hAnsi="Times New Roman"/>
                <w:sz w:val="18"/>
              </w:rPr>
              <w:t>3</w:t>
            </w:r>
          </w:p>
        </w:tc>
        <w:tc>
          <w:tcPr>
            <w:tcW w:type="dxa" w:w="850"/>
          </w:tcPr>
          <w:p>
            <w:r/>
            <w:r>
              <w:rPr>
                <w:rFonts w:ascii="Times New Roman" w:hAnsi="Times New Roman"/>
                <w:sz w:val="18"/>
              </w:rPr>
              <w:t>4,0</w:t>
            </w:r>
          </w:p>
        </w:tc>
      </w:tr>
      <w:tr>
        <w:tc>
          <w:tcPr>
            <w:tcW w:type="dxa" w:w="6551"/>
          </w:tcPr>
          <w:p>
            <w:r/>
            <w:r>
              <w:rPr>
                <w:rFonts w:ascii="Times New Roman" w:hAnsi="Times New Roman"/>
                <w:sz w:val="18"/>
              </w:rPr>
              <w:t>Người bản địa Mỹ</w:t>
            </w:r>
          </w:p>
        </w:tc>
        <w:tc>
          <w:tcPr>
            <w:tcW w:type="dxa" w:w="1848"/>
          </w:tcPr>
          <w:p>
            <w:r/>
            <w:r>
              <w:rPr>
                <w:rFonts w:ascii="Times New Roman" w:hAnsi="Times New Roman"/>
                <w:sz w:val="18"/>
              </w:rPr>
              <w:t>2</w:t>
            </w:r>
          </w:p>
        </w:tc>
        <w:tc>
          <w:tcPr>
            <w:tcW w:type="dxa" w:w="850"/>
          </w:tcPr>
          <w:p>
            <w:r/>
            <w:r>
              <w:rPr>
                <w:rFonts w:ascii="Times New Roman" w:hAnsi="Times New Roman"/>
                <w:sz w:val="18"/>
              </w:rPr>
              <w:t>2,7</w:t>
            </w:r>
          </w:p>
        </w:tc>
      </w:tr>
      <w:tr>
        <w:tc>
          <w:tcPr>
            <w:tcW w:type="dxa" w:w="6551"/>
          </w:tcPr>
          <w:p>
            <w:r/>
            <w:r>
              <w:rPr>
                <w:rFonts w:ascii="Times New Roman" w:hAnsi="Times New Roman"/>
                <w:sz w:val="18"/>
              </w:rPr>
              <w:t>Loại hộ gia đình</w:t>
            </w:r>
          </w:p>
        </w:tc>
        <w:tc>
          <w:tcPr>
            <w:tcW w:type="dxa" w:w="1848"/>
          </w:tcPr>
          <w:p>
            <w:r/>
            <w:r>
              <w:rPr>
                <w:rFonts w:ascii="Times New Roman" w:hAnsi="Times New Roman"/>
                <w:sz w:val="18"/>
              </w:rPr>
            </w:r>
          </w:p>
        </w:tc>
        <w:tc>
          <w:tcPr>
            <w:tcW w:type="dxa" w:w="850"/>
          </w:tcPr>
          <w:p>
            <w:r/>
            <w:r>
              <w:rPr>
                <w:rFonts w:ascii="Times New Roman" w:hAnsi="Times New Roman"/>
                <w:sz w:val="18"/>
              </w:rPr>
            </w:r>
          </w:p>
        </w:tc>
      </w:tr>
      <w:tr>
        <w:tc>
          <w:tcPr>
            <w:tcW w:type="dxa" w:w="6551"/>
          </w:tcPr>
          <w:p>
            <w:r/>
            <w:r>
              <w:rPr>
                <w:rFonts w:ascii="Times New Roman" w:hAnsi="Times New Roman"/>
                <w:sz w:val="18"/>
              </w:rPr>
              <w:t>Cha mẹ ruột, cả hai</w:t>
            </w:r>
          </w:p>
        </w:tc>
        <w:tc>
          <w:tcPr>
            <w:tcW w:type="dxa" w:w="1848"/>
          </w:tcPr>
          <w:p>
            <w:r/>
            <w:r>
              <w:rPr>
                <w:rFonts w:ascii="Times New Roman" w:hAnsi="Times New Roman"/>
                <w:sz w:val="18"/>
              </w:rPr>
              <w:t>34</w:t>
            </w:r>
          </w:p>
        </w:tc>
        <w:tc>
          <w:tcPr>
            <w:tcW w:type="dxa" w:w="850"/>
          </w:tcPr>
          <w:p>
            <w:r/>
            <w:r>
              <w:rPr>
                <w:rFonts w:ascii="Times New Roman" w:hAnsi="Times New Roman"/>
                <w:sz w:val="18"/>
              </w:rPr>
              <w:t>45,3</w:t>
            </w:r>
          </w:p>
        </w:tc>
      </w:tr>
      <w:tr>
        <w:tc>
          <w:tcPr>
            <w:tcW w:type="dxa" w:w="6551"/>
          </w:tcPr>
          <w:p>
            <w:r/>
            <w:r>
              <w:rPr>
                <w:rFonts w:ascii="Times New Roman" w:hAnsi="Times New Roman"/>
                <w:sz w:val="18"/>
              </w:rPr>
              <w:t>Cha hoặc mẹ ruột, một người</w:t>
            </w:r>
          </w:p>
        </w:tc>
        <w:tc>
          <w:tcPr>
            <w:tcW w:type="dxa" w:w="1848"/>
          </w:tcPr>
          <w:p>
            <w:r/>
            <w:r>
              <w:rPr>
                <w:rFonts w:ascii="Times New Roman" w:hAnsi="Times New Roman"/>
                <w:sz w:val="18"/>
              </w:rPr>
              <w:t>20</w:t>
            </w:r>
          </w:p>
        </w:tc>
        <w:tc>
          <w:tcPr>
            <w:tcW w:type="dxa" w:w="850"/>
          </w:tcPr>
          <w:p>
            <w:r/>
            <w:r>
              <w:rPr>
                <w:rFonts w:ascii="Times New Roman" w:hAnsi="Times New Roman"/>
                <w:sz w:val="18"/>
              </w:rPr>
              <w:t>26,7</w:t>
            </w:r>
          </w:p>
        </w:tc>
      </w:tr>
      <w:tr>
        <w:tc>
          <w:tcPr>
            <w:tcW w:type="dxa" w:w="6551"/>
          </w:tcPr>
          <w:p>
            <w:r/>
            <w:r>
              <w:rPr>
                <w:rFonts w:ascii="Times New Roman" w:hAnsi="Times New Roman"/>
                <w:sz w:val="18"/>
              </w:rPr>
              <w:t>Hộ gia đình luân phiên (cha/mẹ, ông/bà)</w:t>
            </w:r>
          </w:p>
        </w:tc>
        <w:tc>
          <w:tcPr>
            <w:tcW w:type="dxa" w:w="1848"/>
          </w:tcPr>
          <w:p>
            <w:r/>
            <w:r>
              <w:rPr>
                <w:rFonts w:ascii="Times New Roman" w:hAnsi="Times New Roman"/>
                <w:sz w:val="18"/>
              </w:rPr>
              <w:t>13</w:t>
            </w:r>
          </w:p>
        </w:tc>
        <w:tc>
          <w:tcPr>
            <w:tcW w:type="dxa" w:w="850"/>
          </w:tcPr>
          <w:p>
            <w:r/>
            <w:r>
              <w:rPr>
                <w:rFonts w:ascii="Times New Roman" w:hAnsi="Times New Roman"/>
                <w:sz w:val="18"/>
              </w:rPr>
              <w:t>17,3</w:t>
            </w:r>
          </w:p>
        </w:tc>
      </w:tr>
      <w:tr>
        <w:tc>
          <w:tcPr>
            <w:tcW w:type="dxa" w:w="6551"/>
          </w:tcPr>
          <w:p>
            <w:r/>
            <w:r>
              <w:rPr>
                <w:rFonts w:ascii="Times New Roman" w:hAnsi="Times New Roman"/>
                <w:sz w:val="18"/>
              </w:rPr>
              <w:t>Cha/mẹ (một ruột và một dượng/mẹ kế)</w:t>
            </w:r>
          </w:p>
        </w:tc>
        <w:tc>
          <w:tcPr>
            <w:tcW w:type="dxa" w:w="1848"/>
          </w:tcPr>
          <w:p>
            <w:r/>
            <w:r>
              <w:rPr>
                <w:rFonts w:ascii="Times New Roman" w:hAnsi="Times New Roman"/>
                <w:sz w:val="18"/>
              </w:rPr>
              <w:t>7</w:t>
            </w:r>
          </w:p>
        </w:tc>
        <w:tc>
          <w:tcPr>
            <w:tcW w:type="dxa" w:w="850"/>
          </w:tcPr>
          <w:p>
            <w:r/>
            <w:r>
              <w:rPr>
                <w:rFonts w:ascii="Times New Roman" w:hAnsi="Times New Roman"/>
                <w:sz w:val="18"/>
              </w:rPr>
              <w:t>9,3</w:t>
            </w:r>
          </w:p>
        </w:tc>
      </w:tr>
      <w:tr>
        <w:tc>
          <w:tcPr>
            <w:tcW w:type="dxa" w:w="6551"/>
          </w:tcPr>
          <w:p>
            <w:r/>
            <w:r>
              <w:rPr>
                <w:rFonts w:ascii="Times New Roman" w:hAnsi="Times New Roman"/>
                <w:sz w:val="18"/>
              </w:rPr>
              <w:t>Gia đình mở rộng</w:t>
            </w:r>
          </w:p>
        </w:tc>
        <w:tc>
          <w:tcPr>
            <w:tcW w:type="dxa" w:w="1848"/>
          </w:tcPr>
          <w:p>
            <w:r/>
            <w:r>
              <w:rPr>
                <w:rFonts w:ascii="Times New Roman" w:hAnsi="Times New Roman"/>
                <w:sz w:val="18"/>
              </w:rPr>
              <w:t>1</w:t>
            </w:r>
          </w:p>
        </w:tc>
        <w:tc>
          <w:tcPr>
            <w:tcW w:type="dxa" w:w="850"/>
          </w:tcPr>
          <w:p>
            <w:r/>
            <w:r>
              <w:rPr>
                <w:rFonts w:ascii="Times New Roman" w:hAnsi="Times New Roman"/>
                <w:sz w:val="18"/>
              </w:rPr>
              <w:t>1,3</w:t>
            </w:r>
          </w:p>
        </w:tc>
      </w:tr>
    </w:tbl>
    <w:p/>
    <w:p>
      <w:r>
        <w:rPr>
          <w:sz w:val="24"/>
        </w:rPr>
        <w:t>*Tổng vượt quá 100% vì học sinh có thể xác định với nhiều nguồn gốc sắc tộc hoặc vùng địa lý. Bảng rút gọn này đơn giản hóa quá mức sự phức tạp của các tổ hợp có thể.</w:t>
      </w:r>
    </w:p>
    <w:p>
      <w:pPr>
        <w:pStyle w:val="Heading3"/>
      </w:pPr>
      <w:r>
        <w:t>Phân tích điểm trầm cảm PHQ-9A và lo âu GAD-10</w:t>
      </w:r>
    </w:p>
    <w:p>
      <w:r>
        <w:rPr>
          <w:sz w:val="24"/>
        </w:rPr>
        <w:t xml:space="preserve">Bảng 2 liệt kê toàn bộ phạm vi điểm số của học sinh cho </w:t>
      </w:r>
      <w:r>
        <w:rPr>
          <w:sz w:val="24"/>
        </w:rPr>
        <w:t>PHQ-9A</w:t>
      </w:r>
      <w:r>
        <w:rPr>
          <w:sz w:val="24"/>
        </w:rPr>
        <w:t xml:space="preserve"> và </w:t>
      </w:r>
      <w:r>
        <w:rPr>
          <w:sz w:val="24"/>
        </w:rPr>
        <w:t>GAD-10</w:t>
      </w:r>
      <w:r>
        <w:rPr>
          <w:sz w:val="24"/>
        </w:rPr>
        <w:t>. Như đã thấy, 56% học sinh rơi vào khoảng thấp nhất "không có" cho các triệu chứng trầm cảm, cũng như 49,3% cho các triệu chứng lo âu.</w:t>
      </w:r>
    </w:p>
    <w:p>
      <w:r>
        <w:rPr>
          <w:b/>
          <w:sz w:val="24"/>
        </w:rPr>
        <w:t>Bảng 2. Phản hồi PHQ-9A và GAD-10 của học sinh (N = 75).</w:t>
      </w:r>
    </w:p>
    <w:p>
      <w:r>
        <w:rPr>
          <w:sz w:val="24"/>
        </w:rPr>
        <w:t xml:space="preserve">*Phản hồi </w:t>
      </w:r>
      <w:r>
        <w:rPr>
          <w:sz w:val="24"/>
        </w:rPr>
        <w:t>PHQ-9A</w:t>
      </w:r>
      <w:r>
        <w:rPr>
          <w:sz w:val="24"/>
        </w:rPr>
        <w:t xml:space="preserve"> của học sinh:*</w:t>
      </w:r>
    </w:p>
    <w:tbl>
      <w:tblPr>
        <w:tblStyle w:val="TableGrid"/>
        <w:tblW w:type="auto" w:w="0"/>
        <w:tblLook w:firstColumn="1" w:firstRow="1" w:lastColumn="0" w:lastRow="0" w:noHBand="0" w:noVBand="1" w:val="04A0"/>
      </w:tblPr>
      <w:tblGrid>
        <w:gridCol w:w="2880"/>
        <w:gridCol w:w="2880"/>
        <w:gridCol w:w="2880"/>
      </w:tblGrid>
      <w:tr>
        <w:tc>
          <w:tcPr>
            <w:tcW w:type="dxa" w:w="7194"/>
          </w:tcPr>
          <w:p>
            <w:r>
              <w:rPr>
                <w:b/>
              </w:rPr>
            </w:r>
            <w:r>
              <w:rPr>
                <w:rFonts w:ascii="Times New Roman" w:hAnsi="Times New Roman"/>
                <w:b/>
                <w:sz w:val="18"/>
              </w:rPr>
              <w:t>Phạm vi PHQ-9A</w:t>
            </w:r>
          </w:p>
        </w:tc>
        <w:tc>
          <w:tcPr>
            <w:tcW w:type="dxa" w:w="850"/>
          </w:tcPr>
          <w:p>
            <w:r>
              <w:rPr>
                <w:b/>
              </w:rPr>
            </w:r>
            <w:r>
              <w:rPr>
                <w:rFonts w:ascii="Times New Roman" w:hAnsi="Times New Roman"/>
                <w:b/>
                <w:sz w:val="18"/>
              </w:rPr>
              <w:t>N</w:t>
            </w:r>
          </w:p>
        </w:tc>
        <w:tc>
          <w:tcPr>
            <w:tcW w:type="dxa" w:w="1251"/>
          </w:tcPr>
          <w:p>
            <w:r>
              <w:rPr>
                <w:b/>
              </w:rPr>
            </w:r>
            <w:r>
              <w:rPr>
                <w:rFonts w:ascii="Times New Roman" w:hAnsi="Times New Roman"/>
                <w:b/>
                <w:sz w:val="18"/>
              </w:rPr>
              <w:t>%</w:t>
            </w:r>
          </w:p>
        </w:tc>
      </w:tr>
      <w:tr>
        <w:tc>
          <w:tcPr>
            <w:tcW w:type="dxa" w:w="7194"/>
          </w:tcPr>
          <w:p>
            <w:r/>
            <w:r>
              <w:rPr>
                <w:rFonts w:ascii="Times New Roman" w:hAnsi="Times New Roman"/>
                <w:sz w:val="18"/>
              </w:rPr>
              <w:t>Không có (0-4)</w:t>
            </w:r>
          </w:p>
        </w:tc>
        <w:tc>
          <w:tcPr>
            <w:tcW w:type="dxa" w:w="850"/>
          </w:tcPr>
          <w:p>
            <w:r/>
            <w:r>
              <w:rPr>
                <w:rFonts w:ascii="Times New Roman" w:hAnsi="Times New Roman"/>
                <w:sz w:val="18"/>
              </w:rPr>
              <w:t>42</w:t>
            </w:r>
          </w:p>
        </w:tc>
        <w:tc>
          <w:tcPr>
            <w:tcW w:type="dxa" w:w="1251"/>
          </w:tcPr>
          <w:p>
            <w:r/>
            <w:r>
              <w:rPr>
                <w:rFonts w:ascii="Times New Roman" w:hAnsi="Times New Roman"/>
                <w:sz w:val="18"/>
              </w:rPr>
              <w:t>56</w:t>
            </w:r>
          </w:p>
        </w:tc>
      </w:tr>
      <w:tr>
        <w:tc>
          <w:tcPr>
            <w:tcW w:type="dxa" w:w="7194"/>
          </w:tcPr>
          <w:p>
            <w:r/>
            <w:r>
              <w:rPr>
                <w:rFonts w:ascii="Times New Roman" w:hAnsi="Times New Roman"/>
                <w:sz w:val="18"/>
              </w:rPr>
              <w:t>Nhẹ (5-9)</w:t>
            </w:r>
          </w:p>
        </w:tc>
        <w:tc>
          <w:tcPr>
            <w:tcW w:type="dxa" w:w="850"/>
          </w:tcPr>
          <w:p>
            <w:r/>
            <w:r>
              <w:rPr>
                <w:rFonts w:ascii="Times New Roman" w:hAnsi="Times New Roman"/>
                <w:sz w:val="18"/>
              </w:rPr>
              <w:t>17</w:t>
            </w:r>
          </w:p>
        </w:tc>
        <w:tc>
          <w:tcPr>
            <w:tcW w:type="dxa" w:w="1251"/>
          </w:tcPr>
          <w:p>
            <w:r/>
            <w:r>
              <w:rPr>
                <w:rFonts w:ascii="Times New Roman" w:hAnsi="Times New Roman"/>
                <w:sz w:val="18"/>
              </w:rPr>
              <w:t>22,6</w:t>
            </w:r>
          </w:p>
        </w:tc>
      </w:tr>
      <w:tr>
        <w:tc>
          <w:tcPr>
            <w:tcW w:type="dxa" w:w="7194"/>
          </w:tcPr>
          <w:p>
            <w:r/>
            <w:r>
              <w:rPr>
                <w:rFonts w:ascii="Times New Roman" w:hAnsi="Times New Roman"/>
                <w:sz w:val="18"/>
              </w:rPr>
              <w:t>Trung bình (10-14)</w:t>
            </w:r>
          </w:p>
        </w:tc>
        <w:tc>
          <w:tcPr>
            <w:tcW w:type="dxa" w:w="850"/>
          </w:tcPr>
          <w:p>
            <w:r/>
            <w:r>
              <w:rPr>
                <w:rFonts w:ascii="Times New Roman" w:hAnsi="Times New Roman"/>
                <w:sz w:val="18"/>
              </w:rPr>
              <w:t>12</w:t>
            </w:r>
          </w:p>
        </w:tc>
        <w:tc>
          <w:tcPr>
            <w:tcW w:type="dxa" w:w="1251"/>
          </w:tcPr>
          <w:p>
            <w:r/>
            <w:r>
              <w:rPr>
                <w:rFonts w:ascii="Times New Roman" w:hAnsi="Times New Roman"/>
                <w:sz w:val="18"/>
              </w:rPr>
              <w:t>16</w:t>
            </w:r>
          </w:p>
        </w:tc>
      </w:tr>
      <w:tr>
        <w:tc>
          <w:tcPr>
            <w:tcW w:type="dxa" w:w="7194"/>
          </w:tcPr>
          <w:p>
            <w:r/>
            <w:r>
              <w:rPr>
                <w:rFonts w:ascii="Times New Roman" w:hAnsi="Times New Roman"/>
                <w:sz w:val="18"/>
              </w:rPr>
              <w:t>Trung bình nặng (15-19)</w:t>
            </w:r>
          </w:p>
        </w:tc>
        <w:tc>
          <w:tcPr>
            <w:tcW w:type="dxa" w:w="850"/>
          </w:tcPr>
          <w:p>
            <w:r/>
            <w:r>
              <w:rPr>
                <w:rFonts w:ascii="Times New Roman" w:hAnsi="Times New Roman"/>
                <w:sz w:val="18"/>
              </w:rPr>
              <w:t>2</w:t>
            </w:r>
          </w:p>
        </w:tc>
        <w:tc>
          <w:tcPr>
            <w:tcW w:type="dxa" w:w="1251"/>
          </w:tcPr>
          <w:p>
            <w:r/>
            <w:r>
              <w:rPr>
                <w:rFonts w:ascii="Times New Roman" w:hAnsi="Times New Roman"/>
                <w:sz w:val="18"/>
              </w:rPr>
              <w:t>2,7</w:t>
            </w:r>
          </w:p>
        </w:tc>
      </w:tr>
      <w:tr>
        <w:tc>
          <w:tcPr>
            <w:tcW w:type="dxa" w:w="7194"/>
          </w:tcPr>
          <w:p>
            <w:r/>
            <w:r>
              <w:rPr>
                <w:rFonts w:ascii="Times New Roman" w:hAnsi="Times New Roman"/>
                <w:sz w:val="18"/>
              </w:rPr>
              <w:t>Nặng (20-27)</w:t>
            </w:r>
          </w:p>
        </w:tc>
        <w:tc>
          <w:tcPr>
            <w:tcW w:type="dxa" w:w="850"/>
          </w:tcPr>
          <w:p>
            <w:r/>
            <w:r>
              <w:rPr>
                <w:rFonts w:ascii="Times New Roman" w:hAnsi="Times New Roman"/>
                <w:sz w:val="18"/>
              </w:rPr>
              <w:t>2</w:t>
            </w:r>
          </w:p>
        </w:tc>
        <w:tc>
          <w:tcPr>
            <w:tcW w:type="dxa" w:w="1251"/>
          </w:tcPr>
          <w:p>
            <w:r/>
            <w:r>
              <w:rPr>
                <w:rFonts w:ascii="Times New Roman" w:hAnsi="Times New Roman"/>
                <w:sz w:val="18"/>
              </w:rPr>
              <w:t>2,7</w:t>
            </w:r>
          </w:p>
        </w:tc>
      </w:tr>
    </w:tbl>
    <w:p/>
    <w:p>
      <w:r>
        <w:rPr>
          <w:sz w:val="24"/>
        </w:rPr>
        <w:t xml:space="preserve">*Phản hồi </w:t>
      </w:r>
      <w:r>
        <w:rPr>
          <w:sz w:val="24"/>
        </w:rPr>
        <w:t>GAD-10</w:t>
      </w:r>
      <w:r>
        <w:rPr>
          <w:sz w:val="24"/>
        </w:rPr>
        <w:t xml:space="preserve"> của học sinh:*</w:t>
      </w:r>
    </w:p>
    <w:tbl>
      <w:tblPr>
        <w:tblStyle w:val="TableGrid"/>
        <w:tblW w:type="auto" w:w="0"/>
        <w:tblLook w:firstColumn="1" w:firstRow="1" w:lastColumn="0" w:lastRow="0" w:noHBand="0" w:noVBand="1" w:val="04A0"/>
      </w:tblPr>
      <w:tblGrid>
        <w:gridCol w:w="2880"/>
        <w:gridCol w:w="2880"/>
        <w:gridCol w:w="2880"/>
      </w:tblGrid>
      <w:tr>
        <w:tc>
          <w:tcPr>
            <w:tcW w:type="dxa" w:w="7315"/>
          </w:tcPr>
          <w:p>
            <w:r>
              <w:rPr>
                <w:b/>
              </w:rPr>
            </w:r>
            <w:r>
              <w:rPr>
                <w:rFonts w:ascii="Times New Roman" w:hAnsi="Times New Roman"/>
                <w:b/>
                <w:sz w:val="18"/>
              </w:rPr>
              <w:t>Phạm vi GAD-10</w:t>
            </w:r>
          </w:p>
        </w:tc>
        <w:tc>
          <w:tcPr>
            <w:tcW w:type="dxa" w:w="850"/>
          </w:tcPr>
          <w:p>
            <w:r>
              <w:rPr>
                <w:b/>
              </w:rPr>
            </w:r>
            <w:r>
              <w:rPr>
                <w:rFonts w:ascii="Times New Roman" w:hAnsi="Times New Roman"/>
                <w:b/>
                <w:sz w:val="18"/>
              </w:rPr>
              <w:t>N</w:t>
            </w:r>
          </w:p>
        </w:tc>
        <w:tc>
          <w:tcPr>
            <w:tcW w:type="dxa" w:w="1170"/>
          </w:tcPr>
          <w:p>
            <w:r>
              <w:rPr>
                <w:b/>
              </w:rPr>
            </w:r>
            <w:r>
              <w:rPr>
                <w:rFonts w:ascii="Times New Roman" w:hAnsi="Times New Roman"/>
                <w:b/>
                <w:sz w:val="18"/>
              </w:rPr>
              <w:t>%*</w:t>
            </w:r>
          </w:p>
        </w:tc>
      </w:tr>
      <w:tr>
        <w:tc>
          <w:tcPr>
            <w:tcW w:type="dxa" w:w="7315"/>
          </w:tcPr>
          <w:p>
            <w:r/>
            <w:r>
              <w:rPr>
                <w:rFonts w:ascii="Times New Roman" w:hAnsi="Times New Roman"/>
                <w:sz w:val="18"/>
              </w:rPr>
              <w:t>Không có (0-4,90)</w:t>
            </w:r>
          </w:p>
        </w:tc>
        <w:tc>
          <w:tcPr>
            <w:tcW w:type="dxa" w:w="850"/>
          </w:tcPr>
          <w:p>
            <w:r/>
            <w:r>
              <w:rPr>
                <w:rFonts w:ascii="Times New Roman" w:hAnsi="Times New Roman"/>
                <w:sz w:val="18"/>
              </w:rPr>
              <w:t>37</w:t>
            </w:r>
          </w:p>
        </w:tc>
        <w:tc>
          <w:tcPr>
            <w:tcW w:type="dxa" w:w="1170"/>
          </w:tcPr>
          <w:p>
            <w:r/>
            <w:r>
              <w:rPr>
                <w:rFonts w:ascii="Times New Roman" w:hAnsi="Times New Roman"/>
                <w:sz w:val="18"/>
              </w:rPr>
              <w:t>49,3</w:t>
            </w:r>
          </w:p>
        </w:tc>
      </w:tr>
      <w:tr>
        <w:tc>
          <w:tcPr>
            <w:tcW w:type="dxa" w:w="7315"/>
          </w:tcPr>
          <w:p>
            <w:r/>
            <w:r>
              <w:rPr>
                <w:rFonts w:ascii="Times New Roman" w:hAnsi="Times New Roman"/>
                <w:sz w:val="18"/>
              </w:rPr>
              <w:t>Nhẹ (5,00-14,90)</w:t>
            </w:r>
          </w:p>
        </w:tc>
        <w:tc>
          <w:tcPr>
            <w:tcW w:type="dxa" w:w="850"/>
          </w:tcPr>
          <w:p>
            <w:r/>
            <w:r>
              <w:rPr>
                <w:rFonts w:ascii="Times New Roman" w:hAnsi="Times New Roman"/>
                <w:sz w:val="18"/>
              </w:rPr>
              <w:t>24</w:t>
            </w:r>
          </w:p>
        </w:tc>
        <w:tc>
          <w:tcPr>
            <w:tcW w:type="dxa" w:w="1170"/>
          </w:tcPr>
          <w:p>
            <w:r/>
            <w:r>
              <w:rPr>
                <w:rFonts w:ascii="Times New Roman" w:hAnsi="Times New Roman"/>
                <w:sz w:val="18"/>
              </w:rPr>
              <w:t>32</w:t>
            </w:r>
          </w:p>
        </w:tc>
      </w:tr>
      <w:tr>
        <w:tc>
          <w:tcPr>
            <w:tcW w:type="dxa" w:w="7315"/>
          </w:tcPr>
          <w:p>
            <w:r/>
            <w:r>
              <w:rPr>
                <w:rFonts w:ascii="Times New Roman" w:hAnsi="Times New Roman"/>
                <w:sz w:val="18"/>
              </w:rPr>
              <w:t>Trung bình (15,00-24,90)</w:t>
            </w:r>
          </w:p>
        </w:tc>
        <w:tc>
          <w:tcPr>
            <w:tcW w:type="dxa" w:w="850"/>
          </w:tcPr>
          <w:p>
            <w:r/>
            <w:r>
              <w:rPr>
                <w:rFonts w:ascii="Times New Roman" w:hAnsi="Times New Roman"/>
                <w:sz w:val="18"/>
              </w:rPr>
              <w:t>10</w:t>
            </w:r>
          </w:p>
        </w:tc>
        <w:tc>
          <w:tcPr>
            <w:tcW w:type="dxa" w:w="1170"/>
          </w:tcPr>
          <w:p>
            <w:r/>
            <w:r>
              <w:rPr>
                <w:rFonts w:ascii="Times New Roman" w:hAnsi="Times New Roman"/>
                <w:sz w:val="18"/>
              </w:rPr>
              <w:t>13,3</w:t>
            </w:r>
          </w:p>
        </w:tc>
      </w:tr>
      <w:tr>
        <w:tc>
          <w:tcPr>
            <w:tcW w:type="dxa" w:w="7315"/>
          </w:tcPr>
          <w:p>
            <w:r/>
            <w:r>
              <w:rPr>
                <w:rFonts w:ascii="Times New Roman" w:hAnsi="Times New Roman"/>
                <w:sz w:val="18"/>
              </w:rPr>
              <w:t>Nặng (25,00-34,90)</w:t>
            </w:r>
          </w:p>
        </w:tc>
        <w:tc>
          <w:tcPr>
            <w:tcW w:type="dxa" w:w="850"/>
          </w:tcPr>
          <w:p>
            <w:r/>
            <w:r>
              <w:rPr>
                <w:rFonts w:ascii="Times New Roman" w:hAnsi="Times New Roman"/>
                <w:sz w:val="18"/>
              </w:rPr>
              <w:t>3</w:t>
            </w:r>
          </w:p>
        </w:tc>
        <w:tc>
          <w:tcPr>
            <w:tcW w:type="dxa" w:w="1170"/>
          </w:tcPr>
          <w:p>
            <w:r/>
            <w:r>
              <w:rPr>
                <w:rFonts w:ascii="Times New Roman" w:hAnsi="Times New Roman"/>
                <w:sz w:val="18"/>
              </w:rPr>
              <w:t>4</w:t>
            </w:r>
          </w:p>
        </w:tc>
      </w:tr>
      <w:tr>
        <w:tc>
          <w:tcPr>
            <w:tcW w:type="dxa" w:w="7315"/>
          </w:tcPr>
          <w:p>
            <w:r/>
            <w:r>
              <w:rPr>
                <w:rFonts w:ascii="Times New Roman" w:hAnsi="Times New Roman"/>
                <w:sz w:val="18"/>
              </w:rPr>
              <w:t>Cực kỳ nặng (35,00-40,00)</w:t>
            </w:r>
          </w:p>
        </w:tc>
        <w:tc>
          <w:tcPr>
            <w:tcW w:type="dxa" w:w="850"/>
          </w:tcPr>
          <w:p>
            <w:r/>
            <w:r>
              <w:rPr>
                <w:rFonts w:ascii="Times New Roman" w:hAnsi="Times New Roman"/>
                <w:sz w:val="18"/>
              </w:rPr>
              <w:t>1</w:t>
            </w:r>
          </w:p>
        </w:tc>
        <w:tc>
          <w:tcPr>
            <w:tcW w:type="dxa" w:w="1170"/>
          </w:tcPr>
          <w:p>
            <w:r/>
            <w:r>
              <w:rPr>
                <w:rFonts w:ascii="Times New Roman" w:hAnsi="Times New Roman"/>
                <w:sz w:val="18"/>
              </w:rPr>
              <w:t>1,3</w:t>
            </w:r>
          </w:p>
        </w:tc>
      </w:tr>
    </w:tbl>
    <w:p/>
    <w:p>
      <w:r>
        <w:rPr>
          <w:sz w:val="24"/>
        </w:rPr>
        <w:t>*Do làm tròn, tỷ lệ phần trăm không bằng chính xác 100%.</w:t>
      </w:r>
    </w:p>
    <w:p>
      <w:r>
        <w:rPr>
          <w:sz w:val="24"/>
        </w:rPr>
        <w:t xml:space="preserve">Về tần suất, mức "nhẹ" là phổ biến nhất tiếp theo, lần lượt là 22,6% và 32%. Mức trung bình đến cực kỳ nặng ít được quan sát thấy hơn. Khi gộp lại bất kỳ mức độ triệu chứng nào, 44% thanh thiếu niên trong nghiên cứu rơi vào phạm vi nhẹ đến nặng của thang sàng lọc trầm cảm </w:t>
      </w:r>
      <w:r>
        <w:rPr>
          <w:sz w:val="24"/>
        </w:rPr>
        <w:t>PHQ-9A</w:t>
      </w:r>
      <w:r>
        <w:rPr>
          <w:sz w:val="24"/>
        </w:rPr>
        <w:t xml:space="preserve">, trong khi các phản hồi </w:t>
      </w:r>
      <w:r>
        <w:rPr>
          <w:sz w:val="24"/>
        </w:rPr>
        <w:t>GAD-10</w:t>
      </w:r>
      <w:r>
        <w:rPr>
          <w:sz w:val="24"/>
        </w:rPr>
        <w:t xml:space="preserve"> cho thấy khoảng một nửa (50,6%) thanh thiếu niên rơi vào phạm vi sàng lọc lo âu từ nhẹ đến cực kỳ nặng.</w:t>
      </w:r>
    </w:p>
    <w:p>
      <w:r>
        <w:rPr>
          <w:sz w:val="24"/>
        </w:rPr>
        <w:t xml:space="preserve">Tổng điểm </w:t>
      </w:r>
      <w:r>
        <w:rPr>
          <w:sz w:val="24"/>
        </w:rPr>
        <w:t>PHQ-9A</w:t>
      </w:r>
      <w:r>
        <w:rPr>
          <w:sz w:val="24"/>
        </w:rPr>
        <w:t xml:space="preserve"> phản ánh tần suất của các triệu chứng được liệt kê trong chín mục cho triệu chứng học trầm cảm. Trong nghiên cứu này, mục 10 của </w:t>
      </w:r>
      <w:r>
        <w:rPr>
          <w:sz w:val="24"/>
        </w:rPr>
        <w:t>GAD-10</w:t>
      </w:r>
      <w:r>
        <w:rPr>
          <w:sz w:val="24"/>
        </w:rPr>
        <w:t xml:space="preserve"> được sửa đổi bằng cách bỏ ngôn ngữ về "đồ vật mê tín" như một vấn đề phù hợp văn hóa (mô tả chi tiết hơn về vấn đề này nằm ngoài phạm vi bài viết này nhưng là chủ đề của một ấn phẩm sắp tới) và việc tổng hợp nhiều hành vi tìm kiếm sự giúp đỡ của nó được chia thành bảy ô riêng biệt để nhận dạng nâng cao các hoạt động đối phó cụ thể. Do đó, tổng điểm </w:t>
      </w:r>
      <w:r>
        <w:rPr>
          <w:sz w:val="24"/>
        </w:rPr>
        <w:t>GAD-10</w:t>
      </w:r>
      <w:r>
        <w:rPr>
          <w:sz w:val="24"/>
        </w:rPr>
        <w:t xml:space="preserve"> bao gồm tổng các mục 1 đến 9, cộng với tần suất được xác nhận cao nhất của bảy mục mở rộng. Cách tính này được thực hiện để không đánh giá quá cao các triệu chứng đối phó trong tổng điểm.</w:t>
      </w:r>
    </w:p>
    <w:p>
      <w:r>
        <w:rPr>
          <w:b/>
          <w:color w:val="FF6600"/>
          <w:sz w:val="20"/>
        </w:rPr>
        <w:t>--- Trang 788, Int J Social Psychiatry, Vol. 69(3), 2023 ---</w:t>
      </w:r>
    </w:p>
    <w:p>
      <w:pPr>
        <w:pStyle w:val="Heading3"/>
      </w:pPr>
      <w:r>
        <w:t>Phương sai trong PHQ-9A và GAD-10</w:t>
      </w:r>
    </w:p>
    <w:p>
      <w:r>
        <w:rPr>
          <w:sz w:val="24"/>
        </w:rPr>
        <w:t xml:space="preserve">Các nghiên cứu trước đây đã chỉ ra rằng điểm </w:t>
      </w:r>
      <w:r>
        <w:rPr>
          <w:sz w:val="24"/>
        </w:rPr>
        <w:t>PHQ-9</w:t>
      </w:r>
      <w:r>
        <w:rPr>
          <w:sz w:val="24"/>
        </w:rPr>
        <w:t xml:space="preserve"> không phân phối chuẩn ở người trưởng thành và thanh thiếu niên lớn tuổi hơn (Burdzovic Andreas &amp; Brunborg, 2017; Tomitaka và cộng sự, 2018), và các phản hồi 7 mục GAD cũng bị lệch tương tự (Tomitaka &amp; Furukawa, 2021). Chúng tôi xác nhận các phát hiện này trong nhóm thanh thiếu niên sớm của chúng tôi. Cả </w:t>
      </w:r>
      <w:r>
        <w:rPr>
          <w:sz w:val="24"/>
        </w:rPr>
        <w:t>PHQ-9</w:t>
      </w:r>
      <w:r>
        <w:rPr>
          <w:sz w:val="24"/>
        </w:rPr>
        <w:t xml:space="preserve"> (p &lt; 10⁻⁵, kiểm định Shapiro-Wilk) và GAD (p &lt; 10⁻⁶, kiểm định Shapiro-Wilk) tổng điểm đều không phù hợp với phân phối Gaussian (Hình 1a). Tổng điểm </w:t>
      </w:r>
      <w:r>
        <w:rPr>
          <w:sz w:val="24"/>
        </w:rPr>
        <w:t>PHQ-9A</w:t>
      </w:r>
      <w:r>
        <w:rPr>
          <w:sz w:val="24"/>
        </w:rPr>
        <w:t xml:space="preserve"> dao động từ 0 đến 23, với trung vị 3,4 (IQR 6,5); tổng điểm </w:t>
      </w:r>
      <w:r>
        <w:rPr>
          <w:sz w:val="24"/>
        </w:rPr>
        <w:t>GAD-10</w:t>
      </w:r>
      <w:r>
        <w:rPr>
          <w:sz w:val="24"/>
        </w:rPr>
        <w:t xml:space="preserve"> dao động từ 0 đến 36, với trung vị 5,0 (IQR 9,5). Các nghiên cứu trước đây cũng cho thấy tương quan mạnh giữa </w:t>
      </w:r>
      <w:r>
        <w:rPr>
          <w:sz w:val="24"/>
        </w:rPr>
        <w:t>PHQ-9</w:t>
      </w:r>
      <w:r>
        <w:rPr>
          <w:sz w:val="24"/>
        </w:rPr>
        <w:t xml:space="preserve"> và </w:t>
      </w:r>
      <w:r>
        <w:rPr>
          <w:sz w:val="24"/>
        </w:rPr>
        <w:t>GAD-7</w:t>
      </w:r>
      <w:r>
        <w:rPr>
          <w:sz w:val="24"/>
        </w:rPr>
        <w:t xml:space="preserve"> ở người trưởng thành (Kroenke và cộng sự, 2016) và thanh thiếu niên (Leung và cộng sự, 2020). Chúng tôi xác nhận rằng điểm </w:t>
      </w:r>
      <w:r>
        <w:rPr>
          <w:sz w:val="24"/>
        </w:rPr>
        <w:t>PHQ-9A</w:t>
      </w:r>
      <w:r>
        <w:rPr>
          <w:sz w:val="24"/>
        </w:rPr>
        <w:t xml:space="preserve"> và </w:t>
      </w:r>
      <w:r>
        <w:rPr>
          <w:sz w:val="24"/>
        </w:rPr>
        <w:t>GAD-10</w:t>
      </w:r>
      <w:r>
        <w:rPr>
          <w:sz w:val="24"/>
        </w:rPr>
        <w:t xml:space="preserve"> có tương quan cao trong nhóm của chúng tôi (Hình 1b, Pearson r² = 0,76). Điều này cho thấy hơn ba phần tư sự biến thiên trong điểm </w:t>
      </w:r>
      <w:r>
        <w:rPr>
          <w:sz w:val="24"/>
        </w:rPr>
        <w:t>PHQ-9A</w:t>
      </w:r>
      <w:r>
        <w:rPr>
          <w:sz w:val="24"/>
        </w:rPr>
        <w:t xml:space="preserve"> có thể được giải thích bằng sự biến thiên trong điểm </w:t>
      </w:r>
      <w:r>
        <w:rPr>
          <w:sz w:val="24"/>
        </w:rPr>
        <w:t>GAD-10</w:t>
      </w:r>
      <w:r>
        <w:rPr>
          <w:sz w:val="24"/>
        </w:rPr>
        <w:t>. Các tương quan vẫn mạnh khi phân tích riêng cho nam và nữ (Hình 1b, r² = 0,76 cho nữ, r² = 0,74 cho nam).</w:t>
      </w:r>
    </w:p>
    <w:p>
      <w:pPr>
        <w:jc w:val="center"/>
      </w:pPr>
      <w:r>
        <w:drawing>
          <wp:inline xmlns:a="http://schemas.openxmlformats.org/drawingml/2006/main" xmlns:pic="http://schemas.openxmlformats.org/drawingml/2006/picture">
            <wp:extent cx="5029200" cy="3378136"/>
            <wp:docPr id="2" name="Picture 2"/>
            <wp:cNvGraphicFramePr>
              <a:graphicFrameLocks noChangeAspect="1"/>
            </wp:cNvGraphicFramePr>
            <a:graphic>
              <a:graphicData uri="http://schemas.openxmlformats.org/drawingml/2006/picture">
                <pic:pic>
                  <pic:nvPicPr>
                    <pic:cNvPr id="0" name="01_fig1_distributions.png"/>
                    <pic:cNvPicPr/>
                  </pic:nvPicPr>
                  <pic:blipFill>
                    <a:blip r:embed="rId10"/>
                    <a:stretch>
                      <a:fillRect/>
                    </a:stretch>
                  </pic:blipFill>
                  <pic:spPr>
                    <a:xfrm>
                      <a:off x="0" y="0"/>
                      <a:ext cx="5029200" cy="3378136"/>
                    </a:xfrm>
                    <a:prstGeom prst="rect"/>
                  </pic:spPr>
                </pic:pic>
              </a:graphicData>
            </a:graphic>
          </wp:inline>
        </w:drawing>
      </w:r>
    </w:p>
    <w:p>
      <w:pPr>
        <w:jc w:val="center"/>
      </w:pPr>
      <w:r>
        <w:rPr>
          <w:i/>
          <w:color w:val="333399"/>
          <w:sz w:val="18"/>
        </w:rPr>
        <w:t>Hình 1: Phân bố điểm PHQ-9A và GAD-10</w:t>
      </w:r>
    </w:p>
    <w:p/>
    <w:p>
      <w:pPr>
        <w:jc w:val="center"/>
      </w:pPr>
      <w:r>
        <w:drawing>
          <wp:inline xmlns:a="http://schemas.openxmlformats.org/drawingml/2006/main" xmlns:pic="http://schemas.openxmlformats.org/drawingml/2006/picture">
            <wp:extent cx="5029200" cy="3124776"/>
            <wp:docPr id="3" name="Picture 3"/>
            <wp:cNvGraphicFramePr>
              <a:graphicFrameLocks noChangeAspect="1"/>
            </wp:cNvGraphicFramePr>
            <a:graphic>
              <a:graphicData uri="http://schemas.openxmlformats.org/drawingml/2006/picture">
                <pic:pic>
                  <pic:nvPicPr>
                    <pic:cNvPr id="0" name="01_fig2_boxplots.png"/>
                    <pic:cNvPicPr/>
                  </pic:nvPicPr>
                  <pic:blipFill>
                    <a:blip r:embed="rId11"/>
                    <a:stretch>
                      <a:fillRect/>
                    </a:stretch>
                  </pic:blipFill>
                  <pic:spPr>
                    <a:xfrm>
                      <a:off x="0" y="0"/>
                      <a:ext cx="5029200" cy="3124776"/>
                    </a:xfrm>
                    <a:prstGeom prst="rect"/>
                  </pic:spPr>
                </pic:pic>
              </a:graphicData>
            </a:graphic>
          </wp:inline>
        </w:drawing>
      </w:r>
    </w:p>
    <w:p>
      <w:pPr>
        <w:jc w:val="center"/>
      </w:pPr>
      <w:r>
        <w:rPr>
          <w:i/>
          <w:color w:val="333399"/>
          <w:sz w:val="18"/>
        </w:rPr>
        <w:t>Hình 2: Khác biệt giới tính PHQ-9A và GAD-10</w:t>
      </w:r>
    </w:p>
    <w:p/>
    <w:p>
      <w:pPr>
        <w:pStyle w:val="Heading3"/>
      </w:pPr>
      <w:r>
        <w:t>Khác biệt giới tính trong điểm PHQ-9 và GAD</w:t>
      </w:r>
    </w:p>
    <w:p>
      <w:r>
        <w:rPr>
          <w:sz w:val="24"/>
        </w:rPr>
        <w:t xml:space="preserve">Nữ giới luôn báo cáo mức trầm cảm cao hơn nam giới (Salk và cộng sự, 2017). Thực tế, sự chênh lệch giới trong trầm cảm đã mở rộng ở thanh thiếu niên tại Hoa Kỳ trong thập kỷ qua (Daly, 2022). Chúng tôi xác nhận trong nhóm thanh thiếu niên sớm này rằng điểm </w:t>
      </w:r>
      <w:r>
        <w:rPr>
          <w:sz w:val="24"/>
        </w:rPr>
        <w:t>PHQ-9A</w:t>
      </w:r>
      <w:r>
        <w:rPr>
          <w:sz w:val="24"/>
        </w:rPr>
        <w:t xml:space="preserve"> cao hơn ở nữ so với nam (p = 0,002, kiểm định Mann-Whitney), với chênh lệch trung vị là 4 điểm (Hình 2). Tương tự, điểm </w:t>
      </w:r>
      <w:r>
        <w:rPr>
          <w:sz w:val="24"/>
        </w:rPr>
        <w:t>GAD-10</w:t>
      </w:r>
      <w:r>
        <w:rPr>
          <w:sz w:val="24"/>
        </w:rPr>
        <w:t xml:space="preserve"> cao hơn ở nữ so với nam (p = 0,016, kiểm định Mann-Whitney), với chênh lệch trung vị là 3 điểm (Hình 2).</w:t>
      </w:r>
    </w:p>
    <w:p>
      <w:r>
        <w:rPr>
          <w:b/>
          <w:color w:val="FF6600"/>
          <w:sz w:val="20"/>
        </w:rPr>
        <w:t>--- Trang 789, Int J Social Psychiatry, Vol. 69(3), 2023 ---</w:t>
      </w:r>
    </w:p>
    <w:p>
      <w:pPr>
        <w:pStyle w:val="Heading3"/>
      </w:pPr>
      <w:r>
        <w:t>Khác biệt giới tính trong các mục PHQ-9 và GAD cụ thể</w:t>
      </w:r>
    </w:p>
    <w:p>
      <w:r>
        <w:rPr>
          <w:sz w:val="24"/>
        </w:rPr>
        <w:t xml:space="preserve">Các mục được sắp xếp theo thứ tự giảm dần của chênh lệch trung bình chuẩn hóa (Hình 3), và kiểm định t hai phía được tính toán để đánh giá sự khác biệt giữa các nhóm. Để kiểm soát đa so sánh, hiệu chỉnh Bonferroni được áp dụng với alpha 0,05, đặt mức ý nghĩa ở 0,05 chia cho số lần so sánh. Cần lưu ý, tổng số so sánh là 10 cho </w:t>
      </w:r>
      <w:r>
        <w:rPr>
          <w:sz w:val="24"/>
        </w:rPr>
        <w:t>GAD-10</w:t>
      </w:r>
      <w:r>
        <w:rPr>
          <w:sz w:val="24"/>
        </w:rPr>
        <w:t xml:space="preserve"> vì chúng tôi chỉ so sánh phản hồi tối đa của bảy câu hỏi đối phó phù hợp với các nghiên cứu </w:t>
      </w:r>
      <w:r>
        <w:rPr>
          <w:sz w:val="24"/>
        </w:rPr>
        <w:t>GAD-10</w:t>
      </w:r>
      <w:r>
        <w:rPr>
          <w:sz w:val="24"/>
        </w:rPr>
        <w:t xml:space="preserve"> hiện có sử dụng mục tổng hợp #10. Do đó, ngưỡng ý nghĩa được xác định là p &lt; 0,006 cho các mục </w:t>
      </w:r>
      <w:r>
        <w:rPr>
          <w:sz w:val="24"/>
        </w:rPr>
        <w:t>PHQ-9A</w:t>
      </w:r>
      <w:r>
        <w:rPr>
          <w:sz w:val="24"/>
        </w:rPr>
        <w:t xml:space="preserve"> và p &lt; 0,005 cho các mục </w:t>
      </w:r>
      <w:r>
        <w:rPr>
          <w:sz w:val="24"/>
        </w:rPr>
        <w:t>GAD-10</w:t>
      </w:r>
      <w:r>
        <w:rPr>
          <w:sz w:val="24"/>
        </w:rPr>
        <w:t xml:space="preserve">. Nữ sinh có phản hồi trung bình cao hơn ở ba mục </w:t>
      </w:r>
      <w:r>
        <w:rPr>
          <w:sz w:val="24"/>
        </w:rPr>
        <w:t>PHQ-9A</w:t>
      </w:r>
      <w:r>
        <w:rPr>
          <w:sz w:val="24"/>
        </w:rPr>
        <w:t xml:space="preserve"> sau khi kiểm soát đa so sánh (p &lt; 0,006, kiểm định t hai phía). Điều này bao gồm mục về tâm trạng trầm cảm (DEPRSD), một trong hai triệu chứng cốt lõi cần thiết cho chẩn đoán trầm cảm theo tiêu chí DSM và ICD. Hai mục có ý nghĩa khác liên quan đến cảm giác mệt mỏi hoặc thiếu năng lượng (TIRED) và cảm thấy tồi tệ về bản thân hoặc như một kẻ thất bại (FAILUR). Chênh lệch chuẩn hóa cho các mục TIRED, FAILUR và DEPRSD lần lượt là 5,18, 4,35 và 4,33. Điều này cho thấy phản hồi trung bình trên các mục này cao hơn 4 đến 5 sai số chuẩn ở nữ so với nam. Mục liên quan đến giấc ngủ kém (SLEEP) cho thấy sự khác biệt mức xu hướng mạnh (p = 0,018, kiểm định t hai phía) với chênh lệch chuẩn hóa 3,4, nhưng mục này không đạt ngưỡng ý nghĩa sau hiệu chỉnh Bonferroni.</w:t>
      </w:r>
    </w:p>
    <w:p>
      <w:r>
        <w:rPr>
          <w:sz w:val="24"/>
        </w:rPr>
        <w:t xml:space="preserve">Nữ sinh có phản hồi trung bình cao hơn ở chỉ một mục trong </w:t>
      </w:r>
      <w:r>
        <w:rPr>
          <w:sz w:val="24"/>
        </w:rPr>
        <w:t>GAD-10</w:t>
      </w:r>
      <w:r>
        <w:rPr>
          <w:sz w:val="24"/>
        </w:rPr>
        <w:t xml:space="preserve"> sau khi kiểm soát đa so sánh (p &lt; 0,005, kiểm định t hai phía). Câu hỏi này liên quan đến cảm giác sợ hãi hoặc hoảng loạn đột ngột (TERR</w:t>
      </w:r>
      <w:r>
        <w:rPr>
          <w:b/>
          <w:color w:val="CC0000"/>
          <w:sz w:val="24"/>
        </w:rPr>
        <w:t>OR</w:t>
      </w:r>
      <w:r>
        <w:rPr>
          <w:sz w:val="24"/>
        </w:rPr>
        <w:t xml:space="preserve">), có chênh lệch trung bình chuẩn hóa 4,5, cho thấy phản hồi trung bình cao hơn 4,5 sai số chuẩn ở nữ so với nam. Mục chẩn đoán cốt lõi liên quan đến cảm giác lo lắng, bồn chồn hoặc căng thẳng (ANXTY) cho thấy sự khác biệt mức xu hướng mạnh (p = 0,017, kiểm định t hai phía) với chênh lệch trung bình chuẩn hóa 3,5, mặc dù mục này không đạt ý nghĩa sau hiệu chỉnh Bonferroni. Sự khác biệt mức xu hướng cao hơn ở nữ cho tất cả 10 mục của </w:t>
      </w:r>
      <w:r>
        <w:rPr>
          <w:sz w:val="24"/>
        </w:rPr>
        <w:t>GAD-10</w:t>
      </w:r>
      <w:r>
        <w:rPr>
          <w:sz w:val="24"/>
        </w:rPr>
        <w:t xml:space="preserve"> và 8 trong 9 mục của </w:t>
      </w:r>
      <w:r>
        <w:rPr>
          <w:sz w:val="24"/>
        </w:rPr>
        <w:t>PHQ-9A</w:t>
      </w:r>
      <w:r>
        <w:rPr>
          <w:sz w:val="24"/>
        </w:rPr>
        <w:t>.</w:t>
      </w:r>
    </w:p>
    <w:p>
      <w:pPr>
        <w:pStyle w:val="Heading3"/>
      </w:pPr>
      <w:r>
        <w:t>Phát hiện dân tộc học về COVID-19, phân biệt đối xử và bạo lực trên cơ sở giới</w:t>
      </w:r>
    </w:p>
    <w:p>
      <w:r>
        <w:rPr>
          <w:sz w:val="24"/>
        </w:rPr>
        <w:t>*</w:t>
      </w:r>
      <w:r>
        <w:rPr>
          <w:sz w:val="24"/>
        </w:rPr>
        <w:t>COVID-19</w:t>
      </w:r>
      <w:r>
        <w:rPr>
          <w:sz w:val="24"/>
        </w:rPr>
        <w:t xml:space="preserve">.* Nổi bật đối với cả nữ sinh và nam sinh là sự lo lắng về hậu quả của </w:t>
      </w:r>
      <w:r>
        <w:rPr>
          <w:sz w:val="24"/>
        </w:rPr>
        <w:t>COVID-19</w:t>
      </w:r>
      <w:r>
        <w:rPr>
          <w:sz w:val="24"/>
        </w:rPr>
        <w:t xml:space="preserve"> (Bệnh virus corona 2019 - Coronavirus Disease 2019) đối với gia đình liên quan đến bệnh tật, tử vong, mất việc làm và khó khăn kinh tế. Đây là một lĩnh vực sức khỏe tâm thần không nằm trong các mục sàng lọc nhưng được mô tả chi tiết bởi các cuộc phỏng vấn dân tộc học.</w:t>
      </w:r>
    </w:p>
    <w:p>
      <w:r>
        <w:rPr>
          <w:sz w:val="24"/>
        </w:rPr>
        <w:t>*Phân biệt đối xử.* Nỗi sợ hãi trước nhận thức của học sinh về sự gia tăng phân biệt đối xử và phân biệt chủng tộc trong trường học và cộng đồng là rất nổi bật. Những vấn đề này được học sinh trải nghiệm như những rào cản đối với sự tham gia giáo dục.</w:t>
      </w:r>
    </w:p>
    <w:p>
      <w:r>
        <w:rPr>
          <w:sz w:val="24"/>
        </w:rPr>
        <w:t>*Bạo lực trên cơ sở giới.* Các cuộc phỏng vấn dân tộc học cho thấy các bối cảnh liên quan đến trải nghiệm trầm cảm và lo âu của nữ sinh, bao gồm bạo lực trên cơ sở giới trong cả môi trường trường học và gia đình.</w:t>
      </w:r>
    </w:p>
    <w:p>
      <w:r>
        <w:rPr>
          <w:b/>
          <w:color w:val="FF6600"/>
          <w:sz w:val="20"/>
        </w:rPr>
        <w:t>--- Trang 790, Int J Social Psychiatry, Vol. 69(3), 2023 ---</w:t>
      </w:r>
    </w:p>
    <w:p>
      <w:pPr>
        <w:pStyle w:val="Heading2"/>
      </w:pPr>
      <w:r>
        <w:t>THẢO LUẬN</w:t>
      </w:r>
    </w:p>
    <w:p>
      <w:pPr>
        <w:pStyle w:val="Heading3"/>
      </w:pPr>
      <w:r>
        <w:t>Phát hiện về tuổi trong trầm cảm và lo âu</w:t>
      </w:r>
    </w:p>
    <w:p>
      <w:r>
        <w:rPr>
          <w:sz w:val="24"/>
        </w:rPr>
        <w:t xml:space="preserve">Chúng tôi nhận thấy 44% thanh thiếu niên trong nghiên cứu rơi vào phạm vi nhẹ đến nặng của thang sàng lọc trầm cảm </w:t>
      </w:r>
      <w:r>
        <w:rPr>
          <w:sz w:val="24"/>
        </w:rPr>
        <w:t>PHQ-9A</w:t>
      </w:r>
      <w:r>
        <w:rPr>
          <w:sz w:val="24"/>
        </w:rPr>
        <w:t xml:space="preserve">, trong khi các phản hồi </w:t>
      </w:r>
      <w:r>
        <w:rPr>
          <w:sz w:val="24"/>
        </w:rPr>
        <w:t>GAD-10</w:t>
      </w:r>
      <w:r>
        <w:rPr>
          <w:sz w:val="24"/>
        </w:rPr>
        <w:t xml:space="preserve"> cho thấy khoảng một nửa (50,6%) thanh thiếu niên rơi vào phạm vi sàng lọc lo âu từ nhẹ đến cực kỳ nặng. Với đây là một nghiên cứu phi lâm sàng, dựa trên trường học, kết quả của chúng tôi cho thấy việc sàng lọc các vấn đề sức khỏe tâm thần phổ biến này có thể quan trọng cho việc nhận diện sớm các tình trạng khó chịu có thể tiếp tục hoặc trở nên trầm trọng hơn sau 11 tuổi. Nghiên cứu của chúng tôi là một trong số ít nghiên cứu có thể xác định nhắm mục tiêu cụ thể nhóm tuổi đầu vị thành niên này. Khi so sánh kết quả của chúng tôi với các nghiên cứu hiện có sử dụng </w:t>
      </w:r>
      <w:r>
        <w:rPr>
          <w:sz w:val="24"/>
        </w:rPr>
        <w:t>PHQ-9A</w:t>
      </w:r>
      <w:r>
        <w:rPr>
          <w:sz w:val="24"/>
        </w:rPr>
        <w:t xml:space="preserve">, và báo cáo điểm số trong phạm vi thấp hơn và hẹp hơn, các phát hiện của chúng tôi thấp hơn so với báo cáo ở trẻ em Pakistan dựa trên trường học (66,8%) (Naveed và cộng sự, 2019), nhưng cao hơn tỷ lệ trầm cảm 13,2% ở học sinh 10 đến 12 tuổi ở Tây Nam Nigeria (Oderinde và cộng sự, 2018). Mặc dù </w:t>
      </w:r>
      <w:r>
        <w:rPr>
          <w:sz w:val="24"/>
        </w:rPr>
        <w:t>GAD-7</w:t>
      </w:r>
      <w:r>
        <w:rPr>
          <w:sz w:val="24"/>
        </w:rPr>
        <w:t xml:space="preserve"> được sử dụng trong các bối cảnh lâm sàng và nghiên cứu để sàng lọc triệu chứng lo âu, </w:t>
      </w:r>
      <w:r>
        <w:rPr>
          <w:sz w:val="24"/>
        </w:rPr>
        <w:t>GAD-10</w:t>
      </w:r>
      <w:r>
        <w:rPr>
          <w:sz w:val="24"/>
        </w:rPr>
        <w:t xml:space="preserve"> sửa đổi cho sử dụng với thanh thiếu niên cho đến nay chưa được áp dụng rộng rãi trong nghiên cứu về tỷ lệ lo âu ở thanh thiếu niên.</w:t>
      </w:r>
    </w:p>
    <w:p>
      <w:pPr>
        <w:pStyle w:val="Heading3"/>
      </w:pPr>
      <w:r>
        <w:t>Giới tính, trầm cảm/lo âu và chăm sóc sức khỏe tâm thần</w:t>
      </w:r>
    </w:p>
    <w:p>
      <w:r>
        <w:rPr>
          <w:sz w:val="24"/>
        </w:rPr>
        <w:t>Dựa trên các nghiên cứu về nhóm thanh thiếu niên và người trưởng thành lớn tuổi hơn cho thấy mức trầm cảm và lo âu cao hơn ở phụ nữ và nữ giới (Beesdo-Baum &amp; Knappe, 2012; Jenkins &amp; Csordas, 2020; Nolen-Hoeksema, 1990; Seedat và cộng sự, 2009), chúng tôi giả thuyết rằng nữ sinh trong nghiên cứu này sẽ có điểm cao hơn trên các đánh giá này ngay cả ở phạm vi thấp hơn (tuổi trung bình 11) so với những gì thường được phân loại là "tuổi vị thành niên". Do đó, nghiên cứu thực nghiệm theo tuổi cụ thể thay vì theo phạm vi tuổi rộng cho tuổi vị thành niên cần được thực hiện. Mặc dù các công cụ sàng lọc như những công cụ được sử dụng ở đây cho trầm cảm và lo âu không cấu thành chẩn đoán lâm sàng về hội chứng, sự hiện diện của các triệu chứng thậm chí ở mức dưới ngưỡng hội chứng cho thấy sự khởi phát có thể quan sát được của trầm cảm và lo âu có thể xảy ra sớm hơn so với suy nghĩ trước đây. Nguy cơ rối loạn trầm cảm nặng được coi là thấp trong thời thơ ấu, và khi nó xảy ra, điều này đã xảy ra trong bối cảnh không có sự khác biệt giới tính (Kazdin, 1993; Lewinsohn và cộng sự, 1994). Các nghiên cứu dọc cho thấy rằng các triệu chứng trầm cảm dưới ngưỡng hội chứng trong thời thơ ấu có thể dự báo sự phát triển trong tương lai của rối loạn trầm cảm nặng (Uchida và cộng sự, 2021).</w:t>
      </w:r>
    </w:p>
    <w:p>
      <w:r>
        <w:rPr>
          <w:sz w:val="24"/>
        </w:rPr>
        <w:t>Các nghiên cứu tâm thần học, dịch tễ học và nhân học gợi ý nhiều yếu tố có thể giải thích cho tỷ lệ trầm cảm cao hơn, bao gồm các quá trình phát triển, tâm lý, sinh học và văn hóa xã hội (Jenkins &amp; Csordas, 2020; Kuehner, 2017; Riecher-Rossler, 2017). Sự khác biệt giới tính trong trầm cảm có thể bắt đầu với các thay đổi hình thái và nội tiết trong giai đoạn đầu tuổi vị thành niên (Cyranowski và cộng sự, 2000; Nolen-Hoeksema, 1990; Petersen và cộng sự, 1991; Piccinelli &amp; Wilkinson, 2000). Sự khởi phát của các triệu chứng lo âu có thể bắt đầu sớm hơn trong cuộc đời, thường đi trước hoặc đồng xuất hiện với các triệu chứng trầm cảm (Beesdo và cộng sự, 2010; Strawn và cộng sự, 2021). Một yếu tố thường được trích dẫn để giải thích sự xuất hiện của các triệu chứng liên quan đến trầm cảm và lo âu liên quan đến sự phát triển cơ thể có thể bị đánh giá tiêu cực so với bạn bè đồng trang lứa, đặc biệt ở nữ sinh vị thành niên (Blakemore, 2019). Di truyền cũng đã được khám phá, mặc dù các dấu ấn di truyền cụ thể cho nguy cơ trầm cảm và lo âu vẫn chưa được xác định (Li &amp; Graham, 2017).</w:t>
      </w:r>
    </w:p>
    <w:p>
      <w:r>
        <w:rPr>
          <w:sz w:val="24"/>
        </w:rPr>
        <w:t xml:space="preserve">Một mối quan ngại quan trọng khác là tác động của bất bình đẳng giới tính và bạo lực trên cơ sở giới mang tính văn hóa xã hội phổ biến vì nữ giới thường xuyên phải đối mặt với lạm dụng và tấn công tình dục từ thời thơ ấu hơn (Oram và cộng sự, 2017; Stoltenborgh và cộng sự, 2015). Dựa trên các cuộc phỏng vấn và quan sát dân tộc học, chúng tôi xem xét một số yếu tố có khả năng liên quan đến trải nghiệm trầm cảm và lo âu của nữ sinh vị thành niên. Bạo lực trên cơ sở giới, đặc biệt trong bối cảnh trường học và cộng đồng, liên quan đến tình trạng bất an hiện hữu, là một đặc điểm nổi bật của môi trường cấu trúc xã hội của các học sinh tham gia nghiên cứu. Nữ sinh trong nghiên cứu của chúng tôi báo cáo đã trải qua hoặc chứng kiến tấn công tình dục tại nhà và/hoặc trường học, nghe hoặc nhận các bình luận mang tính tình dục nhắm vào cơ thể nữ sinh trực tuyến qua mạng xã hội và tại trường, và/hoặc kể lại các trường hợp bị bạn bè tấn công dẫn đến đánh nhau trong trường. Nguy cơ bạo lực trên cơ sở giới gia tăng ở cả môi trường trường học và gia đình cũng mở rộng đến các thanh thiếu niên có thể đang đặt câu hỏi về bản dạng tính dục và giới tính của mình. Trong bối cảnh gia đình, các đặc điểm tâm lý xã hội của môi trường gia đình cũng có vai trò quan trọng. Trong nghiên cứu của chúng tôi, chúng tôi quan sát thấy một đặc điểm đáng chú ý trong môi trường gia đình của nữ sinh xác nhận trầm cảm và lo âu (ở bất kỳ mức độ nào, từ nhẹ đến nặng) là sự chỉ trích của các thành viên gia đình (cha mẹ, anh chị em, ông bà) nhắm vào ngoại hình cơ thể nữ sinh (ví dụ: cân nặng), thành tích học tập, cùng với các quy kết văn hóa về sự lười biếng hoặc thiếu động lực trong việc hoàn thành nhiệm vụ. Ngoài ra, nữ sinh thường lo lắng về khả năng bị bạn bè, người thân hoặc những người quan trọng khác bỏ rơi, dựa trên trải nghiệm mất mát và đau buồn trong bối cảnh đại dịch </w:t>
      </w:r>
      <w:r>
        <w:rPr>
          <w:sz w:val="24"/>
        </w:rPr>
        <w:t>COVID-19</w:t>
      </w:r>
      <w:r>
        <w:rPr>
          <w:sz w:val="24"/>
        </w:rPr>
        <w:t>. Trong số tỷ lệ lớn mẫu của chúng tôi duy trì quan hệ xuyên biên giới với Mexico, nỗi sợ bị trục xuất người thân, đóng cửa biên giới, và sự gia tăng phân biệt đối xử và phân biệt chủng tộc trong trường học và cộng đồng tạo ra thêm các nguồn sợ hãi và bất ổn trong môi trường sống hàng ngày.</w:t>
      </w:r>
    </w:p>
    <w:p>
      <w:r>
        <w:rPr>
          <w:b/>
          <w:color w:val="FF6600"/>
          <w:sz w:val="20"/>
        </w:rPr>
        <w:t>--- Trang 791, Int J Social Psychiatry, Vol. 69(3), 2023 ---</w:t>
      </w:r>
    </w:p>
    <w:p>
      <w:r>
        <w:rPr>
          <w:sz w:val="24"/>
        </w:rPr>
        <w:t>Về việc tìm kiếm chăm sóc sức khỏe tâm thần, một số học sinh trong nghiên cứu đã tìm kiếm dịch vụ với hoặc không có sự giới thiệu từ tư vấn viên trường học. Nhìn chung, dịch vụ chăm sóc sẵn có rất hạn chế và có sự kỳ thị xã hội đáng kể gắn liền với việc sử dụng dịch vụ sức khỏe tâm thần bởi cả học sinh và phụ huynh. Cũng cần lưu ý rằng đối với Hoa Kỳ, một quốc gia thường được hình dung là giàu có với nhiều nguồn lực, thực tế là dịch vụ chăm sóc sức khỏe tâm thần bị hạn chế nghiêm trọng hoặc không có đối với nhiều người. Bất bình đẳng xã hội ngày càng tăng trong nước chủ yếu ảnh hưởng đến các cộng đồng thu nhập thấp, như được mô tả trong nghiên cứu này. Vấn đề cấu trúc này chỉ ra quan sát gần đây (</w:t>
      </w:r>
      <w:r>
        <w:rPr>
          <w:sz w:val="24"/>
        </w:rPr>
        <w:t>WHO</w:t>
      </w:r>
      <w:r>
        <w:rPr>
          <w:sz w:val="24"/>
        </w:rPr>
        <w:t>, 2022b) rằng:</w:t>
      </w:r>
    </w:p>
    <w:p>
      <w:r>
        <w:rPr>
          <w:sz w:val="24"/>
        </w:rPr>
        <w:t xml:space="preserve">"Ngay cả trước đại dịch </w:t>
      </w:r>
      <w:r>
        <w:rPr>
          <w:sz w:val="24"/>
        </w:rPr>
        <w:t>COVID-19</w:t>
      </w:r>
      <w:r>
        <w:rPr>
          <w:sz w:val="24"/>
        </w:rPr>
        <w:t>, chỉ một phần nhỏ những người cần được tiếp cận chăm sóc sức khỏe tâm thần hiệu quả, giá cả phải chăng và có chất lượng... Đối với trầm cảm, khoảng cách trong phạm vi phủ dịch vụ rất rộng ở tất cả các quốc gia: ngay cả ở các quốc gia thu nhập cao, chỉ một phần ba những người bị trầm cảm nhận được chăm sóc sức khỏe tâm thần chính quy và điều trị tối thiểu phù hợp cho trầm cảm được ước tính dao động từ 23% ở các quốc gia thu nhập cao đến 3% ở các quốc gia thu nhập thấp và trung bình-thấp."</w:t>
      </w:r>
    </w:p>
    <w:p>
      <w:r>
        <w:rPr>
          <w:sz w:val="24"/>
        </w:rPr>
        <w:t>Thực vậy, các xếp hạng gần đây của Gánh nặng Bệnh tật Toàn cầu (GBD 2019 Mental Disorders Collaborators, 2022) cho "số năm sống điều chỉnh theo khuyết tật" cho thấy tác động sức khỏe cao nhất ở ba vùng địa lý: Australasia, Mỹ Latinh nhiệt đới và Bắc Mỹ. Một số tác động của các đặc điểm cấu trúc ảnh hưởng đến các học sinh này được trung hòa bởi các mối quan hệ hỗ trợ với gia đình và bạn bè, từ đó tạo ra một vùng đệm giúp chống đỡ hoặc vượt qua các cảm xúc, suy nghĩ và hành vi liên quan đến trầm cảm hoặc lo âu. Việc có được sự hỗ trợ như vậy đã được gắn liền với thành công hoặc sự tham gia học tập (Benner, 2011; Gonzales và cộng sự, 2013; Stanton-Salazar, 2001). Hơn nữa, nghiên cứu nhân học ghi nhận cách các môi trường xã hội không ổn định trong suốt tuổi vị thành niên có thể làm trầm trọng thêm cách mà các cá nhân phát triển các chiến lược tự bảo vệ liên quan đến sự bận tâm hoặc phân ly trước nhiều hình thức lạm dụng trong gia đình (Jenkins, 2015).</w:t>
      </w:r>
    </w:p>
    <w:p>
      <w:pPr>
        <w:pStyle w:val="Heading2"/>
      </w:pPr>
      <w:r>
        <w:t>KẾT LUẬN</w:t>
      </w:r>
    </w:p>
    <w:p>
      <w:r>
        <w:rPr>
          <w:sz w:val="24"/>
        </w:rPr>
        <w:t>Dữ liệu của chúng tôi, cho thấy sự hiện diện của các mức độ triệu chứng trầm cảm và lo âu từ nhẹ đến nặng trong một mẫu phi lâm sàng gồm các học sinh trung học cơ sở trẻ tuổi, gợi ý rằng cần chú ý nghiên cứu ở độ tuổi sớm hơn cho các quy trình sàng lọc cơ bản. Những phát hiện ở trẻ 11 tuổi này có ý nghĩa lâm sàng tiềm năng cho việc nhận diện các tình trạng dưới ngưỡng hội chứng trong giai đoạn đầu tuổi vị thành niên. Sự khác biệt giới tính có ý nghĩa, trước đây được tìm thấy ở thanh thiếu niên lớn tuổi hơn và người trưởng thành, đã có thể quan sát được trong nghiên cứu này. Trong bối cảnh trường trung học cơ sở như nghiên cứu hiện tại, nhu cầu giải quyết các khó khăn sức khỏe tâm thần, dù ở mức nhẹ hay nặng, là thiết yếu để tạo điều kiện cho sự tham gia giáo dục.</w:t>
      </w:r>
    </w:p>
    <w:p>
      <w:r>
        <w:rPr>
          <w:b/>
          <w:color w:val="FF6600"/>
          <w:sz w:val="20"/>
        </w:rPr>
        <w:t>--- Trang 792, Int J Social Psychiatry, Vol. 69(3), 2023 ---</w:t>
      </w:r>
    </w:p>
    <w:p>
      <w:pPr>
        <w:pStyle w:val="Heading2"/>
      </w:pPr>
      <w:r>
        <w:t>TÀI LIỆU THAM KHẢO / REFERENCES</w:t>
      </w:r>
    </w:p>
    <w:p>
      <w:r>
        <w:rPr>
          <w:sz w:val="24"/>
        </w:rPr>
        <w:t>Aggarwal, S., Taljard, L., Wilson, Z., &amp; Berk, M. (2017). Evaluation of modified patient health questionnaire-9 teen in South African adolescents. *Indian Journal of Psychological Medicine*, *39*(2), 143–145.</w:t>
      </w:r>
    </w:p>
    <w:p>
      <w:r>
        <w:rPr>
          <w:sz w:val="24"/>
        </w:rPr>
        <w:t>American Academy of Pediatrics, American Academy of Child and Adolescent Psychiatry, and Children's Hospital Association. (2021). *AAP-AACAP-CHA declaration of a national emergency in child and adolescent mental health*. https://www.aap.org/en/advocacy/child-and-adolescent-healthy-mental-development/aap-aacap-cha-declaration-of-a-national-emergency-in-child-and-adolescent-mental-health/</w:t>
      </w:r>
    </w:p>
    <w:p>
      <w:r>
        <w:rPr>
          <w:sz w:val="24"/>
        </w:rPr>
        <w:t xml:space="preserve">Anand, P., Bhurji, N., Williams, N., &amp; Desai, N. (2021). Comparison of </w:t>
      </w:r>
      <w:r>
        <w:rPr>
          <w:sz w:val="24"/>
        </w:rPr>
        <w:t>PHQ-9</w:t>
      </w:r>
      <w:r>
        <w:rPr>
          <w:sz w:val="24"/>
        </w:rPr>
        <w:t xml:space="preserve"> and PHQ-2 as screening tools for depression and school related stress in Inner City Adolescents. *Journal of Primary Care &amp; Community Health*, *12*, 1–8. https://doi.org/10.1177/21501327211053750</w:t>
      </w:r>
    </w:p>
    <w:p>
      <w:r>
        <w:rPr>
          <w:sz w:val="24"/>
        </w:rPr>
        <w:t>Ariès, P. (1996). *Centuries of childhood: A social history of family life*. Pimlico.</w:t>
      </w:r>
    </w:p>
    <w:p>
      <w:r>
        <w:rPr>
          <w:sz w:val="24"/>
        </w:rPr>
        <w:t>Beesdo-Baum, K., &amp; Knappe, S. (2012). Developmental epidemiology of anxiety disorders. *Child and Adolescent Psychiatric Clinics of North America*, *21*(3), 457–478. https://doi.org/10.1016/j.chc.2012.05.001</w:t>
      </w:r>
    </w:p>
    <w:p>
      <w:r>
        <w:rPr>
          <w:sz w:val="24"/>
        </w:rPr>
        <w:t>Beesdo, K., Pine, D. S., Lieb, R., &amp; Wittchen, H. U. (2010). Incidence and risk patterns of anxiety and depressive disorders and categorization of generalized anxiety disorder. *Archives of General Psychiatry*, *67*(1), 47–57.</w:t>
      </w:r>
    </w:p>
    <w:p>
      <w:r>
        <w:rPr>
          <w:sz w:val="24"/>
        </w:rPr>
        <w:t>Benner, A. D. (2011). The transition to high school: Current knowledge, future directions. *Educational Psychology Review*, *23*(3), 299–328.</w:t>
      </w:r>
    </w:p>
    <w:p>
      <w:r>
        <w:rPr>
          <w:sz w:val="24"/>
        </w:rPr>
        <w:t>Blakemore, S.-J. (2019). Adolescence and mental health. *Lancet*, *393*(10185), 2030–2031. https://doi.org/10.1016/s0140-6736(19)31013-x</w:t>
      </w:r>
    </w:p>
    <w:p>
      <w:r>
        <w:rPr>
          <w:sz w:val="24"/>
        </w:rPr>
        <w:t>Burdzovic Andreas, J., &amp; Brunborg, G. S. (2017). Depressive symptomatology among Norwegian adolescent boys and girls: The patient health Questionnaire-9 (</w:t>
      </w:r>
      <w:r>
        <w:rPr>
          <w:sz w:val="24"/>
        </w:rPr>
        <w:t>PHQ-9</w:t>
      </w:r>
      <w:r>
        <w:rPr>
          <w:sz w:val="24"/>
        </w:rPr>
        <w:t>) psychometric properties and correlates. *Frontiers in Psychology*, *8*, 887–898. https://doi.org/10.3389/fpsyg.2017.00887</w:t>
      </w:r>
    </w:p>
    <w:p>
      <w:r>
        <w:rPr>
          <w:sz w:val="24"/>
        </w:rPr>
        <w:t>Cohen, P., Cohen, J., &amp; Brook, J. (1993). An epidemiological study of disorders in late childhood and adolescence–ii. Persistence of disorders. *Journal of Child Psychology and Psychiatry*, *34*(6), 869–877. https://doi.org/10.1111/j.1469-7610.1993.tb01095.x</w:t>
      </w:r>
    </w:p>
    <w:p>
      <w:r>
        <w:rPr>
          <w:sz w:val="24"/>
        </w:rPr>
        <w:t>Correll, C. U., Galling, B., Pawar, A., Krivko, A., Bonetto, C., Ruggeri, M., Craig, T. J., Nordentoft, M., Srihari, V. H., Guloksuz, S., Hui, C. L. M., Chen, E. Y. H., Valencia, M., Juarez, F., Robinson, D. G., Schooler, N. R., Brunette, M. F., Mueser, K. T., Rosenheck, R. A., . . . Kane, J. M. (2018). Comparison of early intervention services vs treatment as usual for early-phase psychosis: A systematic review, meta-analysis, and meta-regression. *JAMA Psychiatry*, *75*(6), 555–565. https://doi.org/10.1001/jamapsychiatry.2018.0623</w:t>
      </w:r>
    </w:p>
    <w:p>
      <w:r>
        <w:rPr>
          <w:sz w:val="24"/>
        </w:rPr>
        <w:t>Cortez, A. B., Wilkins, J., Handler, E., Lerner, M. A., Burchette, R., &amp; Wissow, L. S. (2021). Multistage adolescent depression screening: A comparison of 11-year-olds to 12-year-olds. *The Permanente Journal*, *25*, 1–8. https://doi.org/10.7812/TPP/20.233</w:t>
      </w:r>
    </w:p>
    <w:p>
      <w:r>
        <w:rPr>
          <w:sz w:val="24"/>
        </w:rPr>
        <w:t>Craske, M., Wittchen, U., Bogels, S., Stein, M., Andrews, G., &amp; Lebeu, R. (2013). *Severity measure for separation anxiety disorder—child age 11–17*. American Psychiatric Association.</w:t>
      </w:r>
    </w:p>
    <w:p>
      <w:r>
        <w:rPr>
          <w:sz w:val="24"/>
        </w:rPr>
        <w:t>Csordas, T. J., Dole, C., Tran, A., Strickland, M., &amp; Storck, M. G. (2010). Ways of asking, ways of telling: A methodological comparison of ethnographic and Research Diagnostic Interviews. *Culture Medicine and Psychiatry*, *34*, 29–55.</w:t>
      </w:r>
    </w:p>
    <w:p>
      <w:r>
        <w:rPr>
          <w:sz w:val="24"/>
        </w:rPr>
        <w:t>Cyranowski, J. M., Frank, E., Young, E., &amp; Shear, M. K. (2000). Adolescent onset of the gender difference in lifetime rates of major depression: A theoretical model. *Archives of General Psychiatry*, *57*(1), 21–27. https://doi.org/10.1001/archpsyc.57.1.21</w:t>
      </w:r>
    </w:p>
    <w:p>
      <w:r>
        <w:rPr>
          <w:sz w:val="24"/>
        </w:rPr>
        <w:t>Daly, M. (2022). Prevalence of depression among adolescents in the US from 2009 to 2019: Analysis of trends by sex, race/ethnicity, and income. *Journal of Adolescent Health*, *70*(3), 496–499.</w:t>
      </w:r>
    </w:p>
    <w:p>
      <w:r>
        <w:rPr>
          <w:sz w:val="24"/>
        </w:rPr>
        <w:t>Flores, Y. G. (2013). *Chicana and chicano mental health: Alma, Mente Y Corazón*. University of Arizona Press.</w:t>
      </w:r>
    </w:p>
    <w:p>
      <w:r>
        <w:rPr>
          <w:sz w:val="24"/>
        </w:rPr>
        <w:t>Fusar-Poli, P., McGorry, P. D., &amp; Kane, J. M. (2017). Improving outcomes of first-episode psychosis: An overview. *World Psychiatry*, *16*(3), 251–265. https://doi.org/10.1002/wps.20446</w:t>
      </w:r>
    </w:p>
    <w:p>
      <w:r>
        <w:rPr>
          <w:sz w:val="24"/>
        </w:rPr>
        <w:t>Garber, J., &amp; Weersing, V. R. (2010). Comorbidity of anxiety and depression in youth: Implications for treatment and prevention. *Clinical Psychology Science and Practice*, *17*(4), 293–306.</w:t>
      </w:r>
    </w:p>
    <w:p>
      <w:r>
        <w:rPr>
          <w:sz w:val="24"/>
        </w:rPr>
        <w:t>GBD 2019 Mental Disorders Collaborators. (2022). Global, regional, and national burden of 12 mental disorders in 204 countries and territories, 1990-2019: A systematic analysis for the Global Burden of Disease Study 2019. *The Lancet Psychiatry*, *9*(2), 137–150. https://doi.org/10.1016/S2215-0366(21)00395-3</w:t>
      </w:r>
    </w:p>
    <w:p>
      <w:r>
        <w:rPr>
          <w:sz w:val="24"/>
        </w:rPr>
        <w:t>Gonzales, R. G., Suárez-Orozco, C., &amp; Dedios-Sanguineti, M. C. (2013). No place to belong: Contextualizing concepts of mental health among undocumented immigrant youth in the United States. *American Behavioral Scientist*, *57*(8), 1174–1199.</w:t>
      </w:r>
    </w:p>
    <w:p>
      <w:r>
        <w:rPr>
          <w:sz w:val="24"/>
        </w:rPr>
        <w:t>Hannah, S. (2011). Cultural environments of hyperdiversity. In M.-J. DelVecchio Good, S. S. Willen, S. D. Hannah, K. Vickery &amp; L. Taeseng Park (Eds.), *Shattering culture: American medicine responds to cultural diversity* (pp. 31–34). Russell SAGE Foundation.</w:t>
      </w:r>
    </w:p>
    <w:p>
      <w:r>
        <w:rPr>
          <w:sz w:val="24"/>
        </w:rPr>
        <w:t xml:space="preserve">Huang, H. C., &amp; Ougrin, D. (2021). Impact of the </w:t>
      </w:r>
      <w:r>
        <w:rPr>
          <w:sz w:val="24"/>
        </w:rPr>
        <w:t>COVID-19</w:t>
      </w:r>
      <w:r>
        <w:rPr>
          <w:sz w:val="24"/>
        </w:rPr>
        <w:t xml:space="preserve"> pandemic on child and adolescent mental health services. *BJPsych Open*, *7*(5), e145. https://doi.org/10.1192/bjo.2021.976</w:t>
      </w:r>
    </w:p>
    <w:p>
      <w:r>
        <w:rPr>
          <w:sz w:val="24"/>
        </w:rPr>
        <w:t>Jenkins, J. H. (2015). *Extraordinary conditions: Culture and experience in mental illness*. University of California Press.</w:t>
      </w:r>
    </w:p>
    <w:p>
      <w:r>
        <w:rPr>
          <w:sz w:val="24"/>
        </w:rPr>
        <w:t>Jenkins, J. H., &amp; Csordas, T. J. (2020). *Troubled in the land of enchantment: Adolescent experience of psychiatric treatment*. University of California Press.</w:t>
      </w:r>
    </w:p>
    <w:p>
      <w:r>
        <w:rPr>
          <w:sz w:val="24"/>
        </w:rPr>
        <w:t>Johnson, J. G., Harris, E. S., Spitzer, R. L., &amp; Williams, J. B. (2002). The patient health questionnaire for adolescents: Validation of an instrument for the assessment of mental disorders among adolescent primary care patients. *Journal of Adolescent Health*, *30*(3), 196–204.</w:t>
      </w:r>
    </w:p>
    <w:p>
      <w:r>
        <w:rPr>
          <w:sz w:val="24"/>
        </w:rPr>
        <w:t>Kazdin, A. E. (1993). Adolescent mental health: Prevention and treatment programs. *American Psychologist*, *48*(2), 127–141. https://doi.org/10.1037/0003-066X.48.2.127</w:t>
      </w:r>
    </w:p>
    <w:p>
      <w:r>
        <w:rPr>
          <w:sz w:val="24"/>
        </w:rPr>
        <w:t xml:space="preserve">Kessler, R. C., Aguilar-Gaxiola, S., Alonso, J., Chatterji, S., Lee, S., Ormel, J., Ustün, T. B., &amp; Wang, P. S. (2009). The global burden of mental disorders: An update from the </w:t>
      </w:r>
      <w:r>
        <w:rPr>
          <w:sz w:val="24"/>
        </w:rPr>
        <w:t>WHO</w:t>
      </w:r>
      <w:r>
        <w:rPr>
          <w:sz w:val="24"/>
        </w:rPr>
        <w:t xml:space="preserve"> World Mental Health (WMH) Surveys. *Epidemiologia E Psichiatria Sociale*, *18*(1), 23–33. https://doi.org/10.1017/s1121189x00001421</w:t>
      </w:r>
    </w:p>
    <w:p>
      <w:r>
        <w:rPr>
          <w:sz w:val="24"/>
        </w:rPr>
        <w:t>Kieling, C., Baker-Henningham, H., Belfer, M., Conti, G., Ertem, I., Omigbodun, O., Rohde, L. A., Srinath, S., Ulkuer, N., &amp; Rahman, A. (2011). Child and adolescent mental health worldwide: Evidence for action. *Lancet*, *378*(9801), 1515–1525.</w:t>
      </w:r>
    </w:p>
    <w:p>
      <w:r>
        <w:rPr>
          <w:sz w:val="24"/>
        </w:rPr>
        <w:t>Kroenke, K., Wu, J., Yu, Z., Bair, M. J., Kean, J., Stump, T., &amp; Monahan, P. O. (2016). The patient health questionnaire anxiety and depression scale (PHQ-ADS): Initial validation in three clinical trials. *Psychosomatic Medicine*, *78*(6), 716–727.</w:t>
      </w:r>
    </w:p>
    <w:p>
      <w:r>
        <w:rPr>
          <w:sz w:val="24"/>
        </w:rPr>
        <w:t>Kuehner, C. (2017). Why is depression more common among women than among men? *The Lancet Psychiatry*, *4*(2), 146–158.</w:t>
      </w:r>
    </w:p>
    <w:p>
      <w:r>
        <w:rPr>
          <w:sz w:val="24"/>
        </w:rPr>
        <w:t xml:space="preserve">Leung, D. Y. P., Mak, Y. W., Leung, S. F., Chiang, V. C. L., &amp; Loke, A. Y. (2020). Measurement invariances of the </w:t>
      </w:r>
      <w:r>
        <w:rPr>
          <w:sz w:val="24"/>
        </w:rPr>
        <w:t>PHQ-9</w:t>
      </w:r>
      <w:r>
        <w:rPr>
          <w:sz w:val="24"/>
        </w:rPr>
        <w:t xml:space="preserve"> across gender and age groups in Chinese adolescents. *Asia-Pacific Psychiatry*, *12*(3), e12381.</w:t>
      </w:r>
    </w:p>
    <w:p>
      <w:r>
        <w:rPr>
          <w:sz w:val="24"/>
        </w:rPr>
        <w:t>Lewinsohn, P. M., Clarke, G. N., Seeley, J. R., &amp; Rohde, P. (1994). Major depression in community adolescents: Age at onset, episode duration, and time to recurrence. *Journal of the American Academy of Child and Adolescent Psychiatry*, *33*(6), 809–818.</w:t>
      </w:r>
    </w:p>
    <w:p>
      <w:r>
        <w:rPr>
          <w:sz w:val="24"/>
        </w:rPr>
        <w:t>Li, S. H., &amp; Graham, B. M. (2017). Why are women so vulnerable to anxiety, trauma-related and stress-related disorders? The potential role of sex hormones. *The Lancet Psychiatry*, *4*(1), 73–82.</w:t>
      </w:r>
    </w:p>
    <w:p>
      <w:r>
        <w:rPr>
          <w:sz w:val="24"/>
        </w:rPr>
        <w:t xml:space="preserve">Mansfield, R., Santos, J., Deighton, J., Hayes, D., Velikonja, T., Boehnke, J. R., &amp; Patalay, P. (2022). *The impact of the </w:t>
      </w:r>
      <w:r>
        <w:rPr>
          <w:sz w:val="24"/>
        </w:rPr>
        <w:t>COVID-19</w:t>
      </w:r>
      <w:r>
        <w:rPr>
          <w:sz w:val="24"/>
        </w:rPr>
        <w:t xml:space="preserve"> pandemic on adolescent mental health*. Department for Education Report. https://discovery.ucl.ac.uk/id/eprint/10146370/1/The_impact_of_the_</w:t>
      </w:r>
      <w:r>
        <w:rPr>
          <w:sz w:val="24"/>
        </w:rPr>
        <w:t>COVID-19</w:t>
      </w:r>
      <w:r>
        <w:rPr>
          <w:sz w:val="24"/>
        </w:rPr>
        <w:t>_pandemic_on_adolescent_mental_health.pdf</w:t>
      </w:r>
    </w:p>
    <w:p>
      <w:r>
        <w:rPr>
          <w:sz w:val="24"/>
        </w:rPr>
        <w:t>Mossman, S. A., Luft, M. J., Schroeder, H. K., Varney, S. T., Fleck, D. E., Barzman, D. H., Gilman, R., DelBello, M. P., &amp; Strawn, J. R. (2017). The generalized anxiety disorder 7-item (</w:t>
      </w:r>
      <w:r>
        <w:rPr>
          <w:sz w:val="24"/>
        </w:rPr>
        <w:t>GAD-7</w:t>
      </w:r>
      <w:r>
        <w:rPr>
          <w:sz w:val="24"/>
        </w:rPr>
        <w:t>) scale in adolescents with generalized anxiety disorder: Signal detection and validation. *Annals of Clinical Psychiatry*, *29*(4), 227–234A.</w:t>
      </w:r>
    </w:p>
    <w:p>
      <w:r>
        <w:rPr>
          <w:sz w:val="24"/>
        </w:rPr>
        <w:t>Naveed, S., Waqas, A., Memon, A. R., Jabeen, M., &amp; Sheikh, M. H. (2019). Cross-cultural validation of the Urdu translation of the Patient Health Questionnaire for adolescents among children and adolescents at a Pakistani school. *Public Health*, *168*, 59–66.</w:t>
      </w:r>
    </w:p>
    <w:p>
      <w:r>
        <w:rPr>
          <w:sz w:val="24"/>
        </w:rPr>
        <w:t xml:space="preserve">Necho, M., Tsehay, M., Birkie, M., Biset, G., &amp; Tadesse, E. (2021). Prevalence of anxiety, depression, and psychological distress among the general population during the </w:t>
      </w:r>
      <w:r>
        <w:rPr>
          <w:sz w:val="24"/>
        </w:rPr>
        <w:t>COVID-19</w:t>
      </w:r>
      <w:r>
        <w:rPr>
          <w:sz w:val="24"/>
        </w:rPr>
        <w:t xml:space="preserve"> pandemic: A systematic review and meta-analysis. *International Journal of Social Psychiatry*, *67*(7), 892–906.</w:t>
      </w:r>
    </w:p>
    <w:p>
      <w:r>
        <w:rPr>
          <w:sz w:val="24"/>
        </w:rPr>
        <w:t>Nolen-Hoeksema, S. (1990). *Sex differences in depression*. Stanford University Press.</w:t>
      </w:r>
    </w:p>
    <w:p>
      <w:r>
        <w:rPr>
          <w:sz w:val="24"/>
        </w:rPr>
        <w:t>Oderinde, K. O., Dada, M. U., Ogun, O. C., Awunor, N. S., Awunor, N. S., Ahmed, H. K., Tsuung, A. B., Tanko, S. T., &amp; Yusuff, A. A. (2018). Prevalence and predictors of depression among adolescents in Ido Ekiti, south west Nigeria. *International Journal of Clinical Medicine*, *09*(03), 187–202.</w:t>
      </w:r>
    </w:p>
    <w:p>
      <w:r>
        <w:rPr>
          <w:sz w:val="24"/>
        </w:rPr>
        <w:t>Oram, S., Khalifeh, H., &amp; Howard, L. M. (2017). Violence against women and mental health. *The Lancet Psychiatry*, *4*(2), 159–170.</w:t>
      </w:r>
    </w:p>
    <w:p>
      <w:r>
        <w:rPr>
          <w:sz w:val="24"/>
        </w:rPr>
        <w:t xml:space="preserve">Organization for Economic Development and Cooperation. (2021). *Tackling the mental health impact of the </w:t>
      </w:r>
      <w:r>
        <w:rPr>
          <w:sz w:val="24"/>
        </w:rPr>
        <w:t>COVID-19</w:t>
      </w:r>
      <w:r>
        <w:rPr>
          <w:sz w:val="24"/>
        </w:rPr>
        <w:t xml:space="preserve"> crisis: An integrated whole-of-society response*. https://www.oecd.org/coronavirus/policy-responses/tackling-the-mental-health-impact-of-the-covid-19-crisis-an-integrated-whole-of-society-response-0ccafa0b/</w:t>
      </w:r>
    </w:p>
    <w:p>
      <w:r>
        <w:rPr>
          <w:sz w:val="24"/>
        </w:rPr>
        <w:t>Petersen, A. C., Sarigiani, P. A., &amp; Kennedy, R. E. (1991). Adolescent depression: Why more girls? *Journal of Youth and Adolescence*, *20*(2), 247–271. https://doi.org/10.1007/BF01537611</w:t>
      </w:r>
    </w:p>
    <w:p>
      <w:r>
        <w:rPr>
          <w:sz w:val="24"/>
        </w:rPr>
        <w:t>Piccinelli, M., &amp; Wilkinson, G. (2000). Gender differences in depression: Critical review. *The British Journal of Psychiatry*, *177*(6), 486–492. https://doi.org/10.1192/bjp.177.6.486</w:t>
      </w:r>
    </w:p>
    <w:p>
      <w:r>
        <w:rPr>
          <w:sz w:val="24"/>
        </w:rPr>
        <w:t>Revet, A., &amp; Kennedy, C. A. (2022). Training &amp; treatment in child mental health services (CAMHS): Novel and collaborative approaches. *Frontiers in Psychiatry*, *13*, 1–3. https://doi.org/10.3389/fpsyt.2022.997647</w:t>
      </w:r>
    </w:p>
    <w:p>
      <w:r>
        <w:rPr>
          <w:sz w:val="24"/>
        </w:rPr>
        <w:t>Richardson, L. P., McCauley, E., Grossman, D. C., McCarty, C. A., Richards, J., Russo, J. E., Rockhill, C., &amp; Katon, W. (2010). Evaluation of the Patient Health Questionnaire-9 item for detecting major depression among adolescents. *Pediatrics*, *126*(6), 1117–1123. https://doi.org/10.1542/peds.2010-0852</w:t>
      </w:r>
    </w:p>
    <w:p>
      <w:r>
        <w:rPr>
          <w:sz w:val="24"/>
        </w:rPr>
        <w:t>Riecher-Rössler, A. (2017). Sex and gender differences in mental disorders. *The Lancet Psychiatry*, *4*(1), 8–9.</w:t>
      </w:r>
    </w:p>
    <w:p>
      <w:r>
        <w:rPr>
          <w:sz w:val="24"/>
        </w:rPr>
        <w:t>Rutter, M., &amp; Stevenson, J. (2008). Developments in child and adolescent psychiatry over the last 50 years. In M. Rutter, D. Bishop, D. Pine, S. Scott, J. Stevenson, E. Taylor &amp; A. Thapar (Eds.), *Rutter's child and adolescent psychiatry* (pp. 3–17). Wiley Blackwell.</w:t>
      </w:r>
    </w:p>
    <w:p>
      <w:r>
        <w:rPr>
          <w:sz w:val="24"/>
        </w:rPr>
        <w:t>Salk, R. H., Hyde, J. S., &amp; Abramson, L. Y. (2017). Gender differences in depression in representative national samples: Meta-analyses of diagnoses and symptoms. *Psychological Bulletin*, *143*(8), 783–822.</w:t>
      </w:r>
    </w:p>
    <w:p>
      <w:r>
        <w:rPr>
          <w:sz w:val="24"/>
        </w:rPr>
        <w:t xml:space="preserve">Samji, H., Wu, J., Ladak, A., Vossen, C., Stewart, E., Dove, N., Long, D., &amp; Snell, G. (2022). Review: Mental health impacts of the </w:t>
      </w:r>
      <w:r>
        <w:rPr>
          <w:sz w:val="24"/>
        </w:rPr>
        <w:t>COVID-19</w:t>
      </w:r>
      <w:r>
        <w:rPr>
          <w:sz w:val="24"/>
        </w:rPr>
        <w:t xml:space="preserve"> pandemic on children and youth - a systematic review. *Child and Adolescent Mental Health*, *27*(2), 173–189. https://doi.org/10.1111/camh.12501</w:t>
      </w:r>
    </w:p>
    <w:p>
      <w:r>
        <w:rPr>
          <w:sz w:val="24"/>
        </w:rPr>
        <w:t>Seedat, S., Scott, K. M., Angermeyer, M. C., Berglund, P., Bromet, E. J., Brugha, T. S., Demyttenaere, K., de Girolamo, G., Haro, J. M., Jin, R., Karam, E. G., Kovess-Masfety, V., Levinson, D., Medina Mora, M. E., Ono, Y., Ormel, J., Pennell, B. E., Posada-Villa, J., Sampson, N. A., . . . Kessler, R. C. (2009). Cross-national associations between gender and mental disorders in the World Health Organization World Mental Health Surveys. *Archives of General Psychiatry*, *66*(7), 785–795.</w:t>
      </w:r>
    </w:p>
    <w:p>
      <w:r>
        <w:rPr>
          <w:sz w:val="24"/>
        </w:rPr>
        <w:t>Seligman, L. D., &amp; Ollendick, T. H. (1998). Comorbidity of anxiety and depression in children and adolescents: An integrative review. *Clinical Child and Family Psychology Review*, *1*(2), 125–144.</w:t>
      </w:r>
    </w:p>
    <w:p>
      <w:r>
        <w:rPr>
          <w:sz w:val="24"/>
        </w:rPr>
        <w:t>Solmi, M., Radua, J., Olivola, M., Croce, E., Soardo, L., Salazar de Pablo, G., Il Shin, J., Kirkbride, J. B., Jones, P., Kim, J. H., Kim, J. Y., Carvalho, A. F., Seeman, M. V., Correll, C. U., &amp; Fusar-Poli, P. (2022). Age at onset of mental disorders worldwide: Large-scale meta-analysis of 192 epidemiological studies. *Molecular Psychiatry*, *27*(1), 281–295. https://doi.org/10.1038/s41380-021-01161-7</w:t>
      </w:r>
    </w:p>
    <w:p>
      <w:r>
        <w:rPr>
          <w:sz w:val="24"/>
        </w:rPr>
        <w:t>Stanton-Salazar, R. D. (2001). *Manufacturing hope and despair: The school and kin support networks of US-Mexican youth*. Teachers College Press.</w:t>
      </w:r>
    </w:p>
    <w:p>
      <w:r>
        <w:rPr>
          <w:sz w:val="24"/>
        </w:rPr>
        <w:t>Stoltenborgh, M., Bakermans-Kranenburg, M. J., Alink, L. R. A., &amp; van IJzendoorn, M. H. (2015). The prevalence of child maltreatment across the globe: Review of a series of meta-analyses. *Child Abuse Review*, *24*(1), 37–50.</w:t>
      </w:r>
    </w:p>
    <w:p>
      <w:r>
        <w:rPr>
          <w:sz w:val="24"/>
        </w:rPr>
        <w:t>Strawn, J. R., Lu, L., Peris, T. S., Levine, A., &amp; Walkup, J. T. (2021). Research review: Pediatric anxiety disorders - what have we learnt in the last 10 years? *Journal of Child Psychology and Psychiatry*, *62*(2), 114–139. https://doi.org/10.1111/jcpp.13262</w:t>
      </w:r>
    </w:p>
    <w:p>
      <w:r>
        <w:rPr>
          <w:sz w:val="24"/>
        </w:rPr>
        <w:t>Tiirikainen, K., Haravuori, H., Ranta, K., Kaltiala-Heino, R., &amp; Marttunen, M. (2019). Psychometric properties of the 7-item Generalized Anxiety Disorder Scale (</w:t>
      </w:r>
      <w:r>
        <w:rPr>
          <w:sz w:val="24"/>
        </w:rPr>
        <w:t>GAD-7</w:t>
      </w:r>
      <w:r>
        <w:rPr>
          <w:sz w:val="24"/>
        </w:rPr>
        <w:t>) in a large representative sample of Finnish adolescents. *Psychiatry Research*, *272*, 30–35. https://doi.org/10.1016/j.psychres.2018.12.004</w:t>
      </w:r>
    </w:p>
    <w:p>
      <w:r>
        <w:rPr>
          <w:sz w:val="24"/>
        </w:rPr>
        <w:t xml:space="preserve">Tomitaka, S., &amp; Furukawa, T. A. (2021). The </w:t>
      </w:r>
      <w:r>
        <w:rPr>
          <w:sz w:val="24"/>
        </w:rPr>
        <w:t>GAD-7</w:t>
      </w:r>
      <w:r>
        <w:rPr>
          <w:sz w:val="24"/>
        </w:rPr>
        <w:t xml:space="preserve"> and the PHQ-8 exhibit the same mathematical pattern of item responses in the general population: Analysis of data from the National Health Interview Survey. *BMC Psychology*, *9*(1), 149.</w:t>
      </w:r>
    </w:p>
    <w:p>
      <w:r>
        <w:rPr>
          <w:sz w:val="24"/>
        </w:rPr>
        <w:t xml:space="preserve">Tomitaka, S., Kawasaki, Y., Ide, K., Akutagawa, M., Yamada, H., Ono, Y., &amp; Furukawa, T. A. (2018). Distributional patterns of item responses and total scores on the </w:t>
      </w:r>
      <w:r>
        <w:rPr>
          <w:sz w:val="24"/>
        </w:rPr>
        <w:t>PHQ-9</w:t>
      </w:r>
      <w:r>
        <w:rPr>
          <w:sz w:val="24"/>
        </w:rPr>
        <w:t xml:space="preserve"> in the general population: Data from the National Health and Nutrition Examination Survey. *BMC Psychiatry*, *18*(1), 108.</w:t>
      </w:r>
    </w:p>
    <w:p>
      <w:r>
        <w:rPr>
          <w:sz w:val="24"/>
        </w:rPr>
        <w:t xml:space="preserve">Torales, J., O'Higgins, M., Castaldelli-Maia, J. M., &amp; Ventriglio, A. (2020). The outbreak of </w:t>
      </w:r>
      <w:r>
        <w:rPr>
          <w:sz w:val="24"/>
        </w:rPr>
        <w:t>COVID-19</w:t>
      </w:r>
      <w:r>
        <w:rPr>
          <w:sz w:val="24"/>
        </w:rPr>
        <w:t xml:space="preserve"> coronavirus and its impact on global mental health. *International Journal of Social Psychiatry*, *66*(4), 317–320. https://doi.org/10.1177/0020764020915212</w:t>
      </w:r>
    </w:p>
    <w:p>
      <w:r>
        <w:rPr>
          <w:sz w:val="24"/>
        </w:rPr>
        <w:t>Tsai, F.-J., Huang, Y.-H., Liu, H.-C., Huang, K.-Y., Huang, Y.-H., &amp; Liu, S.-I. (2014). Patient Health Questionnaire for school-based depression screening among Chinese adolescents. *Pediatrics*, *133*(2), e402–e409. https://doi.org/10.1542/peds.2013-0204</w:t>
      </w:r>
    </w:p>
    <w:p>
      <w:r>
        <w:rPr>
          <w:sz w:val="24"/>
        </w:rPr>
        <w:t>Uchida, M., Hirshfeld-Becker, D., DiSalvo, M., Rosenbaum, J., Henin, A., Green, A., &amp; Biederman, J. (2021). Further evidence that subsyndromal manifestations of depression in childhood predict the subsequent development of major depression: A replication study in a 10 year longitudinally assessed sample. *Journal of Affective Disorders*, *287*, 101–106.</w:t>
      </w:r>
    </w:p>
    <w:p>
      <w:r>
        <w:rPr>
          <w:sz w:val="24"/>
        </w:rPr>
        <w:t xml:space="preserve">United States Department of Health and Human Services. (2021, December 7). *US surgeon general issues advisory on youth mental health crisis further exposed by </w:t>
      </w:r>
      <w:r>
        <w:rPr>
          <w:sz w:val="24"/>
        </w:rPr>
        <w:t>COVID-19</w:t>
      </w:r>
      <w:r>
        <w:rPr>
          <w:sz w:val="24"/>
        </w:rPr>
        <w:t xml:space="preserve"> pandemic*. https://www.hhs.gov/about/news/2021/12/07/us-surgeon-general-issues-advisory-on-youth-mental-health-crisis-further-exposed-by-covid-19-pandemic.html</w:t>
      </w:r>
    </w:p>
    <w:p>
      <w:r>
        <w:rPr>
          <w:sz w:val="24"/>
        </w:rPr>
        <w:t>United States Preventative Task Force. (2022). *Screening for anxiety, depression, and suicide risk in children and adolescents*. https://www.aafp.org/news/health-of-the-public/uspstf-anxiety-depression-suicide.html</w:t>
      </w:r>
    </w:p>
    <w:p>
      <w:r>
        <w:rPr>
          <w:sz w:val="24"/>
        </w:rPr>
        <w:t>Walter, H. J., Bukstein, O. G., Abright, A. R., Keable, H., Ramtekkar, U., Ripperger-Suhler, J., &amp; Rockhill, C. (2020). Clinical Practice guideline for the assessment and treatment of children and adolescents with anxiety disorders. *Journal of the American Academy of Child &amp; Adolescent Psychiatry*, *59*(10), 1107–1124. https://doi.org/10.1016/j.jaac.2020.05.005</w:t>
      </w:r>
    </w:p>
    <w:p>
      <w:r>
        <w:rPr>
          <w:sz w:val="24"/>
        </w:rPr>
        <w:t>World Health Organization. (2022a, March 2). *</w:t>
      </w:r>
      <w:r>
        <w:rPr>
          <w:sz w:val="24"/>
        </w:rPr>
        <w:t>COVID-19</w:t>
      </w:r>
      <w:r>
        <w:rPr>
          <w:sz w:val="24"/>
        </w:rPr>
        <w:t xml:space="preserve"> pandemic triggers 25% increase in prevalence of anxiety and depression worldwide*. https://www.who.int/news/item/02-03-2022-covid-19-pandemic-triggers-25-increase-in-prevalence-of-anxiety-and-depression-worldwide</w:t>
      </w:r>
    </w:p>
    <w:p>
      <w:r>
        <w:rPr>
          <w:sz w:val="24"/>
        </w:rPr>
        <w:t>World Health Organization. (2022b, June 17). *</w:t>
      </w:r>
      <w:r>
        <w:rPr>
          <w:sz w:val="24"/>
        </w:rPr>
        <w:t>WHO</w:t>
      </w:r>
      <w:r>
        <w:rPr>
          <w:sz w:val="24"/>
        </w:rPr>
        <w:t xml:space="preserve"> highlights urgent need to transform mental health and mental health care*. https://www.who.int/news/item/17-06-2022-who-highlights-urgent-need-to-transform-mental-health-and-mental-health-care</w:t>
      </w:r>
    </w:p>
    <w:p>
      <w:r>
        <w:rPr>
          <w:sz w:val="24"/>
        </w:rPr>
        <w:t>Yalın Sapmaz, Ş., Özek Erkuran, H., Ergin, D., Öztürk, M., Şen Celasin, N., Karaarslan, D., &amp; Aydemir. (2018). Validity and reliability of the Turkish version of the DSM-5 Generalized Anxiety Disorder Severity Scale for children aged 11–17 years. *Turkish Journal of Medical Sciences*, *48*(1), 74–79.</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PHQ-9A</w:t>
            </w:r>
          </w:p>
        </w:tc>
        <w:tc>
          <w:tcPr>
            <w:tcW w:type="dxa" w:w="7370"/>
          </w:tcPr>
          <w:p>
            <w:r/>
            <w:r>
              <w:rPr>
                <w:sz w:val="18"/>
              </w:rPr>
              <w:t>Patient Health Questionnaire for Adolescents (Bang cau hoi Suc khoe Benh nhan danh cho Thanh thieu nien)</w:t>
            </w:r>
          </w:p>
        </w:tc>
      </w:tr>
      <w:tr>
        <w:tc>
          <w:tcPr>
            <w:tcW w:type="dxa" w:w="1701"/>
          </w:tcPr>
          <w:p>
            <w:r/>
            <w:r>
              <w:rPr>
                <w:b/>
                <w:sz w:val="18"/>
              </w:rPr>
              <w:t>GAD-10</w:t>
            </w:r>
          </w:p>
        </w:tc>
        <w:tc>
          <w:tcPr>
            <w:tcW w:type="dxa" w:w="7370"/>
          </w:tcPr>
          <w:p>
            <w:r/>
            <w:r>
              <w:rPr>
                <w:sz w:val="18"/>
              </w:rPr>
              <w:t>Generalized Anxiety Disorder 10-item scale (Thang do Roi loan Lo au Tong quat 10 muc)</w:t>
            </w:r>
          </w:p>
        </w:tc>
      </w:tr>
      <w:tr>
        <w:tc>
          <w:tcPr>
            <w:tcW w:type="dxa" w:w="1701"/>
          </w:tcPr>
          <w:p>
            <w:r/>
            <w:r>
              <w:rPr>
                <w:b/>
                <w:sz w:val="18"/>
              </w:rPr>
              <w:t>IQR</w:t>
            </w:r>
          </w:p>
        </w:tc>
        <w:tc>
          <w:tcPr>
            <w:tcW w:type="dxa" w:w="7370"/>
          </w:tcPr>
          <w:p>
            <w:r/>
            <w:r>
              <w:rPr>
                <w:sz w:val="18"/>
              </w:rPr>
              <w:t>Interquartile Range (Khoang tu phan vi)</w:t>
            </w:r>
          </w:p>
        </w:tc>
      </w:tr>
      <w:tr>
        <w:tc>
          <w:tcPr>
            <w:tcW w:type="dxa" w:w="1701"/>
          </w:tcPr>
          <w:p>
            <w:r/>
            <w:r>
              <w:rPr>
                <w:b/>
                <w:sz w:val="18"/>
              </w:rPr>
              <w:t>IRB</w:t>
            </w:r>
          </w:p>
        </w:tc>
        <w:tc>
          <w:tcPr>
            <w:tcW w:type="dxa" w:w="7370"/>
          </w:tcPr>
          <w:p>
            <w:r/>
            <w:r>
              <w:rPr>
                <w:sz w:val="18"/>
              </w:rPr>
              <w:t>Institutional Review Board (Hoi dong Xet duyet Nghien cuu)</w:t>
            </w:r>
          </w:p>
        </w:tc>
      </w:tr>
      <w:tr>
        <w:tc>
          <w:tcPr>
            <w:tcW w:type="dxa" w:w="1701"/>
          </w:tcPr>
          <w:p>
            <w:r/>
            <w:r>
              <w:rPr>
                <w:b/>
                <w:sz w:val="18"/>
              </w:rPr>
              <w:t>UCSD</w:t>
            </w:r>
          </w:p>
        </w:tc>
        <w:tc>
          <w:tcPr>
            <w:tcW w:type="dxa" w:w="7370"/>
          </w:tcPr>
          <w:p>
            <w:r/>
            <w:r>
              <w:rPr>
                <w:sz w:val="18"/>
              </w:rPr>
              <w:t>University of California San Diego</w:t>
            </w:r>
          </w:p>
        </w:tc>
      </w:tr>
    </w:tbl>
    <w:p/>
    <w:p>
      <w:pPr>
        <w:pStyle w:val="Heading2"/>
      </w:pPr>
      <w:r>
        <w:rPr>
          <w:color w:val="CC0000"/>
        </w:rPr>
        <w:t>QUAN ĐIỂM PHẢN BIỆN / CRITICAL REVIEW</w:t>
      </w:r>
    </w:p>
    <w:p>
      <w:r>
        <w:rPr>
          <w:b/>
          <w:color w:val="CC0000"/>
          <w:sz w:val="24"/>
        </w:rPr>
        <w:t>[Phản biện 1]:</w:t>
      </w:r>
      <w:r>
        <w:rPr>
          <w:color w:val="CC0000"/>
          <w:sz w:val="24"/>
        </w:rPr>
        <w:t xml:space="preserve"> Cỡ mẫu rất nhỏ (N=75) và phương pháp lấy mẫu thuận tiện (snowball sampling) tại một trường duy nhất ở Nam California gây hạn chế nghiêm trọng về tính đại diện. Kết quả không thể khái quát hóa cho toàn bộ thanh thiếu niên đa sắc tộc tại Hoa Kỳ, chứ chưa nói đến các bối cảnh quốc tế khác. Các nghiên cứu quy mô lớn hơn như NSCH (2020) với hàng chục nghìn người tham gia cho thấy tỷ lệ khác biệt đáng kể, đặt ra câu hỏi về độ tin cậy của các ước tính tỷ lệ từ nghiên cứu này. Xu et al. (2021) với N=373.216 cho thấy cỡ mẫu lớn thay đổi hoàn toàn bức tranh dịch tễ. N=75 chỉ đủ cho nghiên cứu thăm dò, không đủ để ước tính tỷ lệ chính xác.</w:t>
      </w:r>
    </w:p>
    <w:p>
      <w:r>
        <w:rPr>
          <w:b/>
          <w:color w:val="CC0000"/>
          <w:sz w:val="24"/>
        </w:rPr>
        <w:t>[Phản biện 2]:</w:t>
      </w:r>
      <w:r>
        <w:rPr>
          <w:color w:val="CC0000"/>
          <w:sz w:val="24"/>
        </w:rPr>
        <w:t xml:space="preserve"> Công cụ </w:t>
      </w:r>
      <w:r>
        <w:rPr>
          <w:color w:val="CC0000"/>
          <w:sz w:val="24"/>
        </w:rPr>
        <w:t>GAD-10</w:t>
      </w:r>
      <w:r>
        <w:rPr>
          <w:color w:val="CC0000"/>
          <w:sz w:val="24"/>
        </w:rPr>
        <w:t xml:space="preserve"> (phiên bản trẻ em) được sửa đổi mục 10 cho "phù hợp văn hóa" nhưng nghiên cứu không cung cấp chi tiết về quy trình xác thực (validation) của phiên bản sửa đổi này. Hệ số Cronbach's alpha hoặc các chỉ số độ tin cậy/giá trị khác của công cụ sửa đổi không được báo cáo. Điều này làm suy yếu cơ sở phương pháp luận, đặc biệt khi nghiên cứu nhấn mạnh tính nhạy cảm văn hóa. Saikia et al. (2023) cũng gặp vấn đề tương tự khi dịch </w:t>
      </w:r>
      <w:r>
        <w:rPr>
          <w:b/>
          <w:color w:val="CC0000"/>
          <w:sz w:val="24"/>
        </w:rPr>
        <w:t>DASS-21</w:t>
      </w:r>
      <w:r>
        <w:rPr>
          <w:color w:val="CC0000"/>
          <w:sz w:val="24"/>
        </w:rPr>
        <w:t xml:space="preserve"> sang tiếng Assam. Thiếu xác thực công cụ là lỗ hổng phổ biến trong các nghiên cứu đa văn hóa.</w:t>
      </w:r>
    </w:p>
    <w:p>
      <w:r>
        <w:rPr>
          <w:b/>
          <w:color w:val="CC0000"/>
          <w:sz w:val="24"/>
        </w:rPr>
        <w:t>[Phản biện 3]:</w:t>
      </w:r>
      <w:r>
        <w:rPr>
          <w:color w:val="CC0000"/>
          <w:sz w:val="24"/>
        </w:rPr>
        <w:t xml:space="preserve"> Thiết kế cắt ngang không cho phép xác lập quan hệ nhân quả giữa các yếu tố văn hóa xã hội (phân biệt chủng tộc, nghèo đói, bạo lực) và triệu chứng trầm cảm/lo âu. Các tác giả đôi khi sử dụng ngôn ngữ hàm ý nhân quả trong phần thảo luận (ví dụ: bạo lực "ảnh hưởng đến" sức khỏe tâm thần) mà không có cơ sở thiết kế nghiên cứu để hỗ trợ tuyên bố đó. Đây là hạn chế chung của 9/11 bài trong tập hợp này đều dùng thiết kế cắt ngang. Chỉ nghiên cứu dọc mới có thể tách biệt nguyên nhân và hệ quả.</w:t>
      </w:r>
    </w:p>
    <w:p>
      <w:r>
        <w:rPr>
          <w:b/>
          <w:color w:val="CC0000"/>
          <w:sz w:val="24"/>
        </w:rPr>
        <w:t>[Phản biện 4]:</w:t>
      </w:r>
      <w:r>
        <w:rPr>
          <w:color w:val="CC0000"/>
          <w:sz w:val="24"/>
        </w:rPr>
        <w:t xml:space="preserve"> Nghiên cứu kéo dài từ 2018-2021, trùng với đại dịch </w:t>
      </w:r>
      <w:r>
        <w:rPr>
          <w:color w:val="CC0000"/>
          <w:sz w:val="24"/>
        </w:rPr>
        <w:t>COVID-19</w:t>
      </w:r>
      <w:r>
        <w:rPr>
          <w:color w:val="CC0000"/>
          <w:sz w:val="24"/>
        </w:rPr>
        <w:t>, nhưng không kiểm soát rõ ràng hiệu ứng thời điểm thu thập dữ liệu. Học sinh được phỏng vấn trước và trong đại dịch có thể có trải nghiệm rất khác nhau, tạo ra yếu tố gây nhiễu quan trọng mà nghiên cứu không phân tích riêng biệt. Xu et al. (2021) cho thấy lo âu tăng vọt ngay đầu đại dịch tại Trung Quốc. Saikia et al. (2023) cũng bị ảnh hưởng tương tự khi thu thập dữ liệu qua giai đoạn phong tỏa.</w:t>
      </w:r>
    </w:p>
    <w:p>
      <w:r>
        <w:rPr>
          <w:b/>
          <w:color w:val="CC0000"/>
          <w:sz w:val="24"/>
        </w:rPr>
        <w:t>[Phản biện 5]:</w:t>
      </w:r>
      <w:r>
        <w:rPr>
          <w:color w:val="CC0000"/>
          <w:sz w:val="24"/>
        </w:rPr>
        <w:t xml:space="preserve"> Mặc dù phương pháp hỗn hợp (mixed-methods) là điểm mạnh đáng ghi nhận vì cung cấp bối cảnh phong phú cho dữ liệu định lượng, nhưng số lượng phỏng vấn dân tộc học rất không đồng đều giữa các học sinh (1-8 phỏng vấn mỗi em). Sự biến thiên lớn này có thể dẫn đến thiên lệch trong phân tích chủ đề, khi một số học sinh có đóng góp dữ liệu định tính nhiều hơn gấp 8 lần so với những em khác. Không bài nào khác trong 11 bài sử dụng dữ liệu định tính, nên đây là đóng góp độc đáo. Tuy nhiên, cần tiêu chuẩn hóa số phỏng vấn để đảm bảo công bằng trong phân tích.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