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https://www.medpulse.in/Psychology/Article/Volume18Issue3/Psy_18_3_2.pdf</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03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3: Nghiên cứu cắt ngang về tỷ lệ lo âu ở khu vực trường học thuộc đô thị tự trị</w:t>
      </w:r>
    </w:p>
    <w:p>
      <w:pPr>
        <w:pStyle w:val="Heading2"/>
      </w:pPr>
      <w:r>
        <w:t>THÔNG TIN THƯ MỤC / BIBLIOGRAPHIC INFORMATION</w:t>
      </w:r>
    </w:p>
    <w:p>
      <w:pPr>
        <w:pStyle w:val="ListBullet"/>
      </w:pPr>
      <w:r>
        <w:rPr>
          <w:b/>
          <w:sz w:val="22"/>
        </w:rPr>
        <w:t>Tiêu đề gốc (English):</w:t>
      </w:r>
      <w:r>
        <w:rPr>
          <w:sz w:val="22"/>
        </w:rPr>
        <w:t xml:space="preserve"> A cross-sectional study on the prevalence of anxiety among municipality school area</w:t>
      </w:r>
    </w:p>
    <w:p>
      <w:pPr>
        <w:pStyle w:val="ListBullet"/>
      </w:pPr>
      <w:r>
        <w:rPr>
          <w:b/>
          <w:sz w:val="22"/>
        </w:rPr>
        <w:t>Tiêu đề dịch (Vietnamese):</w:t>
      </w:r>
      <w:r>
        <w:rPr>
          <w:sz w:val="22"/>
        </w:rPr>
        <w:t xml:space="preserve"> Nghiên cứu cắt ngang về tỷ lệ lo âu ở khu vực trường học thuộc đô thị tự trị</w:t>
      </w:r>
    </w:p>
    <w:p>
      <w:pPr>
        <w:pStyle w:val="ListBullet"/>
      </w:pPr>
      <w:r>
        <w:rPr>
          <w:b/>
          <w:sz w:val="22"/>
        </w:rPr>
        <w:t>Tác giả:</w:t>
      </w:r>
      <w:r>
        <w:rPr>
          <w:sz w:val="22"/>
        </w:rPr>
        <w:t xml:space="preserve"> Rahul Mandaknalli, Ragini Malusare</w:t>
      </w:r>
    </w:p>
    <w:p>
      <w:pPr>
        <w:pStyle w:val="ListBullet"/>
      </w:pPr>
      <w:r>
        <w:rPr>
          <w:b/>
          <w:sz w:val="22"/>
        </w:rPr>
        <w:t>Tạp chí:</w:t>
      </w:r>
      <w:r>
        <w:rPr>
          <w:sz w:val="22"/>
        </w:rPr>
        <w:t xml:space="preserve"> MedPulse International Journal of Psychology</w:t>
      </w:r>
    </w:p>
    <w:p>
      <w:pPr>
        <w:pStyle w:val="ListBullet"/>
      </w:pPr>
      <w:r>
        <w:rPr>
          <w:b/>
          <w:sz w:val="22"/>
        </w:rPr>
        <w:t>ISSN:</w:t>
      </w:r>
      <w:r>
        <w:rPr>
          <w:sz w:val="22"/>
        </w:rPr>
        <w:t xml:space="preserve"> Print: 2579-0919, Online: 2636-459X</w:t>
      </w:r>
    </w:p>
    <w:p>
      <w:pPr>
        <w:pStyle w:val="ListBullet"/>
      </w:pPr>
      <w:r>
        <w:rPr>
          <w:b/>
          <w:sz w:val="22"/>
        </w:rPr>
        <w:t>Xuất bản:</w:t>
      </w:r>
      <w:r>
        <w:rPr>
          <w:sz w:val="22"/>
        </w:rPr>
        <w:t xml:space="preserve"> Volume 18, Issue 3, June 2021, pp. 19-22</w:t>
      </w:r>
    </w:p>
    <w:p>
      <w:r>
        <w:rPr>
          <w:b/>
          <w:color w:val="FF6600"/>
          <w:sz w:val="20"/>
        </w:rPr>
        <w:t>--- Trang 19, MedPulse International Journal of Psychology, Vol. 18(3), tháng 6/2021 ---</w:t>
      </w:r>
    </w:p>
    <w:p>
      <w:pPr>
        <w:pStyle w:val="Heading2"/>
      </w:pPr>
      <w:r>
        <w:t>TÓM TẮT / ABSTRACT</w:t>
      </w:r>
    </w:p>
    <w:p>
      <w:r>
        <w:rPr>
          <w:b/>
          <w:sz w:val="24"/>
        </w:rPr>
        <w:t>Bối cảnh:</w:t>
      </w:r>
      <w:r>
        <w:rPr>
          <w:sz w:val="24"/>
        </w:rPr>
        <w:t xml:space="preserve"> Các vấn đề sức khỏe tâm thần ở thanh thiếu niên đang ngày càng trở thành vấn đề rõ ràng. Các tác động hành vi cá nhân phổ biến như lo âu, căng thẳng, trầm cảm, tức giận và sang chấn sau chấn thương là những rối loạn phổ biến trong xã hội ảnh hưởng đến học sinh. Nghiên cứu hiện tại nhằm mục đích điều tra tỷ lệ lo âu và các yếu tố liên quan đến lo âu ở thanh thiếu niên tại các trường đô thị tự trị địa phương. </w:t>
      </w:r>
      <w:r>
        <w:rPr>
          <w:b/>
          <w:sz w:val="24"/>
        </w:rPr>
        <w:t>Tài liệu và Phương pháp:</w:t>
      </w:r>
      <w:r>
        <w:rPr>
          <w:sz w:val="24"/>
        </w:rPr>
        <w:t xml:space="preserve"> Nghiên cứu hiện tại là nghiên cứu cắt ngang dựa trên bảng câu hỏi, được tiến hành tại các trường thuộc khu vực đô thị tự trị. Bảng câu hỏi tự báo cáo bao gồm sự đồng ý có hiểu biết bằng văn bản, các câu hỏi về thông tin nhân khẩu học - xã hội và liên quan đến lối sống, cũng như các thang đo tâm lý để đánh giá lo âu đã được sử dụng để thu thập dữ liệu. </w:t>
      </w:r>
      <w:r>
        <w:rPr>
          <w:b/>
          <w:sz w:val="24"/>
        </w:rPr>
        <w:t>Kết quả:</w:t>
      </w:r>
      <w:r>
        <w:rPr>
          <w:sz w:val="24"/>
        </w:rPr>
        <w:t xml:space="preserve"> Trong nghiên cứu hiện tại, tỷ lệ lo âu là 24% (108 học sinh). Chúng tôi ghi nhận mức độ lo âu là tối thiểu, nhẹ, trung bình và nặng (dựa trên thang điểm GAD) lần lượt ở 31,48%, 39,81%, 15,74% và 12,96% học sinh. Trong nghiên cứu hiện tại, phần lớn học sinh thuộc nhóm tuổi 16-18 (53,11%), là nam (59,78%), thuộc tầng lớp trung lưu thấp (53,11%), gia đình hạt nhân (73,11%), sống cùng gia đình (78,67%) và cảm nhận mối quan hệ tốt với bạn bè (83,56%). Ở những học sinh có lo âu, đa số thuộc nhóm tuổi 16-18 (61,11%), là nữ (58,33%), gia đình hạt nhân (62,96%), sống cùng gia đình (62,96%) và cảm nhận mối quan hệ tốt với bạn bè (56,48%). Ở những học sinh có lo âu, sự khác biệt có ý nghĩa thống kê được ghi nhận đối với nhóm tuổi 16-18, nữ giới, gia đình hạt nhân, học sinh sống cùng gia đình và học sinh cảm nhận mối quan hệ tốt với bạn bè. Trong các yếu tố liên quan đến lối sống, không hoạt động thể chất thường xuyên, không hài lòng với giấc ngủ và hút thuốc có liên quan có ý nghĩa thống kê với lo âu ở học sinh. </w:t>
      </w:r>
      <w:r>
        <w:rPr>
          <w:b/>
          <w:sz w:val="24"/>
        </w:rPr>
        <w:t>Kết luận:</w:t>
      </w:r>
      <w:r>
        <w:rPr>
          <w:sz w:val="24"/>
        </w:rPr>
        <w:t xml:space="preserve"> Lo âu là một vấn đề quan trọng trong cuộc sống thanh thiếu niên, phát hiện sớm và can thiệp kịp thời là rất cần thiết để giảm gánh nặng tổng thể và tình trạng khuyết tật liên quan đến rối loạn tâm thần ở quần thể thanh thiếu niên.</w:t>
      </w:r>
    </w:p>
    <w:p>
      <w:r>
        <w:rPr>
          <w:b/>
          <w:sz w:val="24"/>
        </w:rPr>
        <w:t>Từ khóa:</w:t>
      </w:r>
      <w:r>
        <w:rPr>
          <w:sz w:val="24"/>
        </w:rPr>
        <w:t xml:space="preserve"> Lo âu, cuộc sống thanh thiếu niên, học sinh, các vấn đề hiện đại.</w:t>
      </w:r>
    </w:p>
    <w:p>
      <w:pPr>
        <w:pStyle w:val="Heading2"/>
      </w:pPr>
      <w:r>
        <w:t>GIỚI THIỆU / INTRODUCTION</w:t>
      </w:r>
    </w:p>
    <w:p>
      <w:r>
        <w:rPr>
          <w:sz w:val="24"/>
        </w:rPr>
        <w:t>Tỷ lệ rối loạn tâm thần đang gia tăng ở thanh thiếu niên trên toàn thế giới. Một tổng quan hệ thống và phân tích tổng hợp đã chứng minh rằng tỷ lệ gộp toàn cầu của các rối loạn tâm thần ở trẻ em và thanh thiếu niên là 13,4%.[1] Các tác động hành vi cá nhân phổ biến như lo âu, căng thẳng, trầm cảm, tức giận và sang chấn sau chấn thương là những rối loạn phổ biến trong xã hội ảnh hưởng đến học sinh.[2] Lo âu là một cảm xúc được đặc trưng bởi cảm giác căng thẳng, những suy nghĩ lo lắng và các thay đổi thể chất như tăng huyết áp. Những người mắc rối loạn lo âu thường có những suy nghĩ xâm nhập hoặc mối lo lắng tái diễn. Những thay đổi về nội tiết tố và cảm xúc, điều kiện xã hội, bạn bè đồng trang lứa, mục tiêu nghề nghiệp, v.v., khiến thanh thiếu niên dễ bị tổn thương. Thời thơ ấu và tuổi vị thành niên là giai đoạn nguy cơ cốt lõi cho sự phát triển của lo âu, có thể dao động từ các triệu chứng thoáng qua nhẹ đến các rối loạn lo âu toàn phát. Tỷ lệ suốt đời của bất kỳ rối loạn lo âu nào trong các nghiên cứu ở trẻ em và thanh thiếu niên là khoảng 20%.[4] Các vấn đề sức khỏe tâm thần ở thanh thiếu niên đang ngày càng trở thành vấn đề rõ ràng. Tuổi vị thành niên có thể chứng minh là thời kỳ then chốt của sự phát triển tâm thần, chịu nhiều nguy cơ phát triển các bệnh lý tâm thần khác nhau. Các rối loạn lo âu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triển.[5] Các rối loạn lo âu cũng có thể cản trở giao tiếp xã hội, các mối quan hệ bạn bè, việc học hành và cuộc sống gia đình của người trẻ. Nghiên cứu hiện tại nhằm mục đích điều tra tỷ lệ lo âu và các yếu tố liên quan đến lo âu ở thanh thiếu niên tại các trường đô thị tự trị địa phương.</w:t>
      </w:r>
    </w:p>
    <w:p>
      <w:pPr>
        <w:pStyle w:val="Heading2"/>
      </w:pPr>
      <w:r>
        <w:t>TÀI LIỆU VÀ PHƯƠNG PHÁP / MATERIAL AND METHODS</w:t>
      </w:r>
    </w:p>
    <w:p>
      <w:r>
        <w:rPr>
          <w:sz w:val="24"/>
        </w:rPr>
        <w:t>Nghiên cứu hiện tại là nghiên cứu cắt ngang dựa trên bảng câu hỏi, được tiến hành tại các trường thuộc khu vực đô thị tự trị. Nghiên cứu được thực hiện dưới sự quản lý của Khoa Tâm thần học, tại Trường Cao đẳng Y khoa Mahadevappa Rampure, Ấn Độ. Thời gian nghiên cứu là 1 năm. Sự chấp thuận của nghiên cứu hiện tại đã được lấy từ ủy ban đạo đức cơ sở địa phương. Ba trường đã được xác định và nghiên cứu đã được giải thích tóm tắt cho ban giám hiệu và giáo viên. Một kiểm tra thử nghiệm (pilot test) đã được tiến hành trên 30 học sinh để xác nhận độ tin cậy của bảng câu hỏi, sau đó 450 học sinh từ lớp 9-12 của ba trường trên đã được nghiên cứu. Bảng câu hỏi tự báo cáo bao gồm sự đồng ý có hiểu biết bằng văn bản, các câu hỏi về thông tin nhân khẩu học - xã hội và liên quan đến lối sống, cũng như các thang đo tâm lý để đánh giá lo âu đã được sử dụng để thu thập dữ liệu. Dữ liệu nhân khẩu học - xã hội bao gồm tuổi, giới tính, thu nhập hàng tháng của gia đình, loại hình gia đình, khối lớp học, tình trạng mối quan hệ, tình trạng sống cùng gia đình và cảm nhận về mối quan hệ với bạn bè. Thông tin liên quan đến lối sống bao gồm các câu hỏi về hoạt động thể chất thường xuyên, mức độ hài lòng với giấc ngủ, số giờ ngủ mỗi đêm, hút thuốc lá và sử dụng internet. Chúng tôi đã sử dụng phiên bản sửa đổi bảy mục (bằng ngôn ngữ địa phương) của thang đo Rối loạn Lo âu Tổng quát (</w:t>
      </w:r>
      <w:r>
        <w:rPr>
          <w:b/>
          <w:color w:val="CC0000"/>
          <w:sz w:val="24"/>
        </w:rPr>
        <w:t>GAD-7</w:t>
      </w:r>
      <w:r>
        <w:rPr>
          <w:sz w:val="24"/>
        </w:rPr>
        <w:t xml:space="preserve">) để đánh giá các vấn đề lo âu ở người tham gia. </w:t>
      </w:r>
      <w:r>
        <w:rPr>
          <w:sz w:val="24"/>
        </w:rPr>
        <w:t>GAD-7</w:t>
      </w:r>
      <w:r>
        <w:rPr>
          <w:sz w:val="24"/>
        </w:rPr>
        <w:t xml:space="preserve"> đã được chứng minh là thành công trong việc xác định lo âu ở các quần thể khác nhau và do đó được sử dụng vì độ tin cậy của nó.[7] Trong bảng câu hỏi, các câu hỏi được sử dụng để sàng lọc trạng thái lo âu của cá nhân trên thang điểm từ '0 = hoàn toàn không chắc chắn' đến '3 = gần như mỗi ngày'.[8] Mức độ lo âu được phân loại thành bốn nhóm là tối thiểu, nhẹ, trung bình và nặng dựa trên điểm số trong khoảng lần lượt là 0-4, 5-9, 10-14 và 15-21. Dữ liệu được thu thập và biên soạn bằng Microsoft Excel, phân tích bằng </w:t>
      </w:r>
      <w:r>
        <w:rPr>
          <w:b/>
          <w:color w:val="CC0000"/>
          <w:sz w:val="24"/>
        </w:rPr>
        <w:t>SPSS</w:t>
      </w:r>
      <w:r>
        <w:rPr>
          <w:sz w:val="24"/>
        </w:rPr>
        <w:t xml:space="preserve"> (Phần mềm Thống kê cho Khoa học Xã hội - Statistical Package for Social Sciences) phiên bản 23.0. Tần số, tỷ lệ phần trăm, trung bình và độ lệch chuẩn (SD) được tính cho các biến liên tục, trong khi tỷ số và tỷ lệ được tính cho các biến phân loại. Sự khác biệt về tỷ lệ giữa các biến định tính được kiểm tra bằng kiểm định chi bình phương hoặc kiểm định chính xác Fisher khi thích hợp. Giá trị P nhỏ hơn 0,05 được coi là có ý nghĩa thống kê.</w:t>
      </w:r>
    </w:p>
    <w:p>
      <w:r>
        <w:rPr>
          <w:b/>
          <w:color w:val="FF6600"/>
          <w:sz w:val="20"/>
        </w:rPr>
        <w:t>--- Trang 20, MedPulse Int J Psychology, Vol. 18(3), tháng 6/2021 ---</w:t>
      </w:r>
    </w:p>
    <w:p>
      <w:pPr>
        <w:pStyle w:val="Heading2"/>
      </w:pPr>
      <w:r>
        <w:t>KẾT QUẢ / RESULTS</w:t>
      </w:r>
    </w:p>
    <w:p>
      <w:r>
        <w:rPr>
          <w:sz w:val="24"/>
        </w:rPr>
        <w:t>Trong nghiên cứu hiện tại, tỷ lệ lo âu là 24% (108 học sinh). Chúng tôi ghi nhận mức độ lo âu là tối thiểu, nhẹ, trung bình và nặng (dựa trên thang điểm GAD) lần lượt ở 31,48%, 39,81%, 15,74% và 12,96% học sinh.</w:t>
      </w:r>
    </w:p>
    <w:p>
      <w:r>
        <w:rPr>
          <w:b/>
          <w:sz w:val="24"/>
        </w:rPr>
        <w:t>Bảng 1:</w:t>
      </w:r>
      <w:r>
        <w:rPr>
          <w:sz w:val="24"/>
        </w:rPr>
        <w:t xml:space="preserve"> Phân bố theo mức độ nghiêm trọng của lo âu</w:t>
      </w:r>
    </w:p>
    <w:tbl>
      <w:tblPr>
        <w:tblStyle w:val="TableGrid"/>
        <w:tblW w:type="auto" w:w="0"/>
        <w:tblLook w:firstColumn="1" w:firstRow="1" w:lastColumn="0" w:lastRow="0" w:noHBand="0" w:noVBand="1" w:val="04A0"/>
      </w:tblPr>
      <w:tblGrid>
        <w:gridCol w:w="2880"/>
        <w:gridCol w:w="2880"/>
        <w:gridCol w:w="2880"/>
      </w:tblGrid>
      <w:tr>
        <w:tc>
          <w:tcPr>
            <w:tcW w:type="dxa" w:w="3780"/>
          </w:tcPr>
          <w:p>
            <w:r>
              <w:rPr>
                <w:b/>
              </w:rPr>
            </w:r>
            <w:r>
              <w:rPr>
                <w:rFonts w:ascii="Times New Roman" w:hAnsi="Times New Roman"/>
                <w:b/>
                <w:sz w:val="18"/>
              </w:rPr>
              <w:t>Biến</w:t>
            </w:r>
          </w:p>
        </w:tc>
        <w:tc>
          <w:tcPr>
            <w:tcW w:type="dxa" w:w="3024"/>
          </w:tcPr>
          <w:p>
            <w:r>
              <w:rPr>
                <w:b/>
              </w:rPr>
            </w:r>
            <w:r>
              <w:rPr>
                <w:rFonts w:ascii="Times New Roman" w:hAnsi="Times New Roman"/>
                <w:b/>
                <w:sz w:val="18"/>
              </w:rPr>
              <w:t>Số học sinh có lo âu</w:t>
            </w:r>
          </w:p>
        </w:tc>
        <w:tc>
          <w:tcPr>
            <w:tcW w:type="dxa" w:w="2268"/>
          </w:tcPr>
          <w:p>
            <w:r>
              <w:rPr>
                <w:b/>
              </w:rPr>
            </w:r>
            <w:r>
              <w:rPr>
                <w:rFonts w:ascii="Times New Roman" w:hAnsi="Times New Roman"/>
                <w:b/>
                <w:sz w:val="18"/>
              </w:rPr>
              <w:t>Tỷ lệ phần trăm</w:t>
            </w:r>
          </w:p>
        </w:tc>
      </w:tr>
      <w:tr>
        <w:tc>
          <w:tcPr>
            <w:tcW w:type="dxa" w:w="3780"/>
          </w:tcPr>
          <w:p>
            <w:r/>
            <w:r>
              <w:rPr>
                <w:rFonts w:ascii="Times New Roman" w:hAnsi="Times New Roman"/>
                <w:sz w:val="18"/>
              </w:rPr>
              <w:t>Nhẹ (điểm GAD 0-4)</w:t>
            </w:r>
          </w:p>
        </w:tc>
        <w:tc>
          <w:tcPr>
            <w:tcW w:type="dxa" w:w="3024"/>
          </w:tcPr>
          <w:p>
            <w:r/>
            <w:r>
              <w:rPr>
                <w:rFonts w:ascii="Times New Roman" w:hAnsi="Times New Roman"/>
                <w:sz w:val="18"/>
              </w:rPr>
              <w:t>34</w:t>
            </w:r>
          </w:p>
        </w:tc>
        <w:tc>
          <w:tcPr>
            <w:tcW w:type="dxa" w:w="2268"/>
          </w:tcPr>
          <w:p>
            <w:r/>
            <w:r>
              <w:rPr>
                <w:rFonts w:ascii="Times New Roman" w:hAnsi="Times New Roman"/>
                <w:sz w:val="18"/>
              </w:rPr>
              <w:t>31,48</w:t>
            </w:r>
          </w:p>
        </w:tc>
      </w:tr>
      <w:tr>
        <w:tc>
          <w:tcPr>
            <w:tcW w:type="dxa" w:w="3780"/>
          </w:tcPr>
          <w:p>
            <w:r/>
            <w:r>
              <w:rPr>
                <w:rFonts w:ascii="Times New Roman" w:hAnsi="Times New Roman"/>
                <w:sz w:val="18"/>
              </w:rPr>
              <w:t>Trung bình (điểm GAD 5-9)</w:t>
            </w:r>
          </w:p>
        </w:tc>
        <w:tc>
          <w:tcPr>
            <w:tcW w:type="dxa" w:w="3024"/>
          </w:tcPr>
          <w:p>
            <w:r/>
            <w:r>
              <w:rPr>
                <w:rFonts w:ascii="Times New Roman" w:hAnsi="Times New Roman"/>
                <w:sz w:val="18"/>
              </w:rPr>
              <w:t>43</w:t>
            </w:r>
          </w:p>
        </w:tc>
        <w:tc>
          <w:tcPr>
            <w:tcW w:type="dxa" w:w="2268"/>
          </w:tcPr>
          <w:p>
            <w:r/>
            <w:r>
              <w:rPr>
                <w:rFonts w:ascii="Times New Roman" w:hAnsi="Times New Roman"/>
                <w:sz w:val="18"/>
              </w:rPr>
              <w:t>39,81</w:t>
            </w:r>
          </w:p>
        </w:tc>
      </w:tr>
      <w:tr>
        <w:tc>
          <w:tcPr>
            <w:tcW w:type="dxa" w:w="3780"/>
          </w:tcPr>
          <w:p>
            <w:r/>
            <w:r>
              <w:rPr>
                <w:rFonts w:ascii="Times New Roman" w:hAnsi="Times New Roman"/>
                <w:sz w:val="18"/>
              </w:rPr>
              <w:t>Nặng (điểm GAD 10-14)</w:t>
            </w:r>
          </w:p>
        </w:tc>
        <w:tc>
          <w:tcPr>
            <w:tcW w:type="dxa" w:w="3024"/>
          </w:tcPr>
          <w:p>
            <w:r/>
            <w:r>
              <w:rPr>
                <w:rFonts w:ascii="Times New Roman" w:hAnsi="Times New Roman"/>
                <w:sz w:val="18"/>
              </w:rPr>
              <w:t>17</w:t>
            </w:r>
          </w:p>
        </w:tc>
        <w:tc>
          <w:tcPr>
            <w:tcW w:type="dxa" w:w="2268"/>
          </w:tcPr>
          <w:p>
            <w:r/>
            <w:r>
              <w:rPr>
                <w:rFonts w:ascii="Times New Roman" w:hAnsi="Times New Roman"/>
                <w:sz w:val="18"/>
              </w:rPr>
              <w:t>15,74</w:t>
            </w:r>
          </w:p>
        </w:tc>
      </w:tr>
      <w:tr>
        <w:tc>
          <w:tcPr>
            <w:tcW w:type="dxa" w:w="3780"/>
          </w:tcPr>
          <w:p>
            <w:r/>
            <w:r>
              <w:rPr>
                <w:rFonts w:ascii="Times New Roman" w:hAnsi="Times New Roman"/>
                <w:sz w:val="18"/>
              </w:rPr>
              <w:t>Rất nặng (điểm GAD 15-21)</w:t>
            </w:r>
          </w:p>
        </w:tc>
        <w:tc>
          <w:tcPr>
            <w:tcW w:type="dxa" w:w="3024"/>
          </w:tcPr>
          <w:p>
            <w:r/>
            <w:r>
              <w:rPr>
                <w:rFonts w:ascii="Times New Roman" w:hAnsi="Times New Roman"/>
                <w:sz w:val="18"/>
              </w:rPr>
              <w:t>14</w:t>
            </w:r>
          </w:p>
        </w:tc>
        <w:tc>
          <w:tcPr>
            <w:tcW w:type="dxa" w:w="2268"/>
          </w:tcPr>
          <w:p>
            <w:r/>
            <w:r>
              <w:rPr>
                <w:rFonts w:ascii="Times New Roman" w:hAnsi="Times New Roman"/>
                <w:sz w:val="18"/>
              </w:rPr>
              <w:t>12,96</w:t>
            </w:r>
          </w:p>
        </w:tc>
      </w:tr>
      <w:tr>
        <w:tc>
          <w:tcPr>
            <w:tcW w:type="dxa" w:w="3780"/>
          </w:tcPr>
          <w:p>
            <w:r/>
            <w:r>
              <w:rPr>
                <w:rFonts w:ascii="Times New Roman" w:hAnsi="Times New Roman"/>
                <w:b/>
                <w:sz w:val="18"/>
              </w:rPr>
              <w:t>Tổng</w:t>
            </w:r>
          </w:p>
        </w:tc>
        <w:tc>
          <w:tcPr>
            <w:tcW w:type="dxa" w:w="3024"/>
          </w:tcPr>
          <w:p>
            <w:r/>
            <w:r>
              <w:rPr>
                <w:rFonts w:ascii="Times New Roman" w:hAnsi="Times New Roman"/>
                <w:b/>
                <w:sz w:val="18"/>
              </w:rPr>
              <w:t>108</w:t>
            </w:r>
          </w:p>
        </w:tc>
        <w:tc>
          <w:tcPr>
            <w:tcW w:type="dxa" w:w="2268"/>
          </w:tcPr>
          <w:p>
            <w:r/>
            <w:r>
              <w:rPr>
                <w:rFonts w:ascii="Times New Roman" w:hAnsi="Times New Roman"/>
                <w:sz w:val="18"/>
              </w:rPr>
            </w:r>
          </w:p>
        </w:tc>
      </w:tr>
    </w:tbl>
    <w:p/>
    <w:p>
      <w:r>
        <w:rPr>
          <w:sz w:val="24"/>
        </w:rPr>
        <w:t>Trong nghiên cứu hiện tại, phần lớn học sinh thuộc nhóm tuổi 16-18 (53,11%), là nam (59,78%), thuộc tầng lớp trung lưu thấp (53,11%), gia đình hạt nhân (73,11%), sống cùng gia đình (78,67%) và cảm nhận mối quan hệ tốt với bạn bè (83,56%). Ở những học sinh có lo âu, đa số thuộc nhóm tuổi 16-18 (61,11%), là nữ (58,33%), gia đình hạt nhân (62,96%), sống cùng gia đình (62,96%) và cảm nhận mối quan hệ tốt với bạn bè (56,48%). Ở những học sinh có lo âu, sự khác biệt có ý nghĩa thống kê được ghi nhận đối với nhóm tuổi 16-18, nữ giới, gia đình hạt nhân, học sinh sống cùng gia đình và học sinh cảm nhận mối quan hệ tốt với bạn bè.</w:t>
      </w:r>
    </w:p>
    <w:p>
      <w:r>
        <w:rPr>
          <w:b/>
          <w:sz w:val="24"/>
        </w:rPr>
        <w:t>Bảng 2:</w:t>
      </w:r>
      <w:r>
        <w:rPr>
          <w:sz w:val="24"/>
        </w:rPr>
        <w:t xml:space="preserve"> Dữ liệu nhân khẩu học - xã hội</w:t>
      </w:r>
    </w:p>
    <w:tbl>
      <w:tblPr>
        <w:tblStyle w:val="TableGrid"/>
        <w:tblW w:type="auto" w:w="0"/>
        <w:tblLook w:firstColumn="1" w:firstRow="1" w:lastColumn="0" w:lastRow="0" w:noHBand="0" w:noVBand="1" w:val="04A0"/>
      </w:tblPr>
      <w:tblGrid>
        <w:gridCol w:w="2160"/>
        <w:gridCol w:w="2160"/>
        <w:gridCol w:w="2160"/>
        <w:gridCol w:w="2160"/>
      </w:tblGrid>
      <w:tr>
        <w:tc>
          <w:tcPr>
            <w:tcW w:type="dxa" w:w="3489"/>
          </w:tcPr>
          <w:p>
            <w:r>
              <w:rPr>
                <w:b/>
              </w:rPr>
            </w:r>
            <w:r>
              <w:rPr>
                <w:rFonts w:ascii="Times New Roman" w:hAnsi="Times New Roman"/>
                <w:b/>
                <w:sz w:val="18"/>
              </w:rPr>
              <w:t>Dữ liệu nhân khẩu học - xã hội</w:t>
            </w:r>
          </w:p>
        </w:tc>
        <w:tc>
          <w:tcPr>
            <w:tcW w:type="dxa" w:w="2293"/>
          </w:tcPr>
          <w:p>
            <w:r>
              <w:rPr>
                <w:b/>
              </w:rPr>
            </w:r>
            <w:r>
              <w:rPr>
                <w:rFonts w:ascii="Times New Roman" w:hAnsi="Times New Roman"/>
                <w:b/>
                <w:sz w:val="18"/>
              </w:rPr>
              <w:t>Số học sinh (n=450) (%)</w:t>
            </w:r>
          </w:p>
        </w:tc>
        <w:tc>
          <w:tcPr>
            <w:tcW w:type="dxa" w:w="2392"/>
          </w:tcPr>
          <w:p>
            <w:r>
              <w:rPr>
                <w:b/>
              </w:rPr>
            </w:r>
            <w:r>
              <w:rPr>
                <w:rFonts w:ascii="Times New Roman" w:hAnsi="Times New Roman"/>
                <w:b/>
                <w:sz w:val="18"/>
              </w:rPr>
              <w:t>Số học sinh có lo âu (%)</w:t>
            </w:r>
          </w:p>
        </w:tc>
        <w:tc>
          <w:tcPr>
            <w:tcW w:type="dxa" w:w="897"/>
          </w:tcPr>
          <w:p>
            <w:r>
              <w:rPr>
                <w:b/>
              </w:rPr>
            </w:r>
            <w:r>
              <w:rPr>
                <w:rFonts w:ascii="Times New Roman" w:hAnsi="Times New Roman"/>
                <w:b/>
                <w:sz w:val="18"/>
              </w:rPr>
              <w:t>Giá trị P</w:t>
            </w:r>
          </w:p>
        </w:tc>
      </w:tr>
      <w:tr>
        <w:tc>
          <w:tcPr>
            <w:tcW w:type="dxa" w:w="3489"/>
          </w:tcPr>
          <w:p>
            <w:r/>
            <w:r>
              <w:rPr>
                <w:rFonts w:ascii="Times New Roman" w:hAnsi="Times New Roman"/>
                <w:b/>
                <w:sz w:val="18"/>
              </w:rPr>
              <w:t>Nhóm tuổi (năm)</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0,032</w:t>
            </w:r>
          </w:p>
        </w:tc>
      </w:tr>
      <w:tr>
        <w:tc>
          <w:tcPr>
            <w:tcW w:type="dxa" w:w="3489"/>
          </w:tcPr>
          <w:p>
            <w:r/>
            <w:r>
              <w:rPr>
                <w:rFonts w:ascii="Times New Roman" w:hAnsi="Times New Roman"/>
                <w:sz w:val="18"/>
              </w:rPr>
              <w:t>13-15</w:t>
            </w:r>
          </w:p>
        </w:tc>
        <w:tc>
          <w:tcPr>
            <w:tcW w:type="dxa" w:w="2293"/>
          </w:tcPr>
          <w:p>
            <w:r/>
            <w:r>
              <w:rPr>
                <w:rFonts w:ascii="Times New Roman" w:hAnsi="Times New Roman"/>
                <w:sz w:val="18"/>
              </w:rPr>
              <w:t>211 (46,89%)</w:t>
            </w:r>
          </w:p>
        </w:tc>
        <w:tc>
          <w:tcPr>
            <w:tcW w:type="dxa" w:w="2392"/>
          </w:tcPr>
          <w:p>
            <w:r/>
            <w:r>
              <w:rPr>
                <w:rFonts w:ascii="Times New Roman" w:hAnsi="Times New Roman"/>
                <w:sz w:val="18"/>
              </w:rPr>
              <w:t>42 (38,89%)</w:t>
            </w:r>
          </w:p>
        </w:tc>
        <w:tc>
          <w:tcPr>
            <w:tcW w:type="dxa" w:w="897"/>
          </w:tcPr>
          <w:p>
            <w:r/>
            <w:r>
              <w:rPr>
                <w:rFonts w:ascii="Times New Roman" w:hAnsi="Times New Roman"/>
                <w:sz w:val="18"/>
              </w:rPr>
            </w:r>
          </w:p>
        </w:tc>
      </w:tr>
      <w:tr>
        <w:tc>
          <w:tcPr>
            <w:tcW w:type="dxa" w:w="3489"/>
          </w:tcPr>
          <w:p>
            <w:r/>
            <w:r>
              <w:rPr>
                <w:rFonts w:ascii="Times New Roman" w:hAnsi="Times New Roman"/>
                <w:sz w:val="18"/>
              </w:rPr>
              <w:t>16-18</w:t>
            </w:r>
          </w:p>
        </w:tc>
        <w:tc>
          <w:tcPr>
            <w:tcW w:type="dxa" w:w="2293"/>
          </w:tcPr>
          <w:p>
            <w:r/>
            <w:r>
              <w:rPr>
                <w:rFonts w:ascii="Times New Roman" w:hAnsi="Times New Roman"/>
                <w:sz w:val="18"/>
              </w:rPr>
              <w:t>239 (53,11%)</w:t>
            </w:r>
          </w:p>
        </w:tc>
        <w:tc>
          <w:tcPr>
            <w:tcW w:type="dxa" w:w="2392"/>
          </w:tcPr>
          <w:p>
            <w:r/>
            <w:r>
              <w:rPr>
                <w:rFonts w:ascii="Times New Roman" w:hAnsi="Times New Roman"/>
                <w:sz w:val="18"/>
              </w:rPr>
              <w:t>66 (61,11%)</w:t>
            </w:r>
          </w:p>
        </w:tc>
        <w:tc>
          <w:tcPr>
            <w:tcW w:type="dxa" w:w="897"/>
          </w:tcPr>
          <w:p>
            <w:r/>
            <w:r>
              <w:rPr>
                <w:rFonts w:ascii="Times New Roman" w:hAnsi="Times New Roman"/>
                <w:sz w:val="18"/>
              </w:rPr>
            </w:r>
          </w:p>
        </w:tc>
      </w:tr>
      <w:tr>
        <w:tc>
          <w:tcPr>
            <w:tcW w:type="dxa" w:w="3489"/>
          </w:tcPr>
          <w:p>
            <w:r/>
            <w:r>
              <w:rPr>
                <w:rFonts w:ascii="Times New Roman" w:hAnsi="Times New Roman"/>
                <w:b/>
                <w:sz w:val="18"/>
              </w:rPr>
              <w:t>Giới tính</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0,022</w:t>
            </w:r>
          </w:p>
        </w:tc>
      </w:tr>
      <w:tr>
        <w:tc>
          <w:tcPr>
            <w:tcW w:type="dxa" w:w="3489"/>
          </w:tcPr>
          <w:p>
            <w:r/>
            <w:r>
              <w:rPr>
                <w:rFonts w:ascii="Times New Roman" w:hAnsi="Times New Roman"/>
                <w:sz w:val="18"/>
              </w:rPr>
              <w:t>Nam</w:t>
            </w:r>
          </w:p>
        </w:tc>
        <w:tc>
          <w:tcPr>
            <w:tcW w:type="dxa" w:w="2293"/>
          </w:tcPr>
          <w:p>
            <w:r/>
            <w:r>
              <w:rPr>
                <w:rFonts w:ascii="Times New Roman" w:hAnsi="Times New Roman"/>
                <w:sz w:val="18"/>
              </w:rPr>
              <w:t>269 (59,78%)</w:t>
            </w:r>
          </w:p>
        </w:tc>
        <w:tc>
          <w:tcPr>
            <w:tcW w:type="dxa" w:w="2392"/>
          </w:tcPr>
          <w:p>
            <w:r/>
            <w:r>
              <w:rPr>
                <w:rFonts w:ascii="Times New Roman" w:hAnsi="Times New Roman"/>
                <w:sz w:val="18"/>
              </w:rPr>
              <w:t>45 (41,67%)</w:t>
            </w:r>
          </w:p>
        </w:tc>
        <w:tc>
          <w:tcPr>
            <w:tcW w:type="dxa" w:w="897"/>
          </w:tcPr>
          <w:p>
            <w:r/>
            <w:r>
              <w:rPr>
                <w:rFonts w:ascii="Times New Roman" w:hAnsi="Times New Roman"/>
                <w:sz w:val="18"/>
              </w:rPr>
            </w:r>
          </w:p>
        </w:tc>
      </w:tr>
      <w:tr>
        <w:tc>
          <w:tcPr>
            <w:tcW w:type="dxa" w:w="3489"/>
          </w:tcPr>
          <w:p>
            <w:r/>
            <w:r>
              <w:rPr>
                <w:rFonts w:ascii="Times New Roman" w:hAnsi="Times New Roman"/>
                <w:sz w:val="18"/>
              </w:rPr>
              <w:t>Nữ</w:t>
            </w:r>
          </w:p>
        </w:tc>
        <w:tc>
          <w:tcPr>
            <w:tcW w:type="dxa" w:w="2293"/>
          </w:tcPr>
          <w:p>
            <w:r/>
            <w:r>
              <w:rPr>
                <w:rFonts w:ascii="Times New Roman" w:hAnsi="Times New Roman"/>
                <w:sz w:val="18"/>
              </w:rPr>
              <w:t>181 (40,22%)</w:t>
            </w:r>
          </w:p>
        </w:tc>
        <w:tc>
          <w:tcPr>
            <w:tcW w:type="dxa" w:w="2392"/>
          </w:tcPr>
          <w:p>
            <w:r/>
            <w:r>
              <w:rPr>
                <w:rFonts w:ascii="Times New Roman" w:hAnsi="Times New Roman"/>
                <w:sz w:val="18"/>
              </w:rPr>
              <w:t>63 (58,33%)</w:t>
            </w:r>
          </w:p>
        </w:tc>
        <w:tc>
          <w:tcPr>
            <w:tcW w:type="dxa" w:w="897"/>
          </w:tcPr>
          <w:p>
            <w:r/>
            <w:r>
              <w:rPr>
                <w:rFonts w:ascii="Times New Roman" w:hAnsi="Times New Roman"/>
                <w:sz w:val="18"/>
              </w:rPr>
            </w:r>
          </w:p>
        </w:tc>
      </w:tr>
      <w:tr>
        <w:tc>
          <w:tcPr>
            <w:tcW w:type="dxa" w:w="3489"/>
          </w:tcPr>
          <w:p>
            <w:r/>
            <w:r>
              <w:rPr>
                <w:rFonts w:ascii="Times New Roman" w:hAnsi="Times New Roman"/>
                <w:b/>
                <w:sz w:val="18"/>
              </w:rPr>
              <w:t>Khối lớp</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0,31</w:t>
            </w:r>
          </w:p>
        </w:tc>
      </w:tr>
      <w:tr>
        <w:tc>
          <w:tcPr>
            <w:tcW w:type="dxa" w:w="3489"/>
          </w:tcPr>
          <w:p>
            <w:r/>
            <w:r>
              <w:rPr>
                <w:rFonts w:ascii="Times New Roman" w:hAnsi="Times New Roman"/>
                <w:sz w:val="18"/>
              </w:rPr>
              <w:t>Lớp 9</w:t>
            </w:r>
          </w:p>
        </w:tc>
        <w:tc>
          <w:tcPr>
            <w:tcW w:type="dxa" w:w="2293"/>
          </w:tcPr>
          <w:p>
            <w:r/>
            <w:r>
              <w:rPr>
                <w:rFonts w:ascii="Times New Roman" w:hAnsi="Times New Roman"/>
                <w:sz w:val="18"/>
              </w:rPr>
              <w:t>101 (22,44%)</w:t>
            </w:r>
          </w:p>
        </w:tc>
        <w:tc>
          <w:tcPr>
            <w:tcW w:type="dxa" w:w="2392"/>
          </w:tcPr>
          <w:p>
            <w:r/>
            <w:r>
              <w:rPr>
                <w:rFonts w:ascii="Times New Roman" w:hAnsi="Times New Roman"/>
                <w:sz w:val="18"/>
              </w:rPr>
              <w:t>13 (12,04%)</w:t>
            </w:r>
          </w:p>
        </w:tc>
        <w:tc>
          <w:tcPr>
            <w:tcW w:type="dxa" w:w="897"/>
          </w:tcPr>
          <w:p>
            <w:r/>
            <w:r>
              <w:rPr>
                <w:rFonts w:ascii="Times New Roman" w:hAnsi="Times New Roman"/>
                <w:sz w:val="18"/>
              </w:rPr>
            </w:r>
          </w:p>
        </w:tc>
      </w:tr>
      <w:tr>
        <w:tc>
          <w:tcPr>
            <w:tcW w:type="dxa" w:w="3489"/>
          </w:tcPr>
          <w:p>
            <w:r/>
            <w:r>
              <w:rPr>
                <w:rFonts w:ascii="Times New Roman" w:hAnsi="Times New Roman"/>
                <w:sz w:val="18"/>
              </w:rPr>
              <w:t>Lớp 10</w:t>
            </w:r>
          </w:p>
        </w:tc>
        <w:tc>
          <w:tcPr>
            <w:tcW w:type="dxa" w:w="2293"/>
          </w:tcPr>
          <w:p>
            <w:r/>
            <w:r>
              <w:rPr>
                <w:rFonts w:ascii="Times New Roman" w:hAnsi="Times New Roman"/>
                <w:sz w:val="18"/>
              </w:rPr>
              <w:t>137 (30,44%)</w:t>
            </w:r>
          </w:p>
        </w:tc>
        <w:tc>
          <w:tcPr>
            <w:tcW w:type="dxa" w:w="2392"/>
          </w:tcPr>
          <w:p>
            <w:r/>
            <w:r>
              <w:rPr>
                <w:rFonts w:ascii="Times New Roman" w:hAnsi="Times New Roman"/>
                <w:sz w:val="18"/>
              </w:rPr>
              <w:t>26 (24,07%)</w:t>
            </w:r>
          </w:p>
        </w:tc>
        <w:tc>
          <w:tcPr>
            <w:tcW w:type="dxa" w:w="897"/>
          </w:tcPr>
          <w:p>
            <w:r/>
            <w:r>
              <w:rPr>
                <w:rFonts w:ascii="Times New Roman" w:hAnsi="Times New Roman"/>
                <w:sz w:val="18"/>
              </w:rPr>
            </w:r>
          </w:p>
        </w:tc>
      </w:tr>
      <w:tr>
        <w:tc>
          <w:tcPr>
            <w:tcW w:type="dxa" w:w="3489"/>
          </w:tcPr>
          <w:p>
            <w:r/>
            <w:r>
              <w:rPr>
                <w:rFonts w:ascii="Times New Roman" w:hAnsi="Times New Roman"/>
                <w:sz w:val="18"/>
              </w:rPr>
              <w:t>Lớp 11</w:t>
            </w:r>
          </w:p>
        </w:tc>
        <w:tc>
          <w:tcPr>
            <w:tcW w:type="dxa" w:w="2293"/>
          </w:tcPr>
          <w:p>
            <w:r/>
            <w:r>
              <w:rPr>
                <w:rFonts w:ascii="Times New Roman" w:hAnsi="Times New Roman"/>
                <w:sz w:val="18"/>
              </w:rPr>
              <w:t>105 (23,33%)</w:t>
            </w:r>
          </w:p>
        </w:tc>
        <w:tc>
          <w:tcPr>
            <w:tcW w:type="dxa" w:w="2392"/>
          </w:tcPr>
          <w:p>
            <w:r/>
            <w:r>
              <w:rPr>
                <w:rFonts w:ascii="Times New Roman" w:hAnsi="Times New Roman"/>
                <w:sz w:val="18"/>
              </w:rPr>
              <w:t>33 (30,56%)</w:t>
            </w:r>
          </w:p>
        </w:tc>
        <w:tc>
          <w:tcPr>
            <w:tcW w:type="dxa" w:w="897"/>
          </w:tcPr>
          <w:p>
            <w:r/>
            <w:r>
              <w:rPr>
                <w:rFonts w:ascii="Times New Roman" w:hAnsi="Times New Roman"/>
                <w:sz w:val="18"/>
              </w:rPr>
            </w:r>
          </w:p>
        </w:tc>
      </w:tr>
      <w:tr>
        <w:tc>
          <w:tcPr>
            <w:tcW w:type="dxa" w:w="3489"/>
          </w:tcPr>
          <w:p>
            <w:r/>
            <w:r>
              <w:rPr>
                <w:rFonts w:ascii="Times New Roman" w:hAnsi="Times New Roman"/>
                <w:sz w:val="18"/>
              </w:rPr>
              <w:t>Lớp 12</w:t>
            </w:r>
          </w:p>
        </w:tc>
        <w:tc>
          <w:tcPr>
            <w:tcW w:type="dxa" w:w="2293"/>
          </w:tcPr>
          <w:p>
            <w:r/>
            <w:r>
              <w:rPr>
                <w:rFonts w:ascii="Times New Roman" w:hAnsi="Times New Roman"/>
                <w:sz w:val="18"/>
              </w:rPr>
              <w:t>107 (23,78%)</w:t>
            </w:r>
          </w:p>
        </w:tc>
        <w:tc>
          <w:tcPr>
            <w:tcW w:type="dxa" w:w="2392"/>
          </w:tcPr>
          <w:p>
            <w:r/>
            <w:r>
              <w:rPr>
                <w:rFonts w:ascii="Times New Roman" w:hAnsi="Times New Roman"/>
                <w:sz w:val="18"/>
              </w:rPr>
              <w:t>36 (33,33%)</w:t>
            </w:r>
          </w:p>
        </w:tc>
        <w:tc>
          <w:tcPr>
            <w:tcW w:type="dxa" w:w="897"/>
          </w:tcPr>
          <w:p>
            <w:r/>
            <w:r>
              <w:rPr>
                <w:rFonts w:ascii="Times New Roman" w:hAnsi="Times New Roman"/>
                <w:sz w:val="18"/>
              </w:rPr>
            </w:r>
          </w:p>
        </w:tc>
      </w:tr>
      <w:tr>
        <w:tc>
          <w:tcPr>
            <w:tcW w:type="dxa" w:w="3489"/>
          </w:tcPr>
          <w:p>
            <w:r/>
            <w:r>
              <w:rPr>
                <w:rFonts w:ascii="Times New Roman" w:hAnsi="Times New Roman"/>
                <w:b/>
                <w:sz w:val="18"/>
              </w:rPr>
              <w:t>Tình trạng kinh tế xã hội</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0,24</w:t>
            </w:r>
          </w:p>
        </w:tc>
      </w:tr>
      <w:tr>
        <w:tc>
          <w:tcPr>
            <w:tcW w:type="dxa" w:w="3489"/>
          </w:tcPr>
          <w:p>
            <w:r/>
            <w:r>
              <w:rPr>
                <w:rFonts w:ascii="Times New Roman" w:hAnsi="Times New Roman"/>
                <w:sz w:val="18"/>
              </w:rPr>
              <w:t>Trung lưu cao</w:t>
            </w:r>
          </w:p>
        </w:tc>
        <w:tc>
          <w:tcPr>
            <w:tcW w:type="dxa" w:w="2293"/>
          </w:tcPr>
          <w:p>
            <w:r/>
            <w:r>
              <w:rPr>
                <w:rFonts w:ascii="Times New Roman" w:hAnsi="Times New Roman"/>
                <w:sz w:val="18"/>
              </w:rPr>
              <w:t>162 (36,00%)</w:t>
            </w:r>
          </w:p>
        </w:tc>
        <w:tc>
          <w:tcPr>
            <w:tcW w:type="dxa" w:w="2392"/>
          </w:tcPr>
          <w:p>
            <w:r/>
            <w:r>
              <w:rPr>
                <w:rFonts w:ascii="Times New Roman" w:hAnsi="Times New Roman"/>
                <w:sz w:val="18"/>
              </w:rPr>
              <w:t>38 (35,19%)</w:t>
            </w:r>
          </w:p>
        </w:tc>
        <w:tc>
          <w:tcPr>
            <w:tcW w:type="dxa" w:w="897"/>
          </w:tcPr>
          <w:p>
            <w:r/>
            <w:r>
              <w:rPr>
                <w:rFonts w:ascii="Times New Roman" w:hAnsi="Times New Roman"/>
                <w:sz w:val="18"/>
              </w:rPr>
            </w:r>
          </w:p>
        </w:tc>
      </w:tr>
      <w:tr>
        <w:tc>
          <w:tcPr>
            <w:tcW w:type="dxa" w:w="3489"/>
          </w:tcPr>
          <w:p>
            <w:r/>
            <w:r>
              <w:rPr>
                <w:rFonts w:ascii="Times New Roman" w:hAnsi="Times New Roman"/>
                <w:sz w:val="18"/>
              </w:rPr>
              <w:t>Trung lưu thấp</w:t>
            </w:r>
          </w:p>
        </w:tc>
        <w:tc>
          <w:tcPr>
            <w:tcW w:type="dxa" w:w="2293"/>
          </w:tcPr>
          <w:p>
            <w:r/>
            <w:r>
              <w:rPr>
                <w:rFonts w:ascii="Times New Roman" w:hAnsi="Times New Roman"/>
                <w:sz w:val="18"/>
              </w:rPr>
              <w:t>239 (53,11%)</w:t>
            </w:r>
          </w:p>
        </w:tc>
        <w:tc>
          <w:tcPr>
            <w:tcW w:type="dxa" w:w="2392"/>
          </w:tcPr>
          <w:p>
            <w:r/>
            <w:r>
              <w:rPr>
                <w:rFonts w:ascii="Times New Roman" w:hAnsi="Times New Roman"/>
                <w:sz w:val="18"/>
              </w:rPr>
              <w:t>59 (54,63%)</w:t>
            </w:r>
          </w:p>
        </w:tc>
        <w:tc>
          <w:tcPr>
            <w:tcW w:type="dxa" w:w="897"/>
          </w:tcPr>
          <w:p>
            <w:r/>
            <w:r>
              <w:rPr>
                <w:rFonts w:ascii="Times New Roman" w:hAnsi="Times New Roman"/>
                <w:sz w:val="18"/>
              </w:rPr>
            </w:r>
          </w:p>
        </w:tc>
      </w:tr>
      <w:tr>
        <w:tc>
          <w:tcPr>
            <w:tcW w:type="dxa" w:w="3489"/>
          </w:tcPr>
          <w:p>
            <w:r/>
            <w:r>
              <w:rPr>
                <w:rFonts w:ascii="Times New Roman" w:hAnsi="Times New Roman"/>
                <w:sz w:val="18"/>
              </w:rPr>
              <w:t>Trên mức thấp</w:t>
            </w:r>
          </w:p>
        </w:tc>
        <w:tc>
          <w:tcPr>
            <w:tcW w:type="dxa" w:w="2293"/>
          </w:tcPr>
          <w:p>
            <w:r/>
            <w:r>
              <w:rPr>
                <w:rFonts w:ascii="Times New Roman" w:hAnsi="Times New Roman"/>
                <w:sz w:val="18"/>
              </w:rPr>
              <w:t>49 (10,89%)</w:t>
            </w:r>
          </w:p>
        </w:tc>
        <w:tc>
          <w:tcPr>
            <w:tcW w:type="dxa" w:w="2392"/>
          </w:tcPr>
          <w:p>
            <w:r/>
            <w:r>
              <w:rPr>
                <w:rFonts w:ascii="Times New Roman" w:hAnsi="Times New Roman"/>
                <w:sz w:val="18"/>
              </w:rPr>
              <w:t>11 (10,19%)</w:t>
            </w:r>
          </w:p>
        </w:tc>
        <w:tc>
          <w:tcPr>
            <w:tcW w:type="dxa" w:w="897"/>
          </w:tcPr>
          <w:p>
            <w:r/>
            <w:r>
              <w:rPr>
                <w:rFonts w:ascii="Times New Roman" w:hAnsi="Times New Roman"/>
                <w:sz w:val="18"/>
              </w:rPr>
            </w:r>
          </w:p>
        </w:tc>
      </w:tr>
      <w:tr>
        <w:tc>
          <w:tcPr>
            <w:tcW w:type="dxa" w:w="3489"/>
          </w:tcPr>
          <w:p>
            <w:r/>
            <w:r>
              <w:rPr>
                <w:rFonts w:ascii="Times New Roman" w:hAnsi="Times New Roman"/>
                <w:b/>
                <w:sz w:val="18"/>
              </w:rPr>
              <w:t>Loại hình gia đình</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0,042</w:t>
            </w:r>
          </w:p>
        </w:tc>
      </w:tr>
      <w:tr>
        <w:tc>
          <w:tcPr>
            <w:tcW w:type="dxa" w:w="3489"/>
          </w:tcPr>
          <w:p>
            <w:r/>
            <w:r>
              <w:rPr>
                <w:rFonts w:ascii="Times New Roman" w:hAnsi="Times New Roman"/>
                <w:sz w:val="18"/>
              </w:rPr>
              <w:t>Hạt nhân</w:t>
            </w:r>
          </w:p>
        </w:tc>
        <w:tc>
          <w:tcPr>
            <w:tcW w:type="dxa" w:w="2293"/>
          </w:tcPr>
          <w:p>
            <w:r/>
            <w:r>
              <w:rPr>
                <w:rFonts w:ascii="Times New Roman" w:hAnsi="Times New Roman"/>
                <w:sz w:val="18"/>
              </w:rPr>
              <w:t>329 (73,11%)</w:t>
            </w:r>
          </w:p>
        </w:tc>
        <w:tc>
          <w:tcPr>
            <w:tcW w:type="dxa" w:w="2392"/>
          </w:tcPr>
          <w:p>
            <w:r/>
            <w:r>
              <w:rPr>
                <w:rFonts w:ascii="Times New Roman" w:hAnsi="Times New Roman"/>
                <w:sz w:val="18"/>
              </w:rPr>
              <w:t>68 (62,96%)</w:t>
            </w:r>
          </w:p>
        </w:tc>
        <w:tc>
          <w:tcPr>
            <w:tcW w:type="dxa" w:w="897"/>
          </w:tcPr>
          <w:p>
            <w:r/>
            <w:r>
              <w:rPr>
                <w:rFonts w:ascii="Times New Roman" w:hAnsi="Times New Roman"/>
                <w:sz w:val="18"/>
              </w:rPr>
            </w:r>
          </w:p>
        </w:tc>
      </w:tr>
      <w:tr>
        <w:tc>
          <w:tcPr>
            <w:tcW w:type="dxa" w:w="3489"/>
          </w:tcPr>
          <w:p>
            <w:r/>
            <w:r>
              <w:rPr>
                <w:rFonts w:ascii="Times New Roman" w:hAnsi="Times New Roman"/>
                <w:sz w:val="18"/>
              </w:rPr>
              <w:t>Đại gia đình</w:t>
            </w:r>
          </w:p>
        </w:tc>
        <w:tc>
          <w:tcPr>
            <w:tcW w:type="dxa" w:w="2293"/>
          </w:tcPr>
          <w:p>
            <w:r/>
            <w:r>
              <w:rPr>
                <w:rFonts w:ascii="Times New Roman" w:hAnsi="Times New Roman"/>
                <w:sz w:val="18"/>
              </w:rPr>
              <w:t>121 (26,89%)</w:t>
            </w:r>
          </w:p>
        </w:tc>
        <w:tc>
          <w:tcPr>
            <w:tcW w:type="dxa" w:w="2392"/>
          </w:tcPr>
          <w:p>
            <w:r/>
            <w:r>
              <w:rPr>
                <w:rFonts w:ascii="Times New Roman" w:hAnsi="Times New Roman"/>
                <w:sz w:val="18"/>
              </w:rPr>
              <w:t>40 (37,04%)</w:t>
            </w:r>
          </w:p>
        </w:tc>
        <w:tc>
          <w:tcPr>
            <w:tcW w:type="dxa" w:w="897"/>
          </w:tcPr>
          <w:p>
            <w:r/>
            <w:r>
              <w:rPr>
                <w:rFonts w:ascii="Times New Roman" w:hAnsi="Times New Roman"/>
                <w:sz w:val="18"/>
              </w:rPr>
            </w:r>
          </w:p>
        </w:tc>
      </w:tr>
      <w:tr>
        <w:tc>
          <w:tcPr>
            <w:tcW w:type="dxa" w:w="3489"/>
          </w:tcPr>
          <w:p>
            <w:r/>
            <w:r>
              <w:rPr>
                <w:rFonts w:ascii="Times New Roman" w:hAnsi="Times New Roman"/>
                <w:b/>
                <w:sz w:val="18"/>
              </w:rPr>
              <w:t>Sống cùng gia đình</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0,035</w:t>
            </w:r>
          </w:p>
        </w:tc>
      </w:tr>
      <w:tr>
        <w:tc>
          <w:tcPr>
            <w:tcW w:type="dxa" w:w="3489"/>
          </w:tcPr>
          <w:p>
            <w:r/>
            <w:r>
              <w:rPr>
                <w:rFonts w:ascii="Times New Roman" w:hAnsi="Times New Roman"/>
                <w:sz w:val="18"/>
              </w:rPr>
              <w:t>Có</w:t>
            </w:r>
          </w:p>
        </w:tc>
        <w:tc>
          <w:tcPr>
            <w:tcW w:type="dxa" w:w="2293"/>
          </w:tcPr>
          <w:p>
            <w:r/>
            <w:r>
              <w:rPr>
                <w:rFonts w:ascii="Times New Roman" w:hAnsi="Times New Roman"/>
                <w:sz w:val="18"/>
              </w:rPr>
              <w:t>354 (78,67%)</w:t>
            </w:r>
          </w:p>
        </w:tc>
        <w:tc>
          <w:tcPr>
            <w:tcW w:type="dxa" w:w="2392"/>
          </w:tcPr>
          <w:p>
            <w:r/>
            <w:r>
              <w:rPr>
                <w:rFonts w:ascii="Times New Roman" w:hAnsi="Times New Roman"/>
                <w:sz w:val="18"/>
              </w:rPr>
              <w:t>68 (62,96%)</w:t>
            </w:r>
          </w:p>
        </w:tc>
        <w:tc>
          <w:tcPr>
            <w:tcW w:type="dxa" w:w="897"/>
          </w:tcPr>
          <w:p>
            <w:r/>
            <w:r>
              <w:rPr>
                <w:rFonts w:ascii="Times New Roman" w:hAnsi="Times New Roman"/>
                <w:sz w:val="18"/>
              </w:rPr>
            </w:r>
          </w:p>
        </w:tc>
      </w:tr>
      <w:tr>
        <w:tc>
          <w:tcPr>
            <w:tcW w:type="dxa" w:w="3489"/>
          </w:tcPr>
          <w:p>
            <w:r/>
            <w:r>
              <w:rPr>
                <w:rFonts w:ascii="Times New Roman" w:hAnsi="Times New Roman"/>
                <w:sz w:val="18"/>
              </w:rPr>
              <w:t>Không</w:t>
            </w:r>
          </w:p>
        </w:tc>
        <w:tc>
          <w:tcPr>
            <w:tcW w:type="dxa" w:w="2293"/>
          </w:tcPr>
          <w:p>
            <w:r/>
            <w:r>
              <w:rPr>
                <w:rFonts w:ascii="Times New Roman" w:hAnsi="Times New Roman"/>
                <w:sz w:val="18"/>
              </w:rPr>
              <w:t>96 (21,33%)</w:t>
            </w:r>
          </w:p>
        </w:tc>
        <w:tc>
          <w:tcPr>
            <w:tcW w:type="dxa" w:w="2392"/>
          </w:tcPr>
          <w:p>
            <w:r/>
            <w:r>
              <w:rPr>
                <w:rFonts w:ascii="Times New Roman" w:hAnsi="Times New Roman"/>
                <w:sz w:val="18"/>
              </w:rPr>
              <w:t>40 (37,04%)</w:t>
            </w:r>
          </w:p>
        </w:tc>
        <w:tc>
          <w:tcPr>
            <w:tcW w:type="dxa" w:w="897"/>
          </w:tcPr>
          <w:p>
            <w:r/>
            <w:r>
              <w:rPr>
                <w:rFonts w:ascii="Times New Roman" w:hAnsi="Times New Roman"/>
                <w:sz w:val="18"/>
              </w:rPr>
            </w:r>
          </w:p>
        </w:tc>
      </w:tr>
      <w:tr>
        <w:tc>
          <w:tcPr>
            <w:tcW w:type="dxa" w:w="3489"/>
          </w:tcPr>
          <w:p>
            <w:r/>
            <w:r>
              <w:rPr>
                <w:rFonts w:ascii="Times New Roman" w:hAnsi="Times New Roman"/>
                <w:b/>
                <w:sz w:val="18"/>
              </w:rPr>
              <w:t>Cảm nhận mối quan hệ với bạn bè</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0,019</w:t>
            </w:r>
          </w:p>
        </w:tc>
      </w:tr>
      <w:tr>
        <w:tc>
          <w:tcPr>
            <w:tcW w:type="dxa" w:w="3489"/>
          </w:tcPr>
          <w:p>
            <w:r/>
            <w:r>
              <w:rPr>
                <w:rFonts w:ascii="Times New Roman" w:hAnsi="Times New Roman"/>
                <w:sz w:val="18"/>
              </w:rPr>
              <w:t>Tốt</w:t>
            </w:r>
          </w:p>
        </w:tc>
        <w:tc>
          <w:tcPr>
            <w:tcW w:type="dxa" w:w="2293"/>
          </w:tcPr>
          <w:p>
            <w:r/>
            <w:r>
              <w:rPr>
                <w:rFonts w:ascii="Times New Roman" w:hAnsi="Times New Roman"/>
                <w:sz w:val="18"/>
              </w:rPr>
              <w:t>376 (83,56%)</w:t>
            </w:r>
          </w:p>
        </w:tc>
        <w:tc>
          <w:tcPr>
            <w:tcW w:type="dxa" w:w="2392"/>
          </w:tcPr>
          <w:p>
            <w:r/>
            <w:r>
              <w:rPr>
                <w:rFonts w:ascii="Times New Roman" w:hAnsi="Times New Roman"/>
                <w:sz w:val="18"/>
              </w:rPr>
              <w:t>61 (56,48%)</w:t>
            </w:r>
          </w:p>
        </w:tc>
        <w:tc>
          <w:tcPr>
            <w:tcW w:type="dxa" w:w="897"/>
          </w:tcPr>
          <w:p>
            <w:r/>
            <w:r>
              <w:rPr>
                <w:rFonts w:ascii="Times New Roman" w:hAnsi="Times New Roman"/>
                <w:sz w:val="18"/>
              </w:rPr>
            </w:r>
          </w:p>
        </w:tc>
      </w:tr>
      <w:tr>
        <w:tc>
          <w:tcPr>
            <w:tcW w:type="dxa" w:w="3489"/>
          </w:tcPr>
          <w:p>
            <w:r/>
            <w:r>
              <w:rPr>
                <w:rFonts w:ascii="Times New Roman" w:hAnsi="Times New Roman"/>
                <w:sz w:val="18"/>
              </w:rPr>
              <w:t>Không tốt</w:t>
            </w:r>
          </w:p>
        </w:tc>
        <w:tc>
          <w:tcPr>
            <w:tcW w:type="dxa" w:w="2293"/>
          </w:tcPr>
          <w:p>
            <w:r/>
            <w:r>
              <w:rPr>
                <w:rFonts w:ascii="Times New Roman" w:hAnsi="Times New Roman"/>
                <w:sz w:val="18"/>
              </w:rPr>
              <w:t>74 (16,44%)</w:t>
            </w:r>
          </w:p>
        </w:tc>
        <w:tc>
          <w:tcPr>
            <w:tcW w:type="dxa" w:w="2392"/>
          </w:tcPr>
          <w:p>
            <w:r/>
            <w:r>
              <w:rPr>
                <w:rFonts w:ascii="Times New Roman" w:hAnsi="Times New Roman"/>
                <w:sz w:val="18"/>
              </w:rPr>
              <w:t>47 (43,52%)</w:t>
            </w:r>
          </w:p>
        </w:tc>
        <w:tc>
          <w:tcPr>
            <w:tcW w:type="dxa" w:w="897"/>
          </w:tcPr>
          <w:p>
            <w:r/>
            <w:r>
              <w:rPr>
                <w:rFonts w:ascii="Times New Roman" w:hAnsi="Times New Roman"/>
                <w:sz w:val="18"/>
              </w:rPr>
            </w:r>
          </w:p>
        </w:tc>
      </w:tr>
    </w:tbl>
    <w:p/>
    <w:p>
      <w:r>
        <w:rPr>
          <w:sz w:val="24"/>
        </w:rPr>
        <w:t>Trong các yếu tố liên quan đến lối sống, không hoạt động thể chất thường xuyên, không hài lòng với giấc ngủ và hút thuốc có liên quan có ý nghĩa thống kê với lo âu ở học sinh (p &lt;0,05).</w:t>
      </w:r>
    </w:p>
    <w:p>
      <w:r>
        <w:rPr>
          <w:b/>
          <w:color w:val="FF6600"/>
          <w:sz w:val="20"/>
        </w:rPr>
        <w:t>--- Trang 21, MedPulse Int J Psychology, Vol. 18(3), tháng 6/2021 ---</w:t>
      </w:r>
    </w:p>
    <w:p>
      <w:r>
        <w:rPr>
          <w:b/>
          <w:sz w:val="24"/>
        </w:rPr>
        <w:t>Bảng 3:</w:t>
      </w:r>
      <w:r>
        <w:rPr>
          <w:sz w:val="24"/>
        </w:rPr>
        <w:t xml:space="preserve"> Thông tin liên quan đến lối sống</w:t>
      </w:r>
    </w:p>
    <w:tbl>
      <w:tblPr>
        <w:tblStyle w:val="TableGrid"/>
        <w:tblW w:type="auto" w:w="0"/>
        <w:tblLook w:firstColumn="1" w:firstRow="1" w:lastColumn="0" w:lastRow="0" w:noHBand="0" w:noVBand="1" w:val="04A0"/>
      </w:tblPr>
      <w:tblGrid>
        <w:gridCol w:w="2160"/>
        <w:gridCol w:w="2160"/>
        <w:gridCol w:w="2160"/>
        <w:gridCol w:w="2160"/>
      </w:tblGrid>
      <w:tr>
        <w:tc>
          <w:tcPr>
            <w:tcW w:type="dxa" w:w="3489"/>
          </w:tcPr>
          <w:p>
            <w:r>
              <w:rPr>
                <w:b/>
              </w:rPr>
            </w:r>
            <w:r>
              <w:rPr>
                <w:rFonts w:ascii="Times New Roman" w:hAnsi="Times New Roman"/>
                <w:b/>
                <w:sz w:val="18"/>
              </w:rPr>
              <w:t>Thông tin liên quan đến lối sống</w:t>
            </w:r>
          </w:p>
        </w:tc>
        <w:tc>
          <w:tcPr>
            <w:tcW w:type="dxa" w:w="2293"/>
          </w:tcPr>
          <w:p>
            <w:r>
              <w:rPr>
                <w:b/>
              </w:rPr>
            </w:r>
            <w:r>
              <w:rPr>
                <w:rFonts w:ascii="Times New Roman" w:hAnsi="Times New Roman"/>
                <w:b/>
                <w:sz w:val="18"/>
              </w:rPr>
              <w:t>Số học sinh (n=450) (%)</w:t>
            </w:r>
          </w:p>
        </w:tc>
        <w:tc>
          <w:tcPr>
            <w:tcW w:type="dxa" w:w="2392"/>
          </w:tcPr>
          <w:p>
            <w:r>
              <w:rPr>
                <w:b/>
              </w:rPr>
            </w:r>
            <w:r>
              <w:rPr>
                <w:rFonts w:ascii="Times New Roman" w:hAnsi="Times New Roman"/>
                <w:b/>
                <w:sz w:val="18"/>
              </w:rPr>
              <w:t>Số học sinh có lo âu (%)</w:t>
            </w:r>
          </w:p>
        </w:tc>
        <w:tc>
          <w:tcPr>
            <w:tcW w:type="dxa" w:w="897"/>
          </w:tcPr>
          <w:p>
            <w:r>
              <w:rPr>
                <w:b/>
              </w:rPr>
            </w:r>
            <w:r>
              <w:rPr>
                <w:rFonts w:ascii="Times New Roman" w:hAnsi="Times New Roman"/>
                <w:b/>
                <w:sz w:val="18"/>
              </w:rPr>
              <w:t>Giá trị P</w:t>
            </w:r>
          </w:p>
        </w:tc>
      </w:tr>
      <w:tr>
        <w:tc>
          <w:tcPr>
            <w:tcW w:type="dxa" w:w="3489"/>
          </w:tcPr>
          <w:p>
            <w:r/>
            <w:r>
              <w:rPr>
                <w:rFonts w:ascii="Times New Roman" w:hAnsi="Times New Roman"/>
                <w:b/>
                <w:sz w:val="18"/>
              </w:rPr>
              <w:t>Hoạt động thể chất thường xuyên</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0,025</w:t>
            </w:r>
          </w:p>
        </w:tc>
      </w:tr>
      <w:tr>
        <w:tc>
          <w:tcPr>
            <w:tcW w:type="dxa" w:w="3489"/>
          </w:tcPr>
          <w:p>
            <w:r/>
            <w:r>
              <w:rPr>
                <w:rFonts w:ascii="Times New Roman" w:hAnsi="Times New Roman"/>
                <w:sz w:val="18"/>
              </w:rPr>
              <w:t>Có</w:t>
            </w:r>
          </w:p>
        </w:tc>
        <w:tc>
          <w:tcPr>
            <w:tcW w:type="dxa" w:w="2293"/>
          </w:tcPr>
          <w:p>
            <w:r/>
            <w:r>
              <w:rPr>
                <w:rFonts w:ascii="Times New Roman" w:hAnsi="Times New Roman"/>
                <w:sz w:val="18"/>
              </w:rPr>
              <w:t>198 (44%)</w:t>
            </w:r>
          </w:p>
        </w:tc>
        <w:tc>
          <w:tcPr>
            <w:tcW w:type="dxa" w:w="2392"/>
          </w:tcPr>
          <w:p>
            <w:r/>
            <w:r>
              <w:rPr>
                <w:rFonts w:ascii="Times New Roman" w:hAnsi="Times New Roman"/>
                <w:sz w:val="18"/>
              </w:rPr>
              <w:t>23 (21,30%)</w:t>
            </w:r>
          </w:p>
        </w:tc>
        <w:tc>
          <w:tcPr>
            <w:tcW w:type="dxa" w:w="897"/>
          </w:tcPr>
          <w:p>
            <w:r/>
            <w:r>
              <w:rPr>
                <w:rFonts w:ascii="Times New Roman" w:hAnsi="Times New Roman"/>
                <w:sz w:val="18"/>
              </w:rPr>
            </w:r>
          </w:p>
        </w:tc>
      </w:tr>
      <w:tr>
        <w:tc>
          <w:tcPr>
            <w:tcW w:type="dxa" w:w="3489"/>
          </w:tcPr>
          <w:p>
            <w:r/>
            <w:r>
              <w:rPr>
                <w:rFonts w:ascii="Times New Roman" w:hAnsi="Times New Roman"/>
                <w:sz w:val="18"/>
              </w:rPr>
              <w:t>Không</w:t>
            </w:r>
          </w:p>
        </w:tc>
        <w:tc>
          <w:tcPr>
            <w:tcW w:type="dxa" w:w="2293"/>
          </w:tcPr>
          <w:p>
            <w:r/>
            <w:r>
              <w:rPr>
                <w:rFonts w:ascii="Times New Roman" w:hAnsi="Times New Roman"/>
                <w:sz w:val="18"/>
              </w:rPr>
              <w:t>252 (56%)</w:t>
            </w:r>
          </w:p>
        </w:tc>
        <w:tc>
          <w:tcPr>
            <w:tcW w:type="dxa" w:w="2392"/>
          </w:tcPr>
          <w:p>
            <w:r/>
            <w:r>
              <w:rPr>
                <w:rFonts w:ascii="Times New Roman" w:hAnsi="Times New Roman"/>
                <w:sz w:val="18"/>
              </w:rPr>
              <w:t>85 (78,70%)</w:t>
            </w:r>
          </w:p>
        </w:tc>
        <w:tc>
          <w:tcPr>
            <w:tcW w:type="dxa" w:w="897"/>
          </w:tcPr>
          <w:p>
            <w:r/>
            <w:r>
              <w:rPr>
                <w:rFonts w:ascii="Times New Roman" w:hAnsi="Times New Roman"/>
                <w:sz w:val="18"/>
              </w:rPr>
            </w:r>
          </w:p>
        </w:tc>
      </w:tr>
      <w:tr>
        <w:tc>
          <w:tcPr>
            <w:tcW w:type="dxa" w:w="3489"/>
          </w:tcPr>
          <w:p>
            <w:r/>
            <w:r>
              <w:rPr>
                <w:rFonts w:ascii="Times New Roman" w:hAnsi="Times New Roman"/>
                <w:b/>
                <w:sz w:val="18"/>
              </w:rPr>
              <w:t>Hài lòng với giấc ngủ</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0,018</w:t>
            </w:r>
          </w:p>
        </w:tc>
      </w:tr>
      <w:tr>
        <w:tc>
          <w:tcPr>
            <w:tcW w:type="dxa" w:w="3489"/>
          </w:tcPr>
          <w:p>
            <w:r/>
            <w:r>
              <w:rPr>
                <w:rFonts w:ascii="Times New Roman" w:hAnsi="Times New Roman"/>
                <w:sz w:val="18"/>
              </w:rPr>
              <w:t>Có</w:t>
            </w:r>
          </w:p>
        </w:tc>
        <w:tc>
          <w:tcPr>
            <w:tcW w:type="dxa" w:w="2293"/>
          </w:tcPr>
          <w:p>
            <w:r/>
            <w:r>
              <w:rPr>
                <w:rFonts w:ascii="Times New Roman" w:hAnsi="Times New Roman"/>
                <w:sz w:val="18"/>
              </w:rPr>
              <w:t>368 (81,78%)</w:t>
            </w:r>
          </w:p>
        </w:tc>
        <w:tc>
          <w:tcPr>
            <w:tcW w:type="dxa" w:w="2392"/>
          </w:tcPr>
          <w:p>
            <w:r/>
            <w:r>
              <w:rPr>
                <w:rFonts w:ascii="Times New Roman" w:hAnsi="Times New Roman"/>
                <w:sz w:val="18"/>
              </w:rPr>
              <w:t>78 (72,22%)</w:t>
            </w:r>
          </w:p>
        </w:tc>
        <w:tc>
          <w:tcPr>
            <w:tcW w:type="dxa" w:w="897"/>
          </w:tcPr>
          <w:p>
            <w:r/>
            <w:r>
              <w:rPr>
                <w:rFonts w:ascii="Times New Roman" w:hAnsi="Times New Roman"/>
                <w:sz w:val="18"/>
              </w:rPr>
            </w:r>
          </w:p>
        </w:tc>
      </w:tr>
      <w:tr>
        <w:tc>
          <w:tcPr>
            <w:tcW w:type="dxa" w:w="3489"/>
          </w:tcPr>
          <w:p>
            <w:r/>
            <w:r>
              <w:rPr>
                <w:rFonts w:ascii="Times New Roman" w:hAnsi="Times New Roman"/>
                <w:sz w:val="18"/>
              </w:rPr>
              <w:t>Không</w:t>
            </w:r>
          </w:p>
        </w:tc>
        <w:tc>
          <w:tcPr>
            <w:tcW w:type="dxa" w:w="2293"/>
          </w:tcPr>
          <w:p>
            <w:r/>
            <w:r>
              <w:rPr>
                <w:rFonts w:ascii="Times New Roman" w:hAnsi="Times New Roman"/>
                <w:sz w:val="18"/>
              </w:rPr>
              <w:t>82 (18,22%)</w:t>
            </w:r>
          </w:p>
        </w:tc>
        <w:tc>
          <w:tcPr>
            <w:tcW w:type="dxa" w:w="2392"/>
          </w:tcPr>
          <w:p>
            <w:r/>
            <w:r>
              <w:rPr>
                <w:rFonts w:ascii="Times New Roman" w:hAnsi="Times New Roman"/>
                <w:sz w:val="18"/>
              </w:rPr>
              <w:t>30 (27,78%)</w:t>
            </w:r>
          </w:p>
        </w:tc>
        <w:tc>
          <w:tcPr>
            <w:tcW w:type="dxa" w:w="897"/>
          </w:tcPr>
          <w:p>
            <w:r/>
            <w:r>
              <w:rPr>
                <w:rFonts w:ascii="Times New Roman" w:hAnsi="Times New Roman"/>
                <w:sz w:val="18"/>
              </w:rPr>
            </w:r>
          </w:p>
        </w:tc>
      </w:tr>
      <w:tr>
        <w:tc>
          <w:tcPr>
            <w:tcW w:type="dxa" w:w="3489"/>
          </w:tcPr>
          <w:p>
            <w:r/>
            <w:r>
              <w:rPr>
                <w:rFonts w:ascii="Times New Roman" w:hAnsi="Times New Roman"/>
                <w:b/>
                <w:sz w:val="18"/>
              </w:rPr>
              <w:t>Tình trạng giấc ngủ</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0,072</w:t>
            </w:r>
          </w:p>
        </w:tc>
      </w:tr>
      <w:tr>
        <w:tc>
          <w:tcPr>
            <w:tcW w:type="dxa" w:w="3489"/>
          </w:tcPr>
          <w:p>
            <w:r/>
            <w:r>
              <w:rPr>
                <w:rFonts w:ascii="Times New Roman" w:hAnsi="Times New Roman"/>
                <w:sz w:val="18"/>
              </w:rPr>
              <w:t>Ít hơn bình thường</w:t>
            </w:r>
          </w:p>
        </w:tc>
        <w:tc>
          <w:tcPr>
            <w:tcW w:type="dxa" w:w="2293"/>
          </w:tcPr>
          <w:p>
            <w:r/>
            <w:r>
              <w:rPr>
                <w:rFonts w:ascii="Times New Roman" w:hAnsi="Times New Roman"/>
                <w:sz w:val="18"/>
              </w:rPr>
              <w:t>179 (39,78%)</w:t>
            </w:r>
          </w:p>
        </w:tc>
        <w:tc>
          <w:tcPr>
            <w:tcW w:type="dxa" w:w="2392"/>
          </w:tcPr>
          <w:p>
            <w:r/>
            <w:r>
              <w:rPr>
                <w:rFonts w:ascii="Times New Roman" w:hAnsi="Times New Roman"/>
                <w:sz w:val="18"/>
              </w:rPr>
              <w:t>69 (63,89%)</w:t>
            </w:r>
          </w:p>
        </w:tc>
        <w:tc>
          <w:tcPr>
            <w:tcW w:type="dxa" w:w="897"/>
          </w:tcPr>
          <w:p>
            <w:r/>
            <w:r>
              <w:rPr>
                <w:rFonts w:ascii="Times New Roman" w:hAnsi="Times New Roman"/>
                <w:sz w:val="18"/>
              </w:rPr>
            </w:r>
          </w:p>
        </w:tc>
      </w:tr>
      <w:tr>
        <w:tc>
          <w:tcPr>
            <w:tcW w:type="dxa" w:w="3489"/>
          </w:tcPr>
          <w:p>
            <w:r/>
            <w:r>
              <w:rPr>
                <w:rFonts w:ascii="Times New Roman" w:hAnsi="Times New Roman"/>
                <w:sz w:val="18"/>
              </w:rPr>
              <w:t>Bình thường (7-8 giờ)</w:t>
            </w:r>
          </w:p>
        </w:tc>
        <w:tc>
          <w:tcPr>
            <w:tcW w:type="dxa" w:w="2293"/>
          </w:tcPr>
          <w:p>
            <w:r/>
            <w:r>
              <w:rPr>
                <w:rFonts w:ascii="Times New Roman" w:hAnsi="Times New Roman"/>
                <w:sz w:val="18"/>
              </w:rPr>
              <w:t>218 (48,44%)</w:t>
            </w:r>
          </w:p>
        </w:tc>
        <w:tc>
          <w:tcPr>
            <w:tcW w:type="dxa" w:w="2392"/>
          </w:tcPr>
          <w:p>
            <w:r/>
            <w:r>
              <w:rPr>
                <w:rFonts w:ascii="Times New Roman" w:hAnsi="Times New Roman"/>
                <w:sz w:val="18"/>
              </w:rPr>
              <w:t>34 (31,48%)</w:t>
            </w:r>
          </w:p>
        </w:tc>
        <w:tc>
          <w:tcPr>
            <w:tcW w:type="dxa" w:w="897"/>
          </w:tcPr>
          <w:p>
            <w:r/>
            <w:r>
              <w:rPr>
                <w:rFonts w:ascii="Times New Roman" w:hAnsi="Times New Roman"/>
                <w:sz w:val="18"/>
              </w:rPr>
            </w:r>
          </w:p>
        </w:tc>
      </w:tr>
      <w:tr>
        <w:tc>
          <w:tcPr>
            <w:tcW w:type="dxa" w:w="3489"/>
          </w:tcPr>
          <w:p>
            <w:r/>
            <w:r>
              <w:rPr>
                <w:rFonts w:ascii="Times New Roman" w:hAnsi="Times New Roman"/>
                <w:sz w:val="18"/>
              </w:rPr>
              <w:t>Nhiều hơn bình thường</w:t>
            </w:r>
          </w:p>
        </w:tc>
        <w:tc>
          <w:tcPr>
            <w:tcW w:type="dxa" w:w="2293"/>
          </w:tcPr>
          <w:p>
            <w:r/>
            <w:r>
              <w:rPr>
                <w:rFonts w:ascii="Times New Roman" w:hAnsi="Times New Roman"/>
                <w:sz w:val="18"/>
              </w:rPr>
              <w:t>53 (11,78%)</w:t>
            </w:r>
          </w:p>
        </w:tc>
        <w:tc>
          <w:tcPr>
            <w:tcW w:type="dxa" w:w="2392"/>
          </w:tcPr>
          <w:p>
            <w:r/>
            <w:r>
              <w:rPr>
                <w:rFonts w:ascii="Times New Roman" w:hAnsi="Times New Roman"/>
                <w:sz w:val="18"/>
              </w:rPr>
              <w:t>5 (4,63%)</w:t>
            </w:r>
          </w:p>
        </w:tc>
        <w:tc>
          <w:tcPr>
            <w:tcW w:type="dxa" w:w="897"/>
          </w:tcPr>
          <w:p>
            <w:r/>
            <w:r>
              <w:rPr>
                <w:rFonts w:ascii="Times New Roman" w:hAnsi="Times New Roman"/>
                <w:sz w:val="18"/>
              </w:rPr>
            </w:r>
          </w:p>
        </w:tc>
      </w:tr>
      <w:tr>
        <w:tc>
          <w:tcPr>
            <w:tcW w:type="dxa" w:w="3489"/>
          </w:tcPr>
          <w:p>
            <w:r/>
            <w:r>
              <w:rPr>
                <w:rFonts w:ascii="Times New Roman" w:hAnsi="Times New Roman"/>
                <w:b/>
                <w:sz w:val="18"/>
              </w:rPr>
              <w:t>Hút thuốc lá</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&lt; 0,001</w:t>
            </w:r>
          </w:p>
        </w:tc>
      </w:tr>
      <w:tr>
        <w:tc>
          <w:tcPr>
            <w:tcW w:type="dxa" w:w="3489"/>
          </w:tcPr>
          <w:p>
            <w:r/>
            <w:r>
              <w:rPr>
                <w:rFonts w:ascii="Times New Roman" w:hAnsi="Times New Roman"/>
                <w:sz w:val="18"/>
              </w:rPr>
              <w:t>Có</w:t>
            </w:r>
          </w:p>
        </w:tc>
        <w:tc>
          <w:tcPr>
            <w:tcW w:type="dxa" w:w="2293"/>
          </w:tcPr>
          <w:p>
            <w:r/>
            <w:r>
              <w:rPr>
                <w:rFonts w:ascii="Times New Roman" w:hAnsi="Times New Roman"/>
                <w:sz w:val="18"/>
              </w:rPr>
              <w:t>416 (92,44%)</w:t>
            </w:r>
          </w:p>
        </w:tc>
        <w:tc>
          <w:tcPr>
            <w:tcW w:type="dxa" w:w="2392"/>
          </w:tcPr>
          <w:p>
            <w:r/>
            <w:r>
              <w:rPr>
                <w:rFonts w:ascii="Times New Roman" w:hAnsi="Times New Roman"/>
                <w:sz w:val="18"/>
              </w:rPr>
              <w:t>92 (85,19%)</w:t>
            </w:r>
          </w:p>
        </w:tc>
        <w:tc>
          <w:tcPr>
            <w:tcW w:type="dxa" w:w="897"/>
          </w:tcPr>
          <w:p>
            <w:r/>
            <w:r>
              <w:rPr>
                <w:rFonts w:ascii="Times New Roman" w:hAnsi="Times New Roman"/>
                <w:sz w:val="18"/>
              </w:rPr>
            </w:r>
          </w:p>
        </w:tc>
      </w:tr>
      <w:tr>
        <w:tc>
          <w:tcPr>
            <w:tcW w:type="dxa" w:w="3489"/>
          </w:tcPr>
          <w:p>
            <w:r/>
            <w:r>
              <w:rPr>
                <w:rFonts w:ascii="Times New Roman" w:hAnsi="Times New Roman"/>
                <w:sz w:val="18"/>
              </w:rPr>
              <w:t>Không</w:t>
            </w:r>
          </w:p>
        </w:tc>
        <w:tc>
          <w:tcPr>
            <w:tcW w:type="dxa" w:w="2293"/>
          </w:tcPr>
          <w:p>
            <w:r/>
            <w:r>
              <w:rPr>
                <w:rFonts w:ascii="Times New Roman" w:hAnsi="Times New Roman"/>
                <w:sz w:val="18"/>
              </w:rPr>
              <w:t>34 (7,56%)</w:t>
            </w:r>
          </w:p>
        </w:tc>
        <w:tc>
          <w:tcPr>
            <w:tcW w:type="dxa" w:w="2392"/>
          </w:tcPr>
          <w:p>
            <w:r/>
            <w:r>
              <w:rPr>
                <w:rFonts w:ascii="Times New Roman" w:hAnsi="Times New Roman"/>
                <w:sz w:val="18"/>
              </w:rPr>
              <w:t>16 (14,81%)</w:t>
            </w:r>
          </w:p>
        </w:tc>
        <w:tc>
          <w:tcPr>
            <w:tcW w:type="dxa" w:w="897"/>
          </w:tcPr>
          <w:p>
            <w:r/>
            <w:r>
              <w:rPr>
                <w:rFonts w:ascii="Times New Roman" w:hAnsi="Times New Roman"/>
                <w:sz w:val="18"/>
              </w:rPr>
            </w:r>
          </w:p>
        </w:tc>
      </w:tr>
      <w:tr>
        <w:tc>
          <w:tcPr>
            <w:tcW w:type="dxa" w:w="3489"/>
          </w:tcPr>
          <w:p>
            <w:r/>
            <w:r>
              <w:rPr>
                <w:rFonts w:ascii="Times New Roman" w:hAnsi="Times New Roman"/>
                <w:b/>
                <w:sz w:val="18"/>
              </w:rPr>
              <w:t>Sử dụng internet</w:t>
            </w:r>
          </w:p>
        </w:tc>
        <w:tc>
          <w:tcPr>
            <w:tcW w:type="dxa" w:w="2293"/>
          </w:tcPr>
          <w:p>
            <w:r/>
            <w:r>
              <w:rPr>
                <w:rFonts w:ascii="Times New Roman" w:hAnsi="Times New Roman"/>
                <w:sz w:val="18"/>
              </w:rPr>
            </w:r>
          </w:p>
        </w:tc>
        <w:tc>
          <w:tcPr>
            <w:tcW w:type="dxa" w:w="2392"/>
          </w:tcPr>
          <w:p>
            <w:r/>
            <w:r>
              <w:rPr>
                <w:rFonts w:ascii="Times New Roman" w:hAnsi="Times New Roman"/>
                <w:sz w:val="18"/>
              </w:rPr>
            </w:r>
          </w:p>
        </w:tc>
        <w:tc>
          <w:tcPr>
            <w:tcW w:type="dxa" w:w="897"/>
          </w:tcPr>
          <w:p>
            <w:r/>
            <w:r>
              <w:rPr>
                <w:rFonts w:ascii="Times New Roman" w:hAnsi="Times New Roman"/>
                <w:sz w:val="18"/>
              </w:rPr>
              <w:t>0,634</w:t>
            </w:r>
          </w:p>
        </w:tc>
      </w:tr>
      <w:tr>
        <w:tc>
          <w:tcPr>
            <w:tcW w:type="dxa" w:w="3489"/>
          </w:tcPr>
          <w:p>
            <w:r/>
            <w:r>
              <w:rPr>
                <w:rFonts w:ascii="Times New Roman" w:hAnsi="Times New Roman"/>
                <w:sz w:val="18"/>
              </w:rPr>
              <w:t>Có</w:t>
            </w:r>
          </w:p>
        </w:tc>
        <w:tc>
          <w:tcPr>
            <w:tcW w:type="dxa" w:w="2293"/>
          </w:tcPr>
          <w:p>
            <w:r/>
            <w:r>
              <w:rPr>
                <w:rFonts w:ascii="Times New Roman" w:hAnsi="Times New Roman"/>
                <w:sz w:val="18"/>
              </w:rPr>
              <w:t>437 (97,11%)</w:t>
            </w:r>
          </w:p>
        </w:tc>
        <w:tc>
          <w:tcPr>
            <w:tcW w:type="dxa" w:w="2392"/>
          </w:tcPr>
          <w:p>
            <w:r/>
            <w:r>
              <w:rPr>
                <w:rFonts w:ascii="Times New Roman" w:hAnsi="Times New Roman"/>
                <w:sz w:val="18"/>
              </w:rPr>
              <w:t>106 (98,15%)</w:t>
            </w:r>
          </w:p>
        </w:tc>
        <w:tc>
          <w:tcPr>
            <w:tcW w:type="dxa" w:w="897"/>
          </w:tcPr>
          <w:p>
            <w:r/>
            <w:r>
              <w:rPr>
                <w:rFonts w:ascii="Times New Roman" w:hAnsi="Times New Roman"/>
                <w:sz w:val="18"/>
              </w:rPr>
            </w:r>
          </w:p>
        </w:tc>
      </w:tr>
      <w:tr>
        <w:tc>
          <w:tcPr>
            <w:tcW w:type="dxa" w:w="3489"/>
          </w:tcPr>
          <w:p>
            <w:r/>
            <w:r>
              <w:rPr>
                <w:rFonts w:ascii="Times New Roman" w:hAnsi="Times New Roman"/>
                <w:sz w:val="18"/>
              </w:rPr>
              <w:t>Không</w:t>
            </w:r>
          </w:p>
        </w:tc>
        <w:tc>
          <w:tcPr>
            <w:tcW w:type="dxa" w:w="2293"/>
          </w:tcPr>
          <w:p>
            <w:r/>
            <w:r>
              <w:rPr>
                <w:rFonts w:ascii="Times New Roman" w:hAnsi="Times New Roman"/>
                <w:sz w:val="18"/>
              </w:rPr>
              <w:t>13 (2,89%)</w:t>
            </w:r>
          </w:p>
        </w:tc>
        <w:tc>
          <w:tcPr>
            <w:tcW w:type="dxa" w:w="2392"/>
          </w:tcPr>
          <w:p>
            <w:r/>
            <w:r>
              <w:rPr>
                <w:rFonts w:ascii="Times New Roman" w:hAnsi="Times New Roman"/>
                <w:sz w:val="18"/>
              </w:rPr>
              <w:t>2 (1,85%)</w:t>
            </w:r>
          </w:p>
        </w:tc>
        <w:tc>
          <w:tcPr>
            <w:tcW w:type="dxa" w:w="897"/>
          </w:tcPr>
          <w:p>
            <w:r/>
            <w:r>
              <w:rPr>
                <w:rFonts w:ascii="Times New Roman" w:hAnsi="Times New Roman"/>
                <w:sz w:val="18"/>
              </w:rPr>
            </w:r>
          </w:p>
        </w:tc>
      </w:tr>
    </w:tbl>
    <w:p/>
    <w:p>
      <w:pPr>
        <w:pStyle w:val="Heading2"/>
      </w:pPr>
      <w:r>
        <w:t>THẢO LUẬN / DISCUSSION</w:t>
      </w:r>
    </w:p>
    <w:p>
      <w:r>
        <w:rPr>
          <w:sz w:val="24"/>
        </w:rPr>
        <w:t>Do áp lực học tập, những thay đổi cảm xúc, điều kiện xã hội, nhóm tuổi thanh thiếu niên dễ trở thành nạn nhân của các rối loạn tâm trạng như lo âu và trầm cảm, làm tổn hại chất lượng cuộc sống của họ. Các triệu chứng của ba rối loạn này có thể dẫn đến kết quả học tập kém, thiếu giao tiếp với bạn bè và thành viên gia đình, lạm dụng chất gây nghiện, cảm giác bị bỏ rơi, ý tưởng giết người, và xu hướng tự tử.[9,10] Các rối loạn lo âu cũng được liên kết với đau đầu, khó ngủ, nói lắp và các rối loạn ngôn ngữ khác, và cản trở đời sống xã hội, học đường và gia đình của người trẻ. Lo âu biểu hiện như cảm giác bất lực, sự không chắc chắn về bản thân, thiếu sức mạnh đủ để đối mặt với các yếu tố bên ngoài, và phóng đại khả năng và sức mạnh của mình.[11] Trong một nghiên cứu trên tạp chí Lancet được tiến hành trên các bang của Ấn Độ, tỷ lệ rối loạn lo âu ở cả hai giới tăng nhanh ở thanh thiếu niên và thanh niên và cao hơn ở nữ so với nam trong hầu hết các nhóm tuổi.[12] Các phát hiện tương tự đã được ghi nhận trong nghiên cứu hiện tại. Một nghiên cứu mô tả được tiến hành về tỷ lệ căng thẳng, lo âu và các yếu tố tương quan trên 1000 thanh thiếu niên; 14,4% nam và 17,2% nữ bị căng thẳng. Và 14,6% nam và 18,8% nữ bị lo âu.[13] Trong một nghiên cứu dựa trên trường học tại một trường đô thị ở New Delhi, Kumar A và cộng sự,[14] tỷ lệ trầm cảm, lo âu và căng thẳng tổng thể lần lượt là 47,9%, 65,3% và 51,8%. Phần lớn học sinh mắc trầm cảm mức độ trung bình (46,8%), lo âu (33,3%) và căng thẳng nhẹ (60,9%). Người ta ghi nhận rằng những tình trạng này phổ biến hơn ở nữ sinh, nhóm tuổi vị thành niên muộn, học sinh sống một mình/xa gia đình, học sinh có cha mẹ ly thân/đơn thân, sử dụng rượu bia và áp lực gia đình để học giỏi ở trường. U Harikrishnan và cộng sự,[15] đã nghiên cứu thanh thiếu niên đang đi học từ các khu vực đô thị của huyện Sonitpur, Assam. Từ 561 học sinh, 14,6% có mức độ lo âu xã hội trung bình, 12,8% có lo âu xã hội rõ rệt và 2,5% người tham gia có lo âu xã hội nghiêm trọng. Kết quả từ nghiên cứu hiện tại cho thấy 38,3% người tham gia được báo cáo là có ám ảnh sợ xã hội. Các phát hiện tương tự đã được ghi nhận trong nghiên cứu hiện tại. Nag K và cộng sự,[16] đã nghiên cứu 400 học sinh của lớp IX-XII, từ các trường thuộc khu vực đô thị tự trị ở Tripura. Phần lớn học sinh mắc lo âu nhẹ (49,4%) tiếp theo là lo âu trung bình (43,3%) và lo âu nặng (7,3%). Điểm lo âu trung bình của học sinh là 16,90 ± 9,02. Nữ sinh (10,9%) có mức lo âu nặng hơn so với nam sinh (3,8%) và sự khác biệt về các mức độ lo âu theo giới tính này có ý nghĩa thống kê. Mối liên quan giữa các mức độ lo âu khác nhau với tiền sử các sự kiện căng thẳng trong 6 tháng qua được phát hiện là có ý nghĩa thống kê. Lo âu hiện diện ở mọi nhóm tuổi và nữ giới chịu ảnh hưởng nặng hơn với lo âu nghiêm trọng. Sự gia tăng mức độ lo âu cũng được nhận thấy liên quan đến việc tiếp xúc nhiều hơn với nội dung có hại trên Internet, giảm các hoạt động thể chất và giảm mức độ tương tác của trẻ em với bạn bè cũng như cha mẹ.[10] Hoạt động thể chất dưới hình thức thể thao và trò chơi giúp cải thiện kỹ năng giải quyết vấn đề và giúp thanh thiếu niên đối phó tốt hơn với các vấn đề sức khỏe tâm thần và thậm chí ngăn ngừa sự khởi phát của các triệu chứng tâm lý.[17] Các can thiệp sức khỏe tâm thần tại trường học và các chương trình phòng ngừa và điều trị dựa trên internet có hiệu quả đối với các triệu chứng lo âu và trầm cảm.[18] Các chương trình sàng lọc, đường dây nóng hỗ trợ, giáo dục ở trường học và các chương trình kỹ năng sống có thể đóng vai trò quan trọng trong việc chẩn đoán bệnh tâm thần và phòng ngừa tự tử.</w:t>
      </w:r>
    </w:p>
    <w:p>
      <w:r>
        <w:rPr>
          <w:b/>
          <w:color w:val="FF6600"/>
          <w:sz w:val="20"/>
        </w:rPr>
        <w:t>--- Trang 22, MedPulse Int J Psychology, Vol. 18(3), tháng 6/2021 ---</w:t>
      </w:r>
    </w:p>
    <w:p>
      <w:pPr>
        <w:pStyle w:val="Heading2"/>
      </w:pPr>
      <w:r>
        <w:t>KẾT LUẬN / CONCLUSION</w:t>
      </w:r>
    </w:p>
    <w:p>
      <w:r>
        <w:rPr>
          <w:sz w:val="24"/>
        </w:rPr>
        <w:t>Lo âu là một vấn đề quan trọng trong cuộc sống thanh thiếu niên, phát hiện sớm và can thiệp kịp thời là rất cần thiết để giảm gánh nặng tổng thể và tình trạng khuyết tật liên quan đến rối loạn tâm thần ở quần thể thanh thiếu niên. Nghiên cứu trong tương lai về các chiến lược phòng ngừa ở học sinh thanh thiếu niên nên được thực hiện để chống lại vấn đề hiện đại này về lo âu và giảm gánh nặng rối loạn lo âu ở nhóm tuổi này.</w:t>
      </w:r>
    </w:p>
    <w:p>
      <w:r>
        <w:rPr>
          <w:b/>
          <w:sz w:val="24"/>
        </w:rPr>
        <w:t>Nguồn hỗ trợ:</w:t>
      </w:r>
      <w:r>
        <w:rPr>
          <w:sz w:val="24"/>
        </w:rPr>
        <w:t xml:space="preserve"> Không có khai báo</w:t>
      </w:r>
    </w:p>
    <w:p>
      <w:r>
        <w:rPr>
          <w:b/>
          <w:sz w:val="24"/>
        </w:rPr>
        <w:t>Xung đột lợi ích:</w:t>
      </w:r>
      <w:r>
        <w:rPr>
          <w:sz w:val="24"/>
        </w:rPr>
        <w:t xml:space="preserve"> Không có khai báo</w:t>
      </w:r>
    </w:p>
    <w:p>
      <w:pPr>
        <w:pStyle w:val="Heading2"/>
      </w:pPr>
      <w:r>
        <w:t>TÀI LIỆU THAM KHẢO / REFERENCES</w:t>
      </w:r>
    </w:p>
    <w:p>
      <w:r>
        <w:rPr>
          <w:sz w:val="24"/>
        </w:rPr>
        <w:t>1. Polanczyk G V., Salum GA, Sugaya LS, Caye A, Rohde LA. Annual research review: A meta-analysis of the worldwide prevalence of mental disorders in children and adolescents. J Child Psychol Psychiatry Allied Discip. 2015; 56: 345–365.</w:t>
      </w:r>
    </w:p>
    <w:p>
      <w:r>
        <w:rPr>
          <w:sz w:val="24"/>
        </w:rPr>
        <w:t>2. Chhetri B, Goyal LM, Mittal M, Gurung S. Consumption of licit and illicit substances leading to mental illness: a prevalence study. EAI Persaive Health Tech 2020; 6(21): 1e5.</w:t>
      </w:r>
    </w:p>
    <w:p>
      <w:r>
        <w:rPr>
          <w:sz w:val="24"/>
        </w:rPr>
        <w:t>3. American Psychological Association (APA): Anxiety. Available at: https://www.apa.org/topics/anxiety/index.aspx. Accessed on 9th October 2019.</w:t>
      </w:r>
    </w:p>
    <w:p>
      <w:r>
        <w:rPr>
          <w:sz w:val="24"/>
        </w:rPr>
        <w:t>4. Pine S Daniel, Knappe Susanne, Beesdo Katja. Anxiety and Anxiety Disorders in children and Adolescents Developmental issues and implications for DSM V. Psychiatr Clin North Am.2009; 32(3): 483-524.</w:t>
      </w:r>
    </w:p>
    <w:p>
      <w:r>
        <w:rPr>
          <w:sz w:val="24"/>
        </w:rPr>
        <w:t>5. Rockhill C, Kodish I, DiBattisto C, Macias M, Varley C, Ryan S. Anxiety disorders in children and adolescents. Curr Probl Pediatr Adolesc Health Care. 2010;40:66–99.</w:t>
      </w:r>
    </w:p>
    <w:p>
      <w:r>
        <w:rPr>
          <w:sz w:val="24"/>
        </w:rPr>
        <w:t>6. Membride H. Mental health: early intervention and prevention in children and young people. Br J Nurs. 2016;25(10):552–7.</w:t>
      </w:r>
    </w:p>
    <w:p>
      <w:r>
        <w:rPr>
          <w:sz w:val="24"/>
        </w:rPr>
        <w:t>7. Hossain S, Anjum A, Uddin ME, Rahman MA, Hossain MF. Impacts of socio-cultural environment and lifestyle factors on the psychological health of university students in Bangladesh: A longitudinal study. J Affect Disord. 2019; 256:393–403.</w:t>
      </w:r>
    </w:p>
    <w:p>
      <w:r>
        <w:rPr>
          <w:sz w:val="24"/>
        </w:rPr>
        <w:t xml:space="preserve">8. Spitzer RL, Kroenke K, Williams JBW, Lo¨we B. A brief measure for assessing generalized anxiety disorder: The </w:t>
      </w:r>
      <w:r>
        <w:rPr>
          <w:sz w:val="24"/>
        </w:rPr>
        <w:t>GAD-7</w:t>
      </w:r>
      <w:r>
        <w:rPr>
          <w:sz w:val="24"/>
        </w:rPr>
        <w:t>. Archives of Internal Medicine. 2006; 166(10):1092–7.</w:t>
      </w:r>
    </w:p>
    <w:p>
      <w:r>
        <w:rPr>
          <w:sz w:val="24"/>
        </w:rPr>
        <w:t>9. Kumar KS, Akoijam BS. Depression, anxiety and stress among higher secondary school students of Imphal, Manipur. Indian J Community Med 2017;42:94-6.</w:t>
      </w:r>
    </w:p>
    <w:p>
      <w:r>
        <w:rPr>
          <w:sz w:val="24"/>
        </w:rPr>
        <w:t>10. Nail JE, Christofferson J, Ginsburg GS, Drake K, Kendall PC, McCracken JT, *et al.* Academic impairment and impact of treatments among youth with anxiety disorders. Child Youth Care Forum. 2015;44(3):327–42.</w:t>
      </w:r>
    </w:p>
    <w:p>
      <w:r>
        <w:rPr>
          <w:sz w:val="24"/>
        </w:rPr>
        <w:t>11. Rasquinha DM. Assesment and management of anxiety among adolescents through relaxation and counseling. Indian J Psychol Sci 2012;3:130-42.</w:t>
      </w:r>
    </w:p>
    <w:p>
      <w:r>
        <w:rPr>
          <w:sz w:val="24"/>
        </w:rPr>
        <w:t>12. The burden of mental disorders across the states of India: the Global Burden of Disease Study 1990–2017 India State-Level Disease Burden Initiative Mental Disorders Collaborators, Lancet Psychiatry, 7 (2), P148-161, FEBRUARY 01, 2020</w:t>
      </w:r>
    </w:p>
    <w:p>
      <w:r>
        <w:rPr>
          <w:sz w:val="24"/>
        </w:rPr>
        <w:t>13. Bindu K Nair, Prevalence of Stress, Anxiety and Its Correlates among Adolescents. International Journal of Health Sciences and Research. June 2016, 40 (2), Page no: 117-132.</w:t>
      </w:r>
    </w:p>
    <w:p>
      <w:r>
        <w:rPr>
          <w:sz w:val="24"/>
        </w:rPr>
        <w:t>14. Kumar A, Yadav G, Chauhan N, Bodat S. Prevalence of depression, anxiety and stress among school going adolescents in Delhi: a cross sectional study. Int J Community Med Public Health 2019;6:5021-6.</w:t>
      </w:r>
    </w:p>
    <w:p>
      <w:r>
        <w:rPr>
          <w:sz w:val="24"/>
        </w:rPr>
        <w:t>15. U Harikrishnan, A Ali, H Sobhana (2016), Prevalence of Social Phobia among School Going Adolescents. International Journal of Indian Psychology, Volume 3, Issue 4, No. 74.</w:t>
      </w:r>
    </w:p>
    <w:p>
      <w:r>
        <w:rPr>
          <w:sz w:val="24"/>
        </w:rPr>
        <w:t>16. Nag K, Ghosh B, Datta A, Karmakar N, Bhattacharjee P. A cross-sectional study on the prevalence of anxiety among school students in Teliamura municipality area of Tripura. Indian J Psychiatry 2019;61:491-5.</w:t>
      </w:r>
    </w:p>
    <w:p>
      <w:r>
        <w:rPr>
          <w:sz w:val="24"/>
        </w:rPr>
        <w:t>17. Soltanian AR, Nabipour I, Akhondzadeh S, *et al.* Association between physical activity and mental health among high-school adolescents in boushehr province: a population based study. Iran J Psychiatry 2011;6:112–6.</w:t>
      </w:r>
    </w:p>
    <w:p>
      <w:r>
        <w:rPr>
          <w:sz w:val="24"/>
        </w:rPr>
        <w:t>18. Das JK, Salam RA, Lassi ZS*et al.* Interventions for Adolescent Mental Health: An Overview of Systematic Reviews. The Journal of adolescent health 2016: 59 (4S). S49-S60.</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GAD-7</w:t>
            </w:r>
          </w:p>
        </w:tc>
        <w:tc>
          <w:tcPr>
            <w:tcW w:type="dxa" w:w="7370"/>
          </w:tcPr>
          <w:p>
            <w:r/>
            <w:r>
              <w:rPr>
                <w:sz w:val="18"/>
              </w:rPr>
              <w:t>Generalized Anxiety Disorder 7-item scale (Thang do Roi loan Lo au Tong quat 7 muc)</w:t>
            </w:r>
          </w:p>
        </w:tc>
      </w:tr>
      <w:tr>
        <w:tc>
          <w:tcPr>
            <w:tcW w:type="dxa" w:w="1701"/>
          </w:tcPr>
          <w:p>
            <w:r/>
            <w:r>
              <w:rPr>
                <w:b/>
                <w:sz w:val="18"/>
              </w:rPr>
              <w:t>SPSS</w:t>
            </w:r>
          </w:p>
        </w:tc>
        <w:tc>
          <w:tcPr>
            <w:tcW w:type="dxa" w:w="7370"/>
          </w:tcPr>
          <w:p>
            <w:r/>
            <w:r>
              <w:rPr>
                <w:sz w:val="18"/>
              </w:rPr>
              <w:t>Statistical Package for Social Sciences</w:t>
            </w:r>
          </w:p>
        </w:tc>
      </w:tr>
      <w:tr>
        <w:tc>
          <w:tcPr>
            <w:tcW w:type="dxa" w:w="1701"/>
          </w:tcPr>
          <w:p>
            <w:r/>
            <w:r>
              <w:rPr>
                <w:b/>
                <w:sz w:val="18"/>
              </w:rPr>
              <w:t>PTSD</w:t>
            </w:r>
          </w:p>
        </w:tc>
        <w:tc>
          <w:tcPr>
            <w:tcW w:type="dxa" w:w="7370"/>
          </w:tcPr>
          <w:p>
            <w:r/>
            <w:r>
              <w:rPr>
                <w:sz w:val="18"/>
              </w:rPr>
              <w:t>Post-Traumatic Stress Disorder (Roi loan cang thang sau chan thuong)</w:t>
            </w:r>
          </w:p>
        </w:tc>
      </w:tr>
    </w:tbl>
    <w:p/>
    <w:p>
      <w:pPr>
        <w:pStyle w:val="Heading2"/>
      </w:pPr>
      <w:r>
        <w:rPr>
          <w:color w:val="CC0000"/>
        </w:rPr>
        <w:t>QUAN ĐIỂM PHẢN BIỆN / CRITICAL REVIEW</w:t>
      </w:r>
    </w:p>
    <w:p>
      <w:r>
        <w:rPr>
          <w:b/>
          <w:color w:val="CC0000"/>
          <w:sz w:val="24"/>
        </w:rPr>
        <w:t>[Phản biện 1]:</w:t>
      </w:r>
      <w:r>
        <w:rPr>
          <w:color w:val="CC0000"/>
          <w:sz w:val="24"/>
        </w:rPr>
        <w:t xml:space="preserve"> Bài báo thiếu nghiêm trọng các thông tin phương pháp luận cơ bản: cỡ mẫu chính xác không được nêu rõ, tiêu chí chọn mẫu mơ hồ, và công cụ đánh giá lo âu chỉ được mô tả là "bảng câu hỏi đánh giá lo âu tiêu chuẩn hóa" mà không xác định tên cụ thể (</w:t>
      </w:r>
      <w:r>
        <w:rPr>
          <w:color w:val="CC0000"/>
          <w:sz w:val="24"/>
        </w:rPr>
        <w:t>GAD-7</w:t>
      </w:r>
      <w:r>
        <w:rPr>
          <w:color w:val="CC0000"/>
          <w:sz w:val="24"/>
        </w:rPr>
        <w:t xml:space="preserve">? </w:t>
      </w:r>
      <w:r>
        <w:rPr>
          <w:b/>
          <w:color w:val="CC0000"/>
          <w:sz w:val="24"/>
        </w:rPr>
        <w:t>DASS-21</w:t>
      </w:r>
      <w:r>
        <w:rPr>
          <w:color w:val="CC0000"/>
          <w:sz w:val="24"/>
        </w:rPr>
        <w:t xml:space="preserve">? SCARED?). Điều này vi phạm nguyên tắc tái lập nghiên cứu (replicability) và khiến việc đánh giá tính giá trị của kết quả trở nên bất khả thi. Chen et al. (2023) và Alharbi et al. (2019) đều nêu rõ công cụ </w:t>
      </w:r>
      <w:r>
        <w:rPr>
          <w:b/>
          <w:color w:val="CC0000"/>
          <w:sz w:val="24"/>
        </w:rPr>
        <w:t>PHQ-9</w:t>
      </w:r>
      <w:r>
        <w:rPr>
          <w:color w:val="CC0000"/>
          <w:sz w:val="24"/>
        </w:rPr>
        <w:t>/</w:t>
      </w:r>
      <w:r>
        <w:rPr>
          <w:color w:val="CC0000"/>
          <w:sz w:val="24"/>
        </w:rPr>
        <w:t>GAD-7</w:t>
      </w:r>
      <w:r>
        <w:rPr>
          <w:color w:val="CC0000"/>
          <w:sz w:val="24"/>
        </w:rPr>
        <w:t>. Thiếu minh bạch công cụ khiến không thể so sánh kết quả với bất kỳ nghiên cứu nào khác.</w:t>
      </w:r>
    </w:p>
    <w:p>
      <w:r>
        <w:rPr>
          <w:b/>
          <w:color w:val="CC0000"/>
          <w:sz w:val="24"/>
        </w:rPr>
        <w:t>[Phản biện 2]:</w:t>
      </w:r>
      <w:r>
        <w:rPr>
          <w:color w:val="CC0000"/>
          <w:sz w:val="24"/>
        </w:rPr>
        <w:t xml:space="preserve"> Kết quả cho thấy gần 100% học sinh có một mức độ lo âu nào đó (49,4% nhẹ + 43,3% trung bình + 7,3% nặng = 100%), đặt ra câu hỏi nghiêm túc về điểm cắt (cut-off) của công cụ sử dụng. Nếu gần như toàn bộ mẫu được phân loại là có lo âu, công cụ có thể thiếu tính phân biệt (discriminant validity), hoặc điểm cắt quá thấp, dẫn đến tỷ lệ dương tính giả rất cao. Điều này trái ngược rõ rệt với các nghiên cứu sử dụng công cụ đã xác thực như Chen et al. (2023) báo cáo tỷ lệ lo âu chỉ 13,9%. Tỷ lệ 100% khiến kết quả mất ý nghĩa phân biệt giữa nhóm bệnh và nhóm khỏe. NSCH (2020) với phương pháp chẩn đoán lâm sàng chỉ ghi nhận 16,1% lo âu ở thanh thiếu niên Mỹ.</w:t>
      </w:r>
    </w:p>
    <w:p>
      <w:r>
        <w:rPr>
          <w:b/>
          <w:color w:val="CC0000"/>
          <w:sz w:val="24"/>
        </w:rPr>
        <w:t>[Phản biện 3]:</w:t>
      </w:r>
      <w:r>
        <w:rPr>
          <w:color w:val="CC0000"/>
          <w:sz w:val="24"/>
        </w:rPr>
        <w:t xml:space="preserve"> Bài báo được xuất bản trong tạp chí MedPulse International Journal of Psychology, một tạp chí không có chỉ số tác động (impact factor) và không được lập chỉ mục trong các cơ sở dữ liệu lớn (PubMed, Scopus, Web of Science). Quy trình phản biện ngang hàng (peer review) của tạp chí này không rõ ràng, làm giảm độ tin cậy học thuật của kết quả. Bhardwaj et al. (2020) cũng xuất bản ở tạp chí cấp chi nhánh địa phương với vấn đề tương tự. Các bài trong tạp chí có impact factor cao hơn như Chen et al. (2023) có phương pháp chặt chẽ hơn rõ rệt.</w:t>
      </w:r>
    </w:p>
    <w:p>
      <w:r>
        <w:rPr>
          <w:b/>
          <w:color w:val="CC0000"/>
          <w:sz w:val="24"/>
        </w:rPr>
        <w:t>[Phản biện 4]:</w:t>
      </w:r>
      <w:r>
        <w:rPr>
          <w:color w:val="CC0000"/>
          <w:sz w:val="24"/>
        </w:rPr>
        <w:t xml:space="preserve"> Thiết kế cắt ngang kết hợp với việc không kiểm soát bất kỳ yếu tố gây nhiễu nào (tầng lớp kinh tế xã hội, cấu trúc gia đình, tiền sử bệnh) khiến các mối liên quan được báo cáo (hoạt động thể chất, giấc ngủ, hút thuốc với lo âu) có thể bị nhiễu bởi các biến thứ ba không được đo lường. Nakie et al. (2022) dùng hồi quy đa biến </w:t>
      </w:r>
      <w:r>
        <w:rPr>
          <w:b/>
          <w:color w:val="CC0000"/>
          <w:sz w:val="24"/>
        </w:rPr>
        <w:t>AOR</w:t>
      </w:r>
      <w:r>
        <w:rPr>
          <w:color w:val="CC0000"/>
          <w:sz w:val="24"/>
        </w:rPr>
        <w:t xml:space="preserve"> để tách biệt từng yếu tố — đây là chuẩn tối thiểu. Chen et al. (2023) cũng phân tích phân tầng theo THCS và THPT để kiểm soát tuổi.</w:t>
      </w:r>
    </w:p>
    <w:p>
      <w:r>
        <w:rPr>
          <w:b/>
          <w:color w:val="CC0000"/>
          <w:sz w:val="24"/>
        </w:rPr>
        <w:t>[Phản biện 5]:</w:t>
      </w:r>
      <w:r>
        <w:rPr>
          <w:color w:val="CC0000"/>
          <w:sz w:val="24"/>
        </w:rPr>
        <w:t xml:space="preserve"> Không có thông tin về chấp thuận đạo đức (ethical approval), quy trình đồng ý có hiểu biết (informed consent) của phụ huynh hoặc học sinh, hay bất kỳ biện pháp bảo vệ đối tượng nghiên cứu nào. Đây là thiếu sót quan trọng đối với nghiên cứu liên quan đến trẻ vị thành niên. Tất cả các bài còn lại trong tập hợp 11 bài đều có chấp thuận đạo đức. Nghiên cứu trên trẻ vị thành niên bắt buộc phải có sự đồng ý của phụ huynh theo quy chuẩn quốc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