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 xml:space="preserve">Link bai bao goc: </w:t>
      </w:r>
      <w:r>
        <w:rPr>
          <w:color w:val="0000CC"/>
          <w:sz w:val="20"/>
          <w:u w:val="single"/>
        </w:rPr>
        <w:t>https://doi.org/10.1186/s12888-023-05068-1</w:t>
      </w:r>
    </w:p>
    <w:p>
      <w:r>
        <w:rPr>
          <w:i/>
          <w:color w:val="666666"/>
          <w:sz w:val="18"/>
        </w:rPr>
        <w:t>* Day la tap chi truc tuyen (online/open access). Bai bao duoc xuat ban dang dien tu, khong co so trang tap chi truyen thong. So trang trong ban dich nay la so thu tu trang cua bai bao (Page X of Y).</w:t>
      </w:r>
    </w:p>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07_qr.png"/>
                    <pic:cNvPicPr/>
                  </pic:nvPicPr>
                  <pic:blipFill>
                    <a:blip r:embed="rId9"/>
                    <a:stretch>
                      <a:fillRect/>
                    </a:stretch>
                  </pic:blipFill>
                  <pic:spPr>
                    <a:xfrm>
                      <a:off x="0" y="0"/>
                      <a:ext cx="1097280" cy="1097280"/>
                    </a:xfrm>
                    <a:prstGeom prst="rect"/>
                  </pic:spPr>
                </pic:pic>
              </a:graphicData>
            </a:graphic>
          </wp:inline>
        </w:drawing>
      </w:r>
    </w:p>
    <w:p>
      <w:r>
        <w:rPr>
          <w:i/>
          <w:sz w:val="16"/>
        </w:rPr>
        <w:t>Quet QR de truy cap bai bao goc</w:t>
      </w:r>
    </w:p>
    <w:p/>
    <w:p>
      <w:pPr>
        <w:pStyle w:val="Heading1"/>
      </w:pPr>
      <w:r>
        <w:t>BÀI BÁO 7: Tỷ lệ và các yếu tố liên quan của triệu chứng trầm cảm và lo âu ở học sinh trung học Trung Quốc</w:t>
      </w:r>
    </w:p>
    <w:p>
      <w:pPr>
        <w:pStyle w:val="Heading2"/>
      </w:pPr>
      <w:r>
        <w:t>THÔNG TIN THƯ MỤC / BIBLIOGRAPHIC INFORMATION</w:t>
      </w:r>
    </w:p>
    <w:p>
      <w:pPr>
        <w:pStyle w:val="ListBullet"/>
      </w:pPr>
      <w:r>
        <w:rPr>
          <w:b/>
          <w:sz w:val="22"/>
        </w:rPr>
        <w:t>Tiêu đề gốc (English):</w:t>
      </w:r>
      <w:r>
        <w:rPr>
          <w:sz w:val="22"/>
        </w:rPr>
        <w:t xml:space="preserve"> Prevalence and associated factors of depressive and anxiety symptoms among Chinese secondary school students</w:t>
      </w:r>
    </w:p>
    <w:p>
      <w:pPr>
        <w:pStyle w:val="ListBullet"/>
      </w:pPr>
      <w:r>
        <w:rPr>
          <w:b/>
          <w:sz w:val="22"/>
        </w:rPr>
        <w:t>Tiêu đề dịch (Vietnamese):</w:t>
      </w:r>
      <w:r>
        <w:rPr>
          <w:sz w:val="22"/>
        </w:rPr>
        <w:t xml:space="preserve"> Tỷ lệ và các yếu tố liên quan của triệu chứng trầm cảm và lo âu ở học sinh trung học Trung Quốc</w:t>
      </w:r>
    </w:p>
    <w:p>
      <w:pPr>
        <w:pStyle w:val="ListBullet"/>
      </w:pPr>
      <w:r>
        <w:rPr>
          <w:b/>
          <w:sz w:val="22"/>
        </w:rPr>
        <w:t>Tác giả:</w:t>
      </w:r>
      <w:r>
        <w:rPr>
          <w:sz w:val="22"/>
        </w:rPr>
        <w:t xml:space="preserve"> Zhangming Chen, Silan Ren, Ruini He, Yudiao Liang, Youguo Tan, Yi Liu, Fanglan Wang, Xu Shao, Shanshan Chen, Yanhui Liao, Ying He, Jin-Guang Li, Xiaogang Chen, Jinsong Tang</w:t>
      </w:r>
    </w:p>
    <w:p>
      <w:pPr>
        <w:pStyle w:val="ListBullet"/>
      </w:pPr>
      <w:r>
        <w:rPr>
          <w:b/>
          <w:sz w:val="22"/>
        </w:rPr>
        <w:t>Cơ quan:</w:t>
      </w:r>
      <w:r>
        <w:rPr>
          <w:sz w:val="22"/>
        </w:rPr>
        <w:t xml:space="preserve"> Khoa Tâm thần, Bệnh viện Tương Nhã 2, Đại học Trung Nam, Trung Quốc; Bệnh viện Sir Run Run Shaw, Đại học Chiết Giang; Trung tâm Sức khỏe Tâm thần Tự Cống</w:t>
      </w:r>
    </w:p>
    <w:p>
      <w:pPr>
        <w:pStyle w:val="ListBullet"/>
      </w:pPr>
      <w:r>
        <w:rPr>
          <w:b/>
          <w:sz w:val="22"/>
        </w:rPr>
        <w:t>Tạp chí:</w:t>
      </w:r>
      <w:r>
        <w:rPr>
          <w:sz w:val="22"/>
        </w:rPr>
        <w:t xml:space="preserve"> BMC Psychiatry, 2023, 23:580</w:t>
      </w:r>
    </w:p>
    <w:p>
      <w:pPr>
        <w:pStyle w:val="ListBullet"/>
      </w:pPr>
      <w:r>
        <w:rPr>
          <w:b/>
          <w:sz w:val="22"/>
        </w:rPr>
        <w:t>DOI:</w:t>
      </w:r>
      <w:r>
        <w:rPr>
          <w:sz w:val="22"/>
        </w:rPr>
        <w:t xml:space="preserve"> 10.1186/s12888-023-05068-1</w:t>
      </w:r>
    </w:p>
    <w:p>
      <w:pPr>
        <w:pStyle w:val="ListBullet"/>
      </w:pPr>
      <w:r>
        <w:rPr>
          <w:b/>
          <w:sz w:val="22"/>
        </w:rPr>
        <w:t>PMID:</w:t>
      </w:r>
      <w:r>
        <w:rPr>
          <w:sz w:val="22"/>
        </w:rPr>
        <w:t xml:space="preserve"> 37563573 | </w:t>
      </w:r>
      <w:r>
        <w:rPr>
          <w:b/>
          <w:sz w:val="22"/>
        </w:rPr>
        <w:t>PMCID:</w:t>
      </w:r>
      <w:r>
        <w:rPr>
          <w:sz w:val="22"/>
        </w:rPr>
        <w:t xml:space="preserve"> PMC10413612</w:t>
      </w:r>
    </w:p>
    <w:p>
      <w:r>
        <w:rPr>
          <w:b/>
          <w:color w:val="FF6600"/>
          <w:sz w:val="20"/>
        </w:rPr>
        <w:t>--- Trang 1/9, BMC Psychiatry, 23:580, tháng 8/2023 ---</w:t>
      </w:r>
    </w:p>
    <w:p>
      <w:pPr>
        <w:pStyle w:val="Heading2"/>
      </w:pPr>
      <w:r>
        <w:t>TÓM TẮT</w:t>
      </w:r>
    </w:p>
    <w:p>
      <w:r>
        <w:rPr>
          <w:b/>
          <w:sz w:val="24"/>
        </w:rPr>
        <w:t>Bối cảnh:</w:t>
      </w:r>
      <w:r>
        <w:rPr>
          <w:sz w:val="24"/>
        </w:rPr>
        <w:t xml:space="preserve"> Triệu chứng trầm cảm và lo âu ảnh hưởng đến khoảng một phần tư học sinh trung học Trung Quốc. Tuy nhiên, tỷ lệ hiện mắc và các yếu tố tương quan của căng thẳng tâm thần ở học sinh trung học miền Tây Trung Quốc vẫn phần lớn chưa được khám phá. Nghiên cứu này nhằm khảo sát tỷ lệ hiện mắc và mối liên quan của triệu chứng trầm cảm và lo âu với các yếu tố nhân khẩu học, gia đình, trường học, cuộc sống và hành vi trong một mẫu lớn, đại diện gồm học sinh trung học tại Tự Cống, một thành phố ở miền Tây Trung Quốc.</w:t>
      </w:r>
    </w:p>
    <w:p>
      <w:r>
        <w:rPr>
          <w:b/>
          <w:sz w:val="24"/>
        </w:rPr>
        <w:t>Phương pháp:</w:t>
      </w:r>
      <w:r>
        <w:rPr>
          <w:sz w:val="24"/>
        </w:rPr>
        <w:t xml:space="preserve"> Học sinh trung học được tuyển chọn bằng phương pháp lấy mẫu cụm. Bảng câu hỏi Sức khỏe Bệnh nhân 9 mục (</w:t>
      </w:r>
      <w:r>
        <w:rPr>
          <w:b/>
          <w:color w:val="CC0000"/>
          <w:sz w:val="24"/>
        </w:rPr>
        <w:t>PHQ-9</w:t>
      </w:r>
      <w:r>
        <w:rPr>
          <w:sz w:val="24"/>
        </w:rPr>
        <w:t>), Bảng câu hỏi Rối loạn Lo âu Tổng quát 7 mục (</w:t>
      </w:r>
      <w:r>
        <w:rPr>
          <w:b/>
          <w:color w:val="CC0000"/>
          <w:sz w:val="24"/>
        </w:rPr>
        <w:t>GAD-7</w:t>
      </w:r>
      <w:r>
        <w:rPr>
          <w:sz w:val="24"/>
        </w:rPr>
        <w:t>), Thang đo Đa chiều về Nạn nhân Bắt nạt Đồng trang lứa, Chỉ số Chất lượng Giấc ngủ Pittsburgh, và Thang đo Rối loạn Chơi Game Trực tuyến 9 mục-Rút gọn đã được sử dụng. Thống kê mô tả được sử dụng để mô tả các đặc điểm nhân khẩu-xã hội của người tham gia. Hiệu ứng cụm được điều chỉnh bằng gói "survey" của R để tính tỷ lệ có trọng số. Hồi quy logistic đơn biến và đa biến được sử dụng để khám phá các yếu tố liên quan của trầm cảm và lo âu.</w:t>
      </w:r>
    </w:p>
    <w:p>
      <w:r>
        <w:rPr>
          <w:b/>
          <w:sz w:val="24"/>
        </w:rPr>
        <w:t>Kết quả:</w:t>
      </w:r>
      <w:r>
        <w:rPr>
          <w:sz w:val="24"/>
        </w:rPr>
        <w:t xml:space="preserve"> Tổng cộng 63.205 người tham gia được đưa vào phân tích, trong đó tỷ lệ trầm cảm có trọng số ở tất cả đối tượng là 23,0% (KTC 95%: 19,6-27,0%), và tỷ lệ lo âu có trọng số là 13,9% (KTC 95%: 11,2-17,0%). Kết quả hồi quy logistic cho thấy giới tính nữ, là con một, gia đình không hạt nhân, bắt nạt đồng trang lứa, rối loạn giấc ngủ, và triệu chứng rối loạn chơi game trực tuyến có mối liên quan thuận với triệu chứng trầm cảm và lo âu.</w:t>
      </w:r>
    </w:p>
    <w:p>
      <w:r>
        <w:rPr>
          <w:b/>
          <w:sz w:val="24"/>
        </w:rPr>
        <w:t>Kết luận:</w:t>
      </w:r>
      <w:r>
        <w:rPr>
          <w:sz w:val="24"/>
        </w:rPr>
        <w:t xml:space="preserve"> Triệu chứng trầm cảm và lo âu phổ biến ở học sinh trung học miền Tây Trung Quốc. Kết quả của chúng tôi có thể hướng dẫn các chiến lược chính sách cho việc đánh giá, phòng ngừa và can thiệp tình trạng tâm lý ở học sinh trung học Trung Quốc.</w:t>
      </w:r>
    </w:p>
    <w:p>
      <w:r>
        <w:rPr>
          <w:b/>
          <w:sz w:val="24"/>
        </w:rPr>
        <w:t>Từ khóa:</w:t>
      </w:r>
      <w:r>
        <w:rPr>
          <w:sz w:val="24"/>
        </w:rPr>
        <w:t xml:space="preserve"> Thanh thiếu niên, Sức khỏe tâm thần, Bắt nạt đồng trang lứa, Rối loạn chơi game trực tuyến</w:t>
      </w:r>
    </w:p>
    <w:p>
      <w:r>
        <w:rPr>
          <w:b/>
          <w:color w:val="FF6600"/>
          <w:sz w:val="20"/>
        </w:rPr>
        <w:t>--- Trang 2/9, BMC Psychiatry, 23:580, tháng 8/2023 ---</w:t>
      </w:r>
    </w:p>
    <w:p>
      <w:pPr>
        <w:pStyle w:val="Heading2"/>
      </w:pPr>
      <w:r>
        <w:t>BỐI CẢNH</w:t>
      </w:r>
    </w:p>
    <w:p>
      <w:r>
        <w:rPr>
          <w:sz w:val="24"/>
        </w:rPr>
        <w:t>Theo báo cáo của Tổ chức Y tế Thế giới, cứ bảy thanh thiếu niên trong độ tuổi 10-19 thì có một em trải qua rối loạn tâm thần, và trầm cảm cùng lo âu là nguyên nhân hàng đầu gây bệnh tật và khuyết tật ở nhóm tuổi này. Trong giai đoạn vị thành niên, mọi nhu cầu về thể chất, tinh thần và giao tiếp đều gia tăng. Khi thanh thiếu niên không đáp ứng được một yêu cầu cụ thể, lo lắng và bất an nảy sinh, dẫn đến các rối loạn tâm thần như trầm cảm và lo âu. Ví dụ, trầm cảm tăng từ 2% ở đầu tuổi dậy thì lên khoảng 18% ở cuối tuổi dậy thì. Dựa trên một phân tích tổng hợp mẫu thanh thiếu niên Trung Quốc, tỷ lệ trầm cảm là 24,3%, và tỷ lệ lo âu là 24,0%. Để đáp lại những mối lo ngại này, chính phủ Trung Quốc đã đưa ra kế hoạch Hành động Trung Quốc Khỏe mạnh (2019-30), nhằm nâng cao sức khỏe tâm thần của thanh thiếu niên Trung Quốc. Kế hoạch này nhấn mạnh việc thiết lập một mạng lưới dịch vụ sức khỏe tâm thần toàn diện bao gồm trường học, cộng đồng, gia đình, truyền thông và các cơ sở y tế. Cụ thể, các trường học được yêu cầu phát triển các nền tảng dịch vụ tâm lý hoặc dựa vào bác sĩ trường học để cung cấp hỗ trợ sức khỏe tâm thần cho học sinh gặp khó khăn.</w:t>
      </w:r>
    </w:p>
    <w:p>
      <w:r>
        <w:rPr>
          <w:sz w:val="24"/>
        </w:rPr>
        <w:t>Việc khảo sát các yếu tố nguy cơ đối với triệu chứng trầm cảm và lo âu ở thanh thiếu niên có tầm quan trọng đáng kể, vì nó giúp phụ huynh, trường học và các nhà hoạch định chính sách xác định các cá nhân có nguy cơ và cung cấp can thiệp kịp thời. Một loạt các yếu tố nhân khẩu học, gia đình, trường học, cuộc sống và hành vi đã được phát hiện có liên quan đến căng thẳng tâm thần ở thanh thiếu niên. Ví dụ, giới tính nữ là một yếu tố dự báo ổn định cho trầm cảm và lo âu. Lớp học cao hơn có thể dẫn đến tỷ lệ trầm cảm và lo âu cao hơn. Mặc dù nơi cư trú thành thị là một yếu tố ảnh hưởng đến lo âu, tác động của nó vẫn còn gây tranh cãi, và các phát hiện về trầm cảm cũng tương tự. Về các yếu tố gia đình, không phải con một và gia đình không nguyên vẹn dự báo xác suất cao hơn của trầm cảm dai dẳng. Trẻ em từ gia đình đơn thân dễ mắc trầm cảm và lo âu hơn. Trẻ bị bỏ lại (left-behind children) trải qua nhiều trầm cảm và lo âu hơn so với trẻ không bị bỏ lại. Các nghiên cứu cho thấy bắt nạt và lạm dụng thể chất có liên quan đến triệu chứng trầm cảm và lo âu ở thanh thiếu niên. Về các yếu tố cuộc sống, cấu trúc giấc ngủ trải qua sự thay đổi mạnh mẽ trong giai đoạn vị thành niên, và thanh thiếu niên dễ gặp vấn đề giấc ngủ do nhịp sinh học bị trì hoãn về mặt sinh học. Rối loạn giấc ngủ ở thanh thiếu niên thường được phát hiện có liên quan đến trầm cảm hoặc lo âu. Về các yếu tố hành vi, với sự phổ biến của thiết bị kỹ thuật số, học sinh ngày nay dễ dàng truy cập internet, và chơi game trực tuyến có thể trở nên gây nghiện đối với thanh thiếu niên. Các nghiên cứu cho thấy thanh thiếu niên có rối loạn chơi game trực tuyến (</w:t>
      </w:r>
      <w:r>
        <w:rPr>
          <w:b/>
          <w:color w:val="CC0000"/>
          <w:sz w:val="24"/>
        </w:rPr>
        <w:t>IGD</w:t>
      </w:r>
      <w:r>
        <w:rPr>
          <w:sz w:val="24"/>
        </w:rPr>
        <w:t>) có nhiều triệu chứng trầm cảm và lo âu nghiêm trọng hơn.</w:t>
      </w:r>
    </w:p>
    <w:p>
      <w:r>
        <w:rPr>
          <w:sz w:val="24"/>
        </w:rPr>
        <w:t xml:space="preserve">Mặc dù đã có nhiều nghiên cứu, vẫn tồn tại một số khoảng trống kiến thức. Thứ nhất, các nghiên cứu trước đây đã chỉ ra sự chênh lệch đáng kể giữa các vùng miền về tỷ lệ căng thẳng tâm thần ở thanh thiếu niên Trung Quốc, được cho là do điều kiện kinh tế và sinh hoạt, trong đó miền Tây Trung Quốc ghi nhận tỷ lệ cao hơn. Tuy nhiên, nghiên cứu tập trung vào tỷ lệ và các yếu tố liên quan đến triệu chứng trầm cảm và lo âu ở thanh thiếu niên miền Tây Trung Quốc còn rất ít; chỉ có 9 trong số 51 công bố trong một phân tích tổng hợp về trầm cảm thanh thiếu niên Trung Quốc liên quan đến miền Tây Trung Quốc. Thứ hai, các phát hiện về mối liên quan giữa căng thẳng tâm thần với các yếu tố nhân khẩu học như giới tính (nam so với nữ) và giai đoạn học tập (trung học cơ sở so với trung học phổ thông) vẫn chưa nhất quán. Thứ ba, các nghiên cứu trước đây thường sử dụng các công cụ đo lường hẹp, không nắm bắt toàn diện tác động của các yếu tố trường học, cuộc sống và hành vi đối với căng thẳng tâm thần. Ví dụ, bắt nạt đồng trang lứa, dù bằng lời nói hay thể chất, tồn tại dưới nhiều hình thức nhưng chưa được phân biệt trong các nghiên cứu trước đây. Các câu hỏi đơn giản được hỏi về số giờ ngủ hoặc giờ chơi game trực tuyến. Các chiều cạnh của giấc ngủ và mức độ </w:t>
      </w:r>
      <w:r>
        <w:rPr>
          <w:sz w:val="24"/>
        </w:rPr>
        <w:t>IGD</w:t>
      </w:r>
      <w:r>
        <w:rPr>
          <w:sz w:val="24"/>
        </w:rPr>
        <w:t xml:space="preserve"> còn thiếu trong nghiên cứu. Tổng hợp lại, một nghiên cứu quy mô lớn hơn về tỷ lệ hiện mắc và các yếu tố liên quan của triệu chứng trầm cảm và lo âu ở thanh thiếu niên miền Tây Trung Quốc vẫn còn cần thiết.</w:t>
      </w:r>
    </w:p>
    <w:p>
      <w:r>
        <w:rPr>
          <w:sz w:val="24"/>
        </w:rPr>
        <w:t xml:space="preserve">Nghiên cứu hiện tại nhằm mục đích: (1) đánh giá tỷ lệ hiện mắc của triệu chứng trầm cảm và lo âu trong một mẫu lớn, đại diện gồm học sinh trung học tại Tự Cống, một thành phố ở miền Tây Trung Quốc; và (2) đánh giá toàn diện mối liên quan của triệu chứng trầm cảm và lo âu với các yếu tố nhân khẩu học (giới tính, tuổi, giai đoạn học tập, nơi cư trú), gia đình (con một, trẻ bị bỏ lại, loại hình gia đình), bắt nạt học đường, rối loạn giấc ngủ, và triệu chứng </w:t>
      </w:r>
      <w:r>
        <w:rPr>
          <w:sz w:val="24"/>
        </w:rPr>
        <w:t>IGD</w:t>
      </w:r>
      <w:r>
        <w:rPr>
          <w:sz w:val="24"/>
        </w:rPr>
        <w:t>.</w:t>
      </w:r>
    </w:p>
    <w:p>
      <w:pPr>
        <w:pStyle w:val="Heading2"/>
      </w:pPr>
      <w:r>
        <w:t>PHƯƠNG PHÁP</w:t>
      </w:r>
    </w:p>
    <w:p>
      <w:pPr>
        <w:pStyle w:val="Heading3"/>
      </w:pPr>
      <w:r>
        <w:t>Thiết kế nghiên cứu và người tham gia</w:t>
      </w:r>
    </w:p>
    <w:p>
      <w:r>
        <w:rPr>
          <w:sz w:val="24"/>
        </w:rPr>
        <w:t xml:space="preserve">Một cuộc khảo sát cắt ngang dựa trên trường học được thực hiện từ tháng 9 đến tháng 12 năm 2020 tại thành phố Tự Cống, nằm ở phía nam tỉnh Tứ Xuyên, Trung Quốc. Vào thời điểm này, Tự Cống đang trải qua giai đoạn thuyên giảm của đại dịch </w:t>
      </w:r>
      <w:r>
        <w:rPr>
          <w:b/>
          <w:color w:val="CC0000"/>
          <w:sz w:val="24"/>
        </w:rPr>
        <w:t>COVID-19</w:t>
      </w:r>
      <w:r>
        <w:rPr>
          <w:sz w:val="24"/>
        </w:rPr>
        <w:t xml:space="preserve"> (Bệnh virus corona 2019 - Coronavirus Disease 2019). Chính sách phong tỏa trường học đã kết thúc và học sinh quay trở lại trường vào tháng 4 năm 2020. Thông qua phương pháp lấy mẫu cụm, hai quận và một huyện được chọn từ bốn quận và hai huyện tại Tự Cống. Nghiên cứu bao gồm tất cả các trường trung học (trung học cơ sở và trung học phổ thông) trong các khu vực này.</w:t>
      </w:r>
    </w:p>
    <w:p>
      <w:r>
        <w:rPr>
          <w:sz w:val="24"/>
        </w:rPr>
        <w:t>Các điều tra viên được đào tạo kỹ lưỡng về quy trình nghiên cứu và tiêu chuẩn thu thập dữ liệu để đảm bảo chất lượng khảo sát. Học sinh hoàn thành bảng câu hỏi điện tử trong phòng máy tính của trường. Trước khi khảo sát, cả học sinh và phụ huynh đều được thông báo đầy đủ về mục đích, quy trình và các phép đo của khảo sát, và đã cung cấp sự đồng ý. Tổng cộng 63.487 học sinh trung học cơ sở và trung học phổ thông đã hoàn thành cuộc điều tra, và 282 em bị loại do thiếu dữ liệu ở các mục quan trọng, còn lại 63.205 đối tượng cho nghiên cứu, với tỷ lệ phản hồi hữu hiệu là 99,6%. Quy trình nghiên cứu được phê duyệt bởi Ủy ban Đạo đức của Trung tâm Sức khỏe Tâm thần Tự Cống [Số: 2020-8-01].</w:t>
      </w:r>
    </w:p>
    <w:p>
      <w:r>
        <w:rPr>
          <w:b/>
          <w:color w:val="FF6600"/>
          <w:sz w:val="20"/>
        </w:rPr>
        <w:t>--- Trang 3/9, BMC Psychiatry, 23:580, tháng 8/2023 ---</w:t>
      </w:r>
    </w:p>
    <w:p>
      <w:pPr>
        <w:pStyle w:val="Heading3"/>
      </w:pPr>
      <w:r>
        <w:t>Công cụ đo lường</w:t>
      </w:r>
    </w:p>
    <w:p>
      <w:r>
        <w:rPr>
          <w:sz w:val="24"/>
        </w:rPr>
        <w:t>Một bảng câu hỏi tự báo cáo được áp dụng trong nghiên cứu này. Dữ liệu được thu thập bằng một bảng câu hỏi tự phát triển. Bảng câu hỏi bao gồm nhiều phần: Thông tin nhân khẩu-xã hội, bao gồm tuổi, giới tính, giai đoạn học tập (trung học cơ sở/trung học phổ thông), nơi cư trú (thành thị/nông thôn), loại hình gia đình (không hạt nhân/hạt nhân), con một (có/không), và trẻ bị bỏ lại (có/không), triệu chứng trầm cảm, triệu chứng lo âu, bắt nạt đồng trang lứa, rối loạn giấc ngủ, và rối loạn chơi game trực tuyến (</w:t>
      </w:r>
      <w:r>
        <w:rPr>
          <w:sz w:val="24"/>
        </w:rPr>
        <w:t>IGD</w:t>
      </w:r>
      <w:r>
        <w:rPr>
          <w:sz w:val="24"/>
        </w:rPr>
        <w:t>). Người tham gia được yêu cầu cho biết họ thuộc gia đình hạt nhân hay gia đình không hạt nhân (gia đình đơn thân hoặc gia đình tái hôn). Trẻ bị bỏ lại là trẻ bị tách khỏi một hoặc cả hai cha mẹ do cha mẹ di cư đi làm hoặc vì lý do khác.</w:t>
      </w:r>
    </w:p>
    <w:p>
      <w:r>
        <w:rPr>
          <w:b/>
          <w:sz w:val="24"/>
        </w:rPr>
        <w:t>Thang đo Rối loạn Lo âu Tổng quát 7 mục (GAD-7).</w:t>
      </w:r>
      <w:r>
        <w:rPr>
          <w:sz w:val="24"/>
        </w:rPr>
        <w:t xml:space="preserve"> Triệu chứng lo âu được đo bằng Bảng câu hỏi Rối loạn Lo âu Tổng quát 7 mục (</w:t>
      </w:r>
      <w:r>
        <w:rPr>
          <w:sz w:val="24"/>
        </w:rPr>
        <w:t>GAD-7</w:t>
      </w:r>
      <w:r>
        <w:rPr>
          <w:sz w:val="24"/>
        </w:rPr>
        <w:t xml:space="preserve">). Thang đo chứa 7 mục, và mỗi mục được đánh giá từ 0 đến 3, cho tổng điểm từ 0 đến 21. Trong nghiên cứu này, tổng điểm &gt;=10 đại diện cho dương tính với lo âu. Phiên bản tiếng Trung của </w:t>
      </w:r>
      <w:r>
        <w:rPr>
          <w:sz w:val="24"/>
        </w:rPr>
        <w:t>GAD-7</w:t>
      </w:r>
      <w:r>
        <w:rPr>
          <w:sz w:val="24"/>
        </w:rPr>
        <w:t xml:space="preserve"> đã chứng minh độ tin cậy và hiệu lực ở thanh thiếu niên Trung Quốc.</w:t>
      </w:r>
    </w:p>
    <w:p>
      <w:r>
        <w:rPr>
          <w:b/>
          <w:sz w:val="24"/>
        </w:rPr>
        <w:t>Bảng câu hỏi Sức khỏe Bệnh nhân 9 mục (PHQ-9).</w:t>
      </w:r>
      <w:r>
        <w:rPr>
          <w:sz w:val="24"/>
        </w:rPr>
        <w:t xml:space="preserve"> Bảng câu hỏi Sức khỏe Bệnh nhân 9 mục (</w:t>
      </w:r>
      <w:r>
        <w:rPr>
          <w:sz w:val="24"/>
        </w:rPr>
        <w:t>PHQ-9</w:t>
      </w:r>
      <w:r>
        <w:rPr>
          <w:sz w:val="24"/>
        </w:rPr>
        <w:t xml:space="preserve">) được áp dụng để đánh giá triệu chứng trầm cảm. Lựa chọn trả lời cho mỗi mục dao động từ "hoàn toàn không" (0 điểm) đến "gần như mỗi ngày" (3 điểm), cho tổng điểm từ 0 đến 27. Điểm &gt;=10 đại diện cho dương tính với trầm cảm. </w:t>
      </w:r>
      <w:r>
        <w:rPr>
          <w:sz w:val="24"/>
        </w:rPr>
        <w:t>PHQ-9</w:t>
      </w:r>
      <w:r>
        <w:rPr>
          <w:sz w:val="24"/>
        </w:rPr>
        <w:t xml:space="preserve"> đã được xác nhận và sử dụng rộng rãi trên nhiều mẫu Trung Quốc khác nhau.</w:t>
      </w:r>
    </w:p>
    <w:p>
      <w:r>
        <w:rPr>
          <w:b/>
          <w:sz w:val="24"/>
        </w:rPr>
        <w:t>Thang đo Đa chiều về Nạn nhân Bắt nạt Đồng trang lứa (MPVS).</w:t>
      </w:r>
      <w:r>
        <w:rPr>
          <w:sz w:val="24"/>
        </w:rPr>
        <w:t xml:space="preserve"> Thang đo Đa chiều về Nạn nhân Bắt nạt Đồng trang lứa (</w:t>
      </w:r>
      <w:r>
        <w:rPr>
          <w:b/>
          <w:color w:val="CC0000"/>
          <w:sz w:val="24"/>
        </w:rPr>
        <w:t>MPVS</w:t>
      </w:r>
      <w:r>
        <w:rPr>
          <w:sz w:val="24"/>
        </w:rPr>
        <w:t>) đo lường tình trạng bắt nạt đồng trang lứa, phù hợp cho thanh thiếu niên từ 11-16 tuổi. Thang đo gồm 16 mục, mỗi mục hỏi cá nhân về tần suất họ trải qua mỗi sự kiện trong năm qua, với các lựa chọn trả lời từ 0 (hoàn toàn không), 1 (một lần), đến 2 (hơn một lần). Công cụ này có bốn yếu tố (mỗi yếu tố bốn mục), cụ thể là bắt nạt thể chất, bắt nạt bằng lời nói, thao túng xã hội, và tấn công tài sản. Trong phân tích hiện tại, điểm yếu tố &gt;=1 đại diện cho việc đã trải qua các phân loại tương ứng của bắt nạt đồng trang lứa.</w:t>
      </w:r>
    </w:p>
    <w:p>
      <w:r>
        <w:rPr>
          <w:b/>
          <w:sz w:val="24"/>
        </w:rPr>
        <w:t>Chỉ số Chất lượng Giấc ngủ Pittsburgh (PSQI).</w:t>
      </w:r>
      <w:r>
        <w:rPr>
          <w:sz w:val="24"/>
        </w:rPr>
        <w:t xml:space="preserve"> Rối loạn giấc ngủ được đo bằng Chỉ số Chất lượng Giấc ngủ Pittsburgh (</w:t>
      </w:r>
      <w:r>
        <w:rPr>
          <w:b/>
          <w:color w:val="CC0000"/>
          <w:sz w:val="24"/>
        </w:rPr>
        <w:t>PSQI</w:t>
      </w:r>
      <w:r>
        <w:rPr>
          <w:sz w:val="24"/>
        </w:rPr>
        <w:t>). Chỉ số này có bảy yếu tố, được đánh giá từ 0 đến 3, cho tổng điểm từ 0 đến 21. Điểm cao hơn cho thấy chất lượng giấc ngủ kém hơn. Tổng điểm &gt;5 cho thấy 'giấc ngủ kém' và được coi là dương tính với rối loạn giấc ngủ trong nghiên cứu này. Bảng câu hỏi này là một công cụ được xác nhận về cấu trúc và được công nhận toàn cầu với độ tin cậy và hiệu lực tốt.</w:t>
      </w:r>
    </w:p>
    <w:p>
      <w:r>
        <w:rPr>
          <w:b/>
          <w:sz w:val="24"/>
        </w:rPr>
        <w:t>Thang đo Rối loạn Chơi Game Trực tuyến 9 mục-Rút gọn (IGDS9-SF).</w:t>
      </w:r>
      <w:r>
        <w:rPr>
          <w:sz w:val="24"/>
        </w:rPr>
        <w:t xml:space="preserve"> Triệu chứng </w:t>
      </w:r>
      <w:r>
        <w:rPr>
          <w:sz w:val="24"/>
        </w:rPr>
        <w:t>IGD</w:t>
      </w:r>
      <w:r>
        <w:rPr>
          <w:sz w:val="24"/>
        </w:rPr>
        <w:t xml:space="preserve"> được đánh giá thông qua Thang đo Rối loạn Chơi Game Trực tuyến 9 mục-Rút gọn (</w:t>
      </w:r>
      <w:r>
        <w:rPr>
          <w:b/>
          <w:color w:val="CC0000"/>
          <w:sz w:val="24"/>
        </w:rPr>
        <w:t>IGDS9-SF</w:t>
      </w:r>
      <w:r>
        <w:rPr>
          <w:sz w:val="24"/>
        </w:rPr>
        <w:t>), được phát triển bởi Pontes, Halley, M., Griffiths, Mark và D. Các mục được đánh giá theo thang Likert năm điểm từ 1 (không bao giờ) đến 5 (rất thường xuyên), cho tổng điểm từ 9 đến 45. Công cụ này đã được giới thiệu vào các mẫu Trung Quốc, và tổng điểm &gt;=32 được coi là dương tính với nghiện game trực tuyến trong các mẫu Trung Quốc.</w:t>
      </w:r>
    </w:p>
    <w:p>
      <w:pPr>
        <w:pStyle w:val="Heading3"/>
      </w:pPr>
      <w:r>
        <w:t>Phân tích thống kê</w:t>
      </w:r>
    </w:p>
    <w:p>
      <w:r>
        <w:rPr>
          <w:sz w:val="24"/>
        </w:rPr>
        <w:t xml:space="preserve">Thống kê mô tả được sử dụng để tóm tắt đặc điểm người tham gia. Dựa trên điểm </w:t>
      </w:r>
      <w:r>
        <w:rPr>
          <w:sz w:val="24"/>
        </w:rPr>
        <w:t>PHQ-9</w:t>
      </w:r>
      <w:r>
        <w:rPr>
          <w:sz w:val="24"/>
        </w:rPr>
        <w:t xml:space="preserve"> và </w:t>
      </w:r>
      <w:r>
        <w:rPr>
          <w:sz w:val="24"/>
        </w:rPr>
        <w:t>GAD-7</w:t>
      </w:r>
      <w:r>
        <w:rPr>
          <w:sz w:val="24"/>
        </w:rPr>
        <w:t>, người tham gia được phân thành bốn nhóm: không có căng thẳng tâm thần, chỉ có triệu chứng lo âu, chỉ có triệu chứng trầm cảm, và có cả triệu chứng trầm cảm lẫn lo âu. Do tỷ lệ đồng mắc cao giữa triệu chứng trầm cảm và lo âu trong mẫu, một phân loại tiếp theo được thực hiện thành nhóm không căng thẳng và nhóm căng thẳng (người tham gia có triệu chứng trầm cảm hoặc lo âu).</w:t>
      </w:r>
    </w:p>
    <w:p>
      <w:r>
        <w:rPr>
          <w:sz w:val="24"/>
        </w:rPr>
        <w:t xml:space="preserve">Kiểm định chi bình phương và kiểm định t được sử dụng để khảo sát sự khác biệt giữa nhóm căng thẳng và không căng thẳng về nhân khẩu học, thông tin liên quan đến gia đình, bắt nạt học đường, rối loạn giấc ngủ, và triệu chứng </w:t>
      </w:r>
      <w:r>
        <w:rPr>
          <w:sz w:val="24"/>
        </w:rPr>
        <w:t>IGD</w:t>
      </w:r>
      <w:r>
        <w:rPr>
          <w:sz w:val="24"/>
        </w:rPr>
        <w:t>. Xét đến phương pháp tuyển chọn người tham gia và thiết kế lấy mẫu cụm của nghiên cứu, gói "survey" của R được áp dụng để tính tỷ lệ có trọng số dựa trên cụm. Mô hình hồi quy logistic đa biến được áp dụng để xác định các yếu tố liên quan độc lập với căng thẳng tâm thần. Các biến có ý nghĩa thống kê trong phân tích đơn biến được đưa vào. Phù hợp với một nghiên cứu trước đây, tỷ số chênh (</w:t>
      </w:r>
      <w:r>
        <w:rPr>
          <w:b/>
          <w:color w:val="CC0000"/>
          <w:sz w:val="24"/>
        </w:rPr>
        <w:t>OR</w:t>
      </w:r>
      <w:r>
        <w:rPr>
          <w:sz w:val="24"/>
        </w:rPr>
        <w:t xml:space="preserve">) đã điều chỉnh được sử dụng để đánh giá kích thước hiệu ứng, với </w:t>
      </w:r>
      <w:r>
        <w:rPr>
          <w:sz w:val="24"/>
        </w:rPr>
        <w:t>OR</w:t>
      </w:r>
      <w:r>
        <w:rPr>
          <w:sz w:val="24"/>
        </w:rPr>
        <w:t xml:space="preserve"> &lt;1,5 và giữa 1,5 và 4, và &gt;4 cho thấy mối liên quan yếu, trung bình và mạnh, tương ứng.</w:t>
      </w:r>
    </w:p>
    <w:p>
      <w:r>
        <w:rPr>
          <w:sz w:val="24"/>
        </w:rPr>
        <w:t>Chúng tôi cũng thực hiện một phân tích phân nhóm để khảo sát sự khác biệt tiềm ẩn trong các yếu tố liên quan đến căng thẳng tâm thần giữa học sinh trung học cơ sở và trung học phổ thông.</w:t>
      </w:r>
    </w:p>
    <w:p>
      <w:r>
        <w:rPr>
          <w:sz w:val="24"/>
        </w:rPr>
        <w:t>Phân tích thống kê được thực hiện bằng phần mềm R (Phiên bản 3.3.3, Tổ chức R cho Tính toán Thống kê, Vienna, Áo). Gói "survey" được sử dụng để điều chỉnh hiệu ứng cụm. Do cỡ mẫu rất lớn, mức ý nghĩa được đặt dưới 0,001 (hai phía).</w:t>
      </w:r>
    </w:p>
    <w:p>
      <w:pPr>
        <w:pStyle w:val="Heading2"/>
      </w:pPr>
      <w:r>
        <w:t>KẾT QUẢ</w:t>
      </w:r>
    </w:p>
    <w:p>
      <w:pPr>
        <w:pStyle w:val="Heading3"/>
      </w:pPr>
      <w:r>
        <w:t>Đặc điểm chính của người tham gia</w:t>
      </w:r>
    </w:p>
    <w:p>
      <w:r>
        <w:rPr>
          <w:sz w:val="24"/>
        </w:rPr>
        <w:t>Tổng cộng 63.205 đối tượng được đưa vào phân tích, và các đặc điểm chính của họ được trình bày trong Bảng 1.</w:t>
      </w:r>
    </w:p>
    <w:p>
      <w:r>
        <w:rPr>
          <w:b/>
          <w:color w:val="FF6600"/>
          <w:sz w:val="20"/>
        </w:rPr>
        <w:t>--- Trang 4/9, BMC Psychiatry, 23:580, tháng 8/2023 ---</w:t>
      </w:r>
    </w:p>
    <w:p>
      <w:r>
        <w:rPr>
          <w:b/>
          <w:sz w:val="24"/>
        </w:rPr>
        <w:t>Bảng 1: Đặc điểm mẫu nghiên cứu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223"/>
          </w:tcPr>
          <w:p>
            <w:r>
              <w:rPr>
                <w:b/>
              </w:rPr>
            </w:r>
            <w:r>
              <w:rPr>
                <w:rFonts w:ascii="Times New Roman" w:hAnsi="Times New Roman"/>
                <w:b/>
                <w:sz w:val="18"/>
              </w:rPr>
              <w:t>Đặc điểm</w:t>
            </w:r>
          </w:p>
        </w:tc>
        <w:tc>
          <w:tcPr>
            <w:tcW w:type="dxa" w:w="1690"/>
          </w:tcPr>
          <w:p>
            <w:r>
              <w:rPr>
                <w:b/>
              </w:rPr>
            </w:r>
            <w:r>
              <w:rPr>
                <w:rFonts w:ascii="Times New Roman" w:hAnsi="Times New Roman"/>
                <w:b/>
                <w:sz w:val="18"/>
              </w:rPr>
              <w:t>Căng thẳng tâm thần</w:t>
            </w:r>
          </w:p>
        </w:tc>
        <w:tc>
          <w:tcPr>
            <w:tcW w:type="dxa" w:w="2312"/>
          </w:tcPr>
          <w:p>
            <w:r>
              <w:rPr>
                <w:b/>
              </w:rPr>
            </w:r>
            <w:r>
              <w:rPr>
                <w:rFonts w:ascii="Times New Roman" w:hAnsi="Times New Roman"/>
                <w:b/>
                <w:sz w:val="18"/>
              </w:rPr>
            </w:r>
          </w:p>
        </w:tc>
        <w:tc>
          <w:tcPr>
            <w:tcW w:type="dxa" w:w="2045"/>
          </w:tcPr>
          <w:p>
            <w:r>
              <w:rPr>
                <w:b/>
              </w:rPr>
            </w:r>
            <w:r>
              <w:rPr>
                <w:rFonts w:ascii="Times New Roman" w:hAnsi="Times New Roman"/>
                <w:b/>
                <w:sz w:val="18"/>
              </w:rPr>
            </w:r>
          </w:p>
        </w:tc>
        <w:tc>
          <w:tcPr>
            <w:tcW w:type="dxa" w:w="850"/>
          </w:tcPr>
          <w:p>
            <w:r>
              <w:rPr>
                <w:b/>
              </w:rPr>
            </w:r>
            <w:r>
              <w:rPr>
                <w:rFonts w:ascii="Times New Roman" w:hAnsi="Times New Roman"/>
                <w:b/>
                <w:sz w:val="18"/>
              </w:rPr>
              <w:t>Giá trị p</w:t>
            </w:r>
          </w:p>
        </w:tc>
      </w:tr>
      <w:tr>
        <w:tc>
          <w:tcPr>
            <w:tcW w:type="dxa" w:w="2223"/>
          </w:tcPr>
          <w:p>
            <w:r/>
            <w:r>
              <w:rPr>
                <w:rFonts w:ascii="Times New Roman" w:hAnsi="Times New Roman"/>
                <w:sz w:val="18"/>
              </w:rPr>
            </w:r>
          </w:p>
        </w:tc>
        <w:tc>
          <w:tcPr>
            <w:tcW w:type="dxa" w:w="1690"/>
          </w:tcPr>
          <w:p>
            <w:r/>
            <w:r>
              <w:rPr>
                <w:rFonts w:ascii="Times New Roman" w:hAnsi="Times New Roman"/>
                <w:sz w:val="18"/>
              </w:rPr>
              <w:t>Tổng thể, N=63.205</w:t>
            </w:r>
          </w:p>
        </w:tc>
        <w:tc>
          <w:tcPr>
            <w:tcW w:type="dxa" w:w="2312"/>
          </w:tcPr>
          <w:p>
            <w:r/>
            <w:r>
              <w:rPr>
                <w:rFonts w:ascii="Times New Roman" w:hAnsi="Times New Roman"/>
                <w:sz w:val="18"/>
              </w:rPr>
              <w:t>Không căng thẳng, N=47.107</w:t>
            </w:r>
          </w:p>
        </w:tc>
        <w:tc>
          <w:tcPr>
            <w:tcW w:type="dxa" w:w="2045"/>
          </w:tcPr>
          <w:p>
            <w:r/>
            <w:r>
              <w:rPr>
                <w:rFonts w:ascii="Times New Roman" w:hAnsi="Times New Roman"/>
                <w:sz w:val="18"/>
              </w:rPr>
              <w:t>Có căng thẳng, N=16.098</w:t>
            </w:r>
          </w:p>
        </w:tc>
        <w:tc>
          <w:tcPr>
            <w:tcW w:type="dxa" w:w="850"/>
          </w:tcPr>
          <w:p>
            <w:r/>
            <w:r>
              <w:rPr>
                <w:rFonts w:ascii="Times New Roman" w:hAnsi="Times New Roman"/>
                <w:sz w:val="18"/>
              </w:rPr>
            </w:r>
          </w:p>
        </w:tc>
      </w:tr>
      <w:tr>
        <w:tc>
          <w:tcPr>
            <w:tcW w:type="dxa" w:w="2223"/>
          </w:tcPr>
          <w:p>
            <w:r/>
            <w:r>
              <w:rPr>
                <w:rFonts w:ascii="Times New Roman" w:hAnsi="Times New Roman"/>
                <w:b/>
                <w:sz w:val="18"/>
              </w:rPr>
              <w:t>Giới tính</w:t>
            </w:r>
          </w:p>
        </w:tc>
        <w:tc>
          <w:tcPr>
            <w:tcW w:type="dxa" w:w="1690"/>
          </w:tcPr>
          <w:p>
            <w:r/>
            <w:r>
              <w:rPr>
                <w:rFonts w:ascii="Times New Roman" w:hAnsi="Times New Roman"/>
                <w:sz w:val="18"/>
              </w:rPr>
            </w:r>
          </w:p>
        </w:tc>
        <w:tc>
          <w:tcPr>
            <w:tcW w:type="dxa" w:w="2312"/>
          </w:tcPr>
          <w:p>
            <w:r/>
            <w:r>
              <w:rPr>
                <w:rFonts w:ascii="Times New Roman" w:hAnsi="Times New Roman"/>
                <w:sz w:val="18"/>
              </w:rPr>
            </w:r>
          </w:p>
        </w:tc>
        <w:tc>
          <w:tcPr>
            <w:tcW w:type="dxa" w:w="2045"/>
          </w:tcPr>
          <w:p>
            <w:r/>
            <w:r>
              <w:rPr>
                <w:rFonts w:ascii="Times New Roman" w:hAnsi="Times New Roman"/>
                <w:sz w:val="18"/>
              </w:rPr>
            </w:r>
          </w:p>
        </w:tc>
        <w:tc>
          <w:tcPr>
            <w:tcW w:type="dxa" w:w="850"/>
          </w:tcPr>
          <w:p>
            <w:r/>
            <w:r>
              <w:rPr>
                <w:rFonts w:ascii="Times New Roman" w:hAnsi="Times New Roman"/>
                <w:sz w:val="18"/>
              </w:rPr>
              <w:t>&lt;0,001</w:t>
            </w:r>
          </w:p>
        </w:tc>
      </w:tr>
      <w:tr>
        <w:tc>
          <w:tcPr>
            <w:tcW w:type="dxa" w:w="2223"/>
          </w:tcPr>
          <w:p>
            <w:r/>
            <w:r>
              <w:rPr>
                <w:rFonts w:ascii="Times New Roman" w:hAnsi="Times New Roman"/>
                <w:sz w:val="18"/>
              </w:rPr>
              <w:t>Nữ</w:t>
            </w:r>
          </w:p>
        </w:tc>
        <w:tc>
          <w:tcPr>
            <w:tcW w:type="dxa" w:w="1690"/>
          </w:tcPr>
          <w:p>
            <w:r/>
            <w:r>
              <w:rPr>
                <w:rFonts w:ascii="Times New Roman" w:hAnsi="Times New Roman"/>
                <w:sz w:val="18"/>
              </w:rPr>
              <w:t>32.007 (51%)</w:t>
            </w:r>
          </w:p>
        </w:tc>
        <w:tc>
          <w:tcPr>
            <w:tcW w:type="dxa" w:w="2312"/>
          </w:tcPr>
          <w:p>
            <w:r/>
            <w:r>
              <w:rPr>
                <w:rFonts w:ascii="Times New Roman" w:hAnsi="Times New Roman"/>
                <w:sz w:val="18"/>
              </w:rPr>
              <w:t>22.676 (48%)</w:t>
            </w:r>
          </w:p>
        </w:tc>
        <w:tc>
          <w:tcPr>
            <w:tcW w:type="dxa" w:w="2045"/>
          </w:tcPr>
          <w:p>
            <w:r/>
            <w:r>
              <w:rPr>
                <w:rFonts w:ascii="Times New Roman" w:hAnsi="Times New Roman"/>
                <w:sz w:val="18"/>
              </w:rPr>
              <w:t>9.331 (58%)</w:t>
            </w:r>
          </w:p>
        </w:tc>
        <w:tc>
          <w:tcPr>
            <w:tcW w:type="dxa" w:w="850"/>
          </w:tcPr>
          <w:p>
            <w:r/>
            <w:r>
              <w:rPr>
                <w:rFonts w:ascii="Times New Roman" w:hAnsi="Times New Roman"/>
                <w:sz w:val="18"/>
              </w:rPr>
            </w:r>
          </w:p>
        </w:tc>
      </w:tr>
      <w:tr>
        <w:tc>
          <w:tcPr>
            <w:tcW w:type="dxa" w:w="2223"/>
          </w:tcPr>
          <w:p>
            <w:r/>
            <w:r>
              <w:rPr>
                <w:rFonts w:ascii="Times New Roman" w:hAnsi="Times New Roman"/>
                <w:sz w:val="18"/>
              </w:rPr>
              <w:t>Nam</w:t>
            </w:r>
          </w:p>
        </w:tc>
        <w:tc>
          <w:tcPr>
            <w:tcW w:type="dxa" w:w="1690"/>
          </w:tcPr>
          <w:p>
            <w:r/>
            <w:r>
              <w:rPr>
                <w:rFonts w:ascii="Times New Roman" w:hAnsi="Times New Roman"/>
                <w:sz w:val="18"/>
              </w:rPr>
              <w:t>31.198 (49%)</w:t>
            </w:r>
          </w:p>
        </w:tc>
        <w:tc>
          <w:tcPr>
            <w:tcW w:type="dxa" w:w="2312"/>
          </w:tcPr>
          <w:p>
            <w:r/>
            <w:r>
              <w:rPr>
                <w:rFonts w:ascii="Times New Roman" w:hAnsi="Times New Roman"/>
                <w:sz w:val="18"/>
              </w:rPr>
              <w:t>24.431 (52%)</w:t>
            </w:r>
          </w:p>
        </w:tc>
        <w:tc>
          <w:tcPr>
            <w:tcW w:type="dxa" w:w="2045"/>
          </w:tcPr>
          <w:p>
            <w:r/>
            <w:r>
              <w:rPr>
                <w:rFonts w:ascii="Times New Roman" w:hAnsi="Times New Roman"/>
                <w:sz w:val="18"/>
              </w:rPr>
              <w:t>6.767 (42%)</w:t>
            </w:r>
          </w:p>
        </w:tc>
        <w:tc>
          <w:tcPr>
            <w:tcW w:type="dxa" w:w="850"/>
          </w:tcPr>
          <w:p>
            <w:r/>
            <w:r>
              <w:rPr>
                <w:rFonts w:ascii="Times New Roman" w:hAnsi="Times New Roman"/>
                <w:sz w:val="18"/>
              </w:rPr>
            </w:r>
          </w:p>
        </w:tc>
      </w:tr>
      <w:tr>
        <w:tc>
          <w:tcPr>
            <w:tcW w:type="dxa" w:w="2223"/>
          </w:tcPr>
          <w:p>
            <w:r/>
            <w:r>
              <w:rPr>
                <w:rFonts w:ascii="Times New Roman" w:hAnsi="Times New Roman"/>
                <w:b/>
                <w:sz w:val="18"/>
              </w:rPr>
              <w:t>Giai đoạn học tập</w:t>
            </w:r>
          </w:p>
        </w:tc>
        <w:tc>
          <w:tcPr>
            <w:tcW w:type="dxa" w:w="1690"/>
          </w:tcPr>
          <w:p>
            <w:r/>
            <w:r>
              <w:rPr>
                <w:rFonts w:ascii="Times New Roman" w:hAnsi="Times New Roman"/>
                <w:sz w:val="18"/>
              </w:rPr>
            </w:r>
          </w:p>
        </w:tc>
        <w:tc>
          <w:tcPr>
            <w:tcW w:type="dxa" w:w="2312"/>
          </w:tcPr>
          <w:p>
            <w:r/>
            <w:r>
              <w:rPr>
                <w:rFonts w:ascii="Times New Roman" w:hAnsi="Times New Roman"/>
                <w:sz w:val="18"/>
              </w:rPr>
            </w:r>
          </w:p>
        </w:tc>
        <w:tc>
          <w:tcPr>
            <w:tcW w:type="dxa" w:w="2045"/>
          </w:tcPr>
          <w:p>
            <w:r/>
            <w:r>
              <w:rPr>
                <w:rFonts w:ascii="Times New Roman" w:hAnsi="Times New Roman"/>
                <w:sz w:val="18"/>
              </w:rPr>
            </w:r>
          </w:p>
        </w:tc>
        <w:tc>
          <w:tcPr>
            <w:tcW w:type="dxa" w:w="850"/>
          </w:tcPr>
          <w:p>
            <w:r/>
            <w:r>
              <w:rPr>
                <w:rFonts w:ascii="Times New Roman" w:hAnsi="Times New Roman"/>
                <w:sz w:val="18"/>
              </w:rPr>
              <w:t>0,007</w:t>
            </w:r>
          </w:p>
        </w:tc>
      </w:tr>
      <w:tr>
        <w:tc>
          <w:tcPr>
            <w:tcW w:type="dxa" w:w="2223"/>
          </w:tcPr>
          <w:p>
            <w:r/>
            <w:r>
              <w:rPr>
                <w:rFonts w:ascii="Times New Roman" w:hAnsi="Times New Roman"/>
                <w:sz w:val="18"/>
              </w:rPr>
              <w:t>Trung học phổ thông</w:t>
            </w:r>
          </w:p>
        </w:tc>
        <w:tc>
          <w:tcPr>
            <w:tcW w:type="dxa" w:w="1690"/>
          </w:tcPr>
          <w:p>
            <w:r/>
            <w:r>
              <w:rPr>
                <w:rFonts w:ascii="Times New Roman" w:hAnsi="Times New Roman"/>
                <w:sz w:val="18"/>
              </w:rPr>
              <w:t>19.832 (31%)</w:t>
            </w:r>
          </w:p>
        </w:tc>
        <w:tc>
          <w:tcPr>
            <w:tcW w:type="dxa" w:w="2312"/>
          </w:tcPr>
          <w:p>
            <w:r/>
            <w:r>
              <w:rPr>
                <w:rFonts w:ascii="Times New Roman" w:hAnsi="Times New Roman"/>
                <w:sz w:val="18"/>
              </w:rPr>
              <w:t>14.644 (31%)</w:t>
            </w:r>
          </w:p>
        </w:tc>
        <w:tc>
          <w:tcPr>
            <w:tcW w:type="dxa" w:w="2045"/>
          </w:tcPr>
          <w:p>
            <w:r/>
            <w:r>
              <w:rPr>
                <w:rFonts w:ascii="Times New Roman" w:hAnsi="Times New Roman"/>
                <w:sz w:val="18"/>
              </w:rPr>
              <w:t>5.188 (32%)</w:t>
            </w:r>
          </w:p>
        </w:tc>
        <w:tc>
          <w:tcPr>
            <w:tcW w:type="dxa" w:w="850"/>
          </w:tcPr>
          <w:p>
            <w:r/>
            <w:r>
              <w:rPr>
                <w:rFonts w:ascii="Times New Roman" w:hAnsi="Times New Roman"/>
                <w:sz w:val="18"/>
              </w:rPr>
            </w:r>
          </w:p>
        </w:tc>
      </w:tr>
      <w:tr>
        <w:tc>
          <w:tcPr>
            <w:tcW w:type="dxa" w:w="2223"/>
          </w:tcPr>
          <w:p>
            <w:r/>
            <w:r>
              <w:rPr>
                <w:rFonts w:ascii="Times New Roman" w:hAnsi="Times New Roman"/>
                <w:sz w:val="18"/>
              </w:rPr>
              <w:t>Trung học cơ sở</w:t>
            </w:r>
          </w:p>
        </w:tc>
        <w:tc>
          <w:tcPr>
            <w:tcW w:type="dxa" w:w="1690"/>
          </w:tcPr>
          <w:p>
            <w:r/>
            <w:r>
              <w:rPr>
                <w:rFonts w:ascii="Times New Roman" w:hAnsi="Times New Roman"/>
                <w:sz w:val="18"/>
              </w:rPr>
              <w:t>43.373 (69%)</w:t>
            </w:r>
          </w:p>
        </w:tc>
        <w:tc>
          <w:tcPr>
            <w:tcW w:type="dxa" w:w="2312"/>
          </w:tcPr>
          <w:p>
            <w:r/>
            <w:r>
              <w:rPr>
                <w:rFonts w:ascii="Times New Roman" w:hAnsi="Times New Roman"/>
                <w:sz w:val="18"/>
              </w:rPr>
              <w:t>32.463 (69%)</w:t>
            </w:r>
          </w:p>
        </w:tc>
        <w:tc>
          <w:tcPr>
            <w:tcW w:type="dxa" w:w="2045"/>
          </w:tcPr>
          <w:p>
            <w:r/>
            <w:r>
              <w:rPr>
                <w:rFonts w:ascii="Times New Roman" w:hAnsi="Times New Roman"/>
                <w:sz w:val="18"/>
              </w:rPr>
              <w:t>10.910 (68%)</w:t>
            </w:r>
          </w:p>
        </w:tc>
        <w:tc>
          <w:tcPr>
            <w:tcW w:type="dxa" w:w="850"/>
          </w:tcPr>
          <w:p>
            <w:r/>
            <w:r>
              <w:rPr>
                <w:rFonts w:ascii="Times New Roman" w:hAnsi="Times New Roman"/>
                <w:sz w:val="18"/>
              </w:rPr>
            </w:r>
          </w:p>
        </w:tc>
      </w:tr>
      <w:tr>
        <w:tc>
          <w:tcPr>
            <w:tcW w:type="dxa" w:w="2223"/>
          </w:tcPr>
          <w:p>
            <w:r/>
            <w:r>
              <w:rPr>
                <w:rFonts w:ascii="Times New Roman" w:hAnsi="Times New Roman"/>
                <w:b/>
                <w:sz w:val="18"/>
              </w:rPr>
              <w:t>Tuổi, năm</w:t>
            </w:r>
          </w:p>
        </w:tc>
        <w:tc>
          <w:tcPr>
            <w:tcW w:type="dxa" w:w="1690"/>
          </w:tcPr>
          <w:p>
            <w:r/>
            <w:r>
              <w:rPr>
                <w:rFonts w:ascii="Times New Roman" w:hAnsi="Times New Roman"/>
                <w:sz w:val="18"/>
              </w:rPr>
              <w:t>14,33 (1,65)</w:t>
            </w:r>
          </w:p>
        </w:tc>
        <w:tc>
          <w:tcPr>
            <w:tcW w:type="dxa" w:w="2312"/>
          </w:tcPr>
          <w:p>
            <w:r/>
            <w:r>
              <w:rPr>
                <w:rFonts w:ascii="Times New Roman" w:hAnsi="Times New Roman"/>
                <w:sz w:val="18"/>
              </w:rPr>
              <w:t>14,32 (1,66)</w:t>
            </w:r>
          </w:p>
        </w:tc>
        <w:tc>
          <w:tcPr>
            <w:tcW w:type="dxa" w:w="2045"/>
          </w:tcPr>
          <w:p>
            <w:r/>
            <w:r>
              <w:rPr>
                <w:rFonts w:ascii="Times New Roman" w:hAnsi="Times New Roman"/>
                <w:sz w:val="18"/>
              </w:rPr>
              <w:t>14,37 (1,61)</w:t>
            </w:r>
          </w:p>
        </w:tc>
        <w:tc>
          <w:tcPr>
            <w:tcW w:type="dxa" w:w="850"/>
          </w:tcPr>
          <w:p>
            <w:r/>
            <w:r>
              <w:rPr>
                <w:rFonts w:ascii="Times New Roman" w:hAnsi="Times New Roman"/>
                <w:sz w:val="18"/>
              </w:rPr>
              <w:t>&lt;0,001</w:t>
            </w:r>
          </w:p>
        </w:tc>
      </w:tr>
      <w:tr>
        <w:tc>
          <w:tcPr>
            <w:tcW w:type="dxa" w:w="2223"/>
          </w:tcPr>
          <w:p>
            <w:r/>
            <w:r>
              <w:rPr>
                <w:rFonts w:ascii="Times New Roman" w:hAnsi="Times New Roman"/>
                <w:b/>
                <w:sz w:val="18"/>
              </w:rPr>
              <w:t>Nơi cư trú</w:t>
            </w:r>
          </w:p>
        </w:tc>
        <w:tc>
          <w:tcPr>
            <w:tcW w:type="dxa" w:w="1690"/>
          </w:tcPr>
          <w:p>
            <w:r/>
            <w:r>
              <w:rPr>
                <w:rFonts w:ascii="Times New Roman" w:hAnsi="Times New Roman"/>
                <w:sz w:val="18"/>
              </w:rPr>
            </w:r>
          </w:p>
        </w:tc>
        <w:tc>
          <w:tcPr>
            <w:tcW w:type="dxa" w:w="2312"/>
          </w:tcPr>
          <w:p>
            <w:r/>
            <w:r>
              <w:rPr>
                <w:rFonts w:ascii="Times New Roman" w:hAnsi="Times New Roman"/>
                <w:sz w:val="18"/>
              </w:rPr>
            </w:r>
          </w:p>
        </w:tc>
        <w:tc>
          <w:tcPr>
            <w:tcW w:type="dxa" w:w="2045"/>
          </w:tcPr>
          <w:p>
            <w:r/>
            <w:r>
              <w:rPr>
                <w:rFonts w:ascii="Times New Roman" w:hAnsi="Times New Roman"/>
                <w:sz w:val="18"/>
              </w:rPr>
            </w:r>
          </w:p>
        </w:tc>
        <w:tc>
          <w:tcPr>
            <w:tcW w:type="dxa" w:w="850"/>
          </w:tcPr>
          <w:p>
            <w:r/>
            <w:r>
              <w:rPr>
                <w:rFonts w:ascii="Times New Roman" w:hAnsi="Times New Roman"/>
                <w:sz w:val="18"/>
              </w:rPr>
              <w:t>&lt;0,001</w:t>
            </w:r>
          </w:p>
        </w:tc>
      </w:tr>
      <w:tr>
        <w:tc>
          <w:tcPr>
            <w:tcW w:type="dxa" w:w="2223"/>
          </w:tcPr>
          <w:p>
            <w:r/>
            <w:r>
              <w:rPr>
                <w:rFonts w:ascii="Times New Roman" w:hAnsi="Times New Roman"/>
                <w:sz w:val="18"/>
              </w:rPr>
              <w:t>Nông thôn</w:t>
            </w:r>
          </w:p>
        </w:tc>
        <w:tc>
          <w:tcPr>
            <w:tcW w:type="dxa" w:w="1690"/>
          </w:tcPr>
          <w:p>
            <w:r/>
            <w:r>
              <w:rPr>
                <w:rFonts w:ascii="Times New Roman" w:hAnsi="Times New Roman"/>
                <w:sz w:val="18"/>
              </w:rPr>
              <w:t>42.059 (67%)</w:t>
            </w:r>
          </w:p>
        </w:tc>
        <w:tc>
          <w:tcPr>
            <w:tcW w:type="dxa" w:w="2312"/>
          </w:tcPr>
          <w:p>
            <w:r/>
            <w:r>
              <w:rPr>
                <w:rFonts w:ascii="Times New Roman" w:hAnsi="Times New Roman"/>
                <w:sz w:val="18"/>
              </w:rPr>
              <w:t>31.640 (67%)</w:t>
            </w:r>
          </w:p>
        </w:tc>
        <w:tc>
          <w:tcPr>
            <w:tcW w:type="dxa" w:w="2045"/>
          </w:tcPr>
          <w:p>
            <w:r/>
            <w:r>
              <w:rPr>
                <w:rFonts w:ascii="Times New Roman" w:hAnsi="Times New Roman"/>
                <w:sz w:val="18"/>
              </w:rPr>
              <w:t>10.419 (65%)</w:t>
            </w:r>
          </w:p>
        </w:tc>
        <w:tc>
          <w:tcPr>
            <w:tcW w:type="dxa" w:w="850"/>
          </w:tcPr>
          <w:p>
            <w:r/>
            <w:r>
              <w:rPr>
                <w:rFonts w:ascii="Times New Roman" w:hAnsi="Times New Roman"/>
                <w:sz w:val="18"/>
              </w:rPr>
            </w:r>
          </w:p>
        </w:tc>
      </w:tr>
      <w:tr>
        <w:tc>
          <w:tcPr>
            <w:tcW w:type="dxa" w:w="2223"/>
          </w:tcPr>
          <w:p>
            <w:r/>
            <w:r>
              <w:rPr>
                <w:rFonts w:ascii="Times New Roman" w:hAnsi="Times New Roman"/>
                <w:sz w:val="18"/>
              </w:rPr>
              <w:t>Thành thị</w:t>
            </w:r>
          </w:p>
        </w:tc>
        <w:tc>
          <w:tcPr>
            <w:tcW w:type="dxa" w:w="1690"/>
          </w:tcPr>
          <w:p>
            <w:r/>
            <w:r>
              <w:rPr>
                <w:rFonts w:ascii="Times New Roman" w:hAnsi="Times New Roman"/>
                <w:sz w:val="18"/>
              </w:rPr>
              <w:t>21.146 (33%)</w:t>
            </w:r>
          </w:p>
        </w:tc>
        <w:tc>
          <w:tcPr>
            <w:tcW w:type="dxa" w:w="2312"/>
          </w:tcPr>
          <w:p>
            <w:r/>
            <w:r>
              <w:rPr>
                <w:rFonts w:ascii="Times New Roman" w:hAnsi="Times New Roman"/>
                <w:sz w:val="18"/>
              </w:rPr>
              <w:t>15.467 (33%)</w:t>
            </w:r>
          </w:p>
        </w:tc>
        <w:tc>
          <w:tcPr>
            <w:tcW w:type="dxa" w:w="2045"/>
          </w:tcPr>
          <w:p>
            <w:r/>
            <w:r>
              <w:rPr>
                <w:rFonts w:ascii="Times New Roman" w:hAnsi="Times New Roman"/>
                <w:sz w:val="18"/>
              </w:rPr>
              <w:t>5.679 (35%)</w:t>
            </w:r>
          </w:p>
        </w:tc>
        <w:tc>
          <w:tcPr>
            <w:tcW w:type="dxa" w:w="850"/>
          </w:tcPr>
          <w:p>
            <w:r/>
            <w:r>
              <w:rPr>
                <w:rFonts w:ascii="Times New Roman" w:hAnsi="Times New Roman"/>
                <w:sz w:val="18"/>
              </w:rPr>
            </w:r>
          </w:p>
        </w:tc>
      </w:tr>
      <w:tr>
        <w:tc>
          <w:tcPr>
            <w:tcW w:type="dxa" w:w="2223"/>
          </w:tcPr>
          <w:p>
            <w:r/>
            <w:r>
              <w:rPr>
                <w:rFonts w:ascii="Times New Roman" w:hAnsi="Times New Roman"/>
                <w:b/>
                <w:sz w:val="18"/>
              </w:rPr>
              <w:t>Con một, có</w:t>
            </w:r>
          </w:p>
        </w:tc>
        <w:tc>
          <w:tcPr>
            <w:tcW w:type="dxa" w:w="1690"/>
          </w:tcPr>
          <w:p>
            <w:r/>
            <w:r>
              <w:rPr>
                <w:rFonts w:ascii="Times New Roman" w:hAnsi="Times New Roman"/>
                <w:sz w:val="18"/>
              </w:rPr>
              <w:t>13.904 (22%)</w:t>
            </w:r>
          </w:p>
        </w:tc>
        <w:tc>
          <w:tcPr>
            <w:tcW w:type="dxa" w:w="2312"/>
          </w:tcPr>
          <w:p>
            <w:r/>
            <w:r>
              <w:rPr>
                <w:rFonts w:ascii="Times New Roman" w:hAnsi="Times New Roman"/>
                <w:sz w:val="18"/>
              </w:rPr>
              <w:t>10.132 (22%)</w:t>
            </w:r>
          </w:p>
        </w:tc>
        <w:tc>
          <w:tcPr>
            <w:tcW w:type="dxa" w:w="2045"/>
          </w:tcPr>
          <w:p>
            <w:r/>
            <w:r>
              <w:rPr>
                <w:rFonts w:ascii="Times New Roman" w:hAnsi="Times New Roman"/>
                <w:sz w:val="18"/>
              </w:rPr>
              <w:t>3.772 (23%)</w:t>
            </w:r>
          </w:p>
        </w:tc>
        <w:tc>
          <w:tcPr>
            <w:tcW w:type="dxa" w:w="850"/>
          </w:tcPr>
          <w:p>
            <w:r/>
            <w:r>
              <w:rPr>
                <w:rFonts w:ascii="Times New Roman" w:hAnsi="Times New Roman"/>
                <w:sz w:val="18"/>
              </w:rPr>
              <w:t>&lt;0,001</w:t>
            </w:r>
          </w:p>
        </w:tc>
      </w:tr>
      <w:tr>
        <w:tc>
          <w:tcPr>
            <w:tcW w:type="dxa" w:w="2223"/>
          </w:tcPr>
          <w:p>
            <w:r/>
            <w:r>
              <w:rPr>
                <w:rFonts w:ascii="Times New Roman" w:hAnsi="Times New Roman"/>
                <w:b/>
                <w:sz w:val="18"/>
              </w:rPr>
              <w:t>Trẻ bị bỏ lại, có</w:t>
            </w:r>
          </w:p>
        </w:tc>
        <w:tc>
          <w:tcPr>
            <w:tcW w:type="dxa" w:w="1690"/>
          </w:tcPr>
          <w:p>
            <w:r/>
            <w:r>
              <w:rPr>
                <w:rFonts w:ascii="Times New Roman" w:hAnsi="Times New Roman"/>
                <w:sz w:val="18"/>
              </w:rPr>
              <w:t>22.202 (35%)</w:t>
            </w:r>
          </w:p>
        </w:tc>
        <w:tc>
          <w:tcPr>
            <w:tcW w:type="dxa" w:w="2312"/>
          </w:tcPr>
          <w:p>
            <w:r/>
            <w:r>
              <w:rPr>
                <w:rFonts w:ascii="Times New Roman" w:hAnsi="Times New Roman"/>
                <w:sz w:val="18"/>
              </w:rPr>
              <w:t>16.366 (35%)</w:t>
            </w:r>
          </w:p>
        </w:tc>
        <w:tc>
          <w:tcPr>
            <w:tcW w:type="dxa" w:w="2045"/>
          </w:tcPr>
          <w:p>
            <w:r/>
            <w:r>
              <w:rPr>
                <w:rFonts w:ascii="Times New Roman" w:hAnsi="Times New Roman"/>
                <w:sz w:val="18"/>
              </w:rPr>
              <w:t>5.836 (36%)</w:t>
            </w:r>
          </w:p>
        </w:tc>
        <w:tc>
          <w:tcPr>
            <w:tcW w:type="dxa" w:w="850"/>
          </w:tcPr>
          <w:p>
            <w:r/>
            <w:r>
              <w:rPr>
                <w:rFonts w:ascii="Times New Roman" w:hAnsi="Times New Roman"/>
                <w:sz w:val="18"/>
              </w:rPr>
              <w:t>&lt;0,001</w:t>
            </w:r>
          </w:p>
        </w:tc>
      </w:tr>
      <w:tr>
        <w:tc>
          <w:tcPr>
            <w:tcW w:type="dxa" w:w="2223"/>
          </w:tcPr>
          <w:p>
            <w:r/>
            <w:r>
              <w:rPr>
                <w:rFonts w:ascii="Times New Roman" w:hAnsi="Times New Roman"/>
                <w:b/>
                <w:sz w:val="18"/>
              </w:rPr>
              <w:t>Loại hình gia đình</w:t>
            </w:r>
          </w:p>
        </w:tc>
        <w:tc>
          <w:tcPr>
            <w:tcW w:type="dxa" w:w="1690"/>
          </w:tcPr>
          <w:p>
            <w:r/>
            <w:r>
              <w:rPr>
                <w:rFonts w:ascii="Times New Roman" w:hAnsi="Times New Roman"/>
                <w:sz w:val="18"/>
              </w:rPr>
            </w:r>
          </w:p>
        </w:tc>
        <w:tc>
          <w:tcPr>
            <w:tcW w:type="dxa" w:w="2312"/>
          </w:tcPr>
          <w:p>
            <w:r/>
            <w:r>
              <w:rPr>
                <w:rFonts w:ascii="Times New Roman" w:hAnsi="Times New Roman"/>
                <w:sz w:val="18"/>
              </w:rPr>
            </w:r>
          </w:p>
        </w:tc>
        <w:tc>
          <w:tcPr>
            <w:tcW w:type="dxa" w:w="2045"/>
          </w:tcPr>
          <w:p>
            <w:r/>
            <w:r>
              <w:rPr>
                <w:rFonts w:ascii="Times New Roman" w:hAnsi="Times New Roman"/>
                <w:sz w:val="18"/>
              </w:rPr>
            </w:r>
          </w:p>
        </w:tc>
        <w:tc>
          <w:tcPr>
            <w:tcW w:type="dxa" w:w="850"/>
          </w:tcPr>
          <w:p>
            <w:r/>
            <w:r>
              <w:rPr>
                <w:rFonts w:ascii="Times New Roman" w:hAnsi="Times New Roman"/>
                <w:sz w:val="18"/>
              </w:rPr>
              <w:t>&lt;0,001</w:t>
            </w:r>
          </w:p>
        </w:tc>
      </w:tr>
      <w:tr>
        <w:tc>
          <w:tcPr>
            <w:tcW w:type="dxa" w:w="2223"/>
          </w:tcPr>
          <w:p>
            <w:r/>
            <w:r>
              <w:rPr>
                <w:rFonts w:ascii="Times New Roman" w:hAnsi="Times New Roman"/>
                <w:sz w:val="18"/>
              </w:rPr>
              <w:t>Gia đình hạt nhân</w:t>
            </w:r>
          </w:p>
        </w:tc>
        <w:tc>
          <w:tcPr>
            <w:tcW w:type="dxa" w:w="1690"/>
          </w:tcPr>
          <w:p>
            <w:r/>
            <w:r>
              <w:rPr>
                <w:rFonts w:ascii="Times New Roman" w:hAnsi="Times New Roman"/>
                <w:sz w:val="18"/>
              </w:rPr>
              <w:t>50.414 (80%)</w:t>
            </w:r>
          </w:p>
        </w:tc>
        <w:tc>
          <w:tcPr>
            <w:tcW w:type="dxa" w:w="2312"/>
          </w:tcPr>
          <w:p>
            <w:r/>
            <w:r>
              <w:rPr>
                <w:rFonts w:ascii="Times New Roman" w:hAnsi="Times New Roman"/>
                <w:sz w:val="18"/>
              </w:rPr>
              <w:t>38.425 (82%)</w:t>
            </w:r>
          </w:p>
        </w:tc>
        <w:tc>
          <w:tcPr>
            <w:tcW w:type="dxa" w:w="2045"/>
          </w:tcPr>
          <w:p>
            <w:r/>
            <w:r>
              <w:rPr>
                <w:rFonts w:ascii="Times New Roman" w:hAnsi="Times New Roman"/>
                <w:sz w:val="18"/>
              </w:rPr>
              <w:t>11.989 (74%)</w:t>
            </w:r>
          </w:p>
        </w:tc>
        <w:tc>
          <w:tcPr>
            <w:tcW w:type="dxa" w:w="850"/>
          </w:tcPr>
          <w:p>
            <w:r/>
            <w:r>
              <w:rPr>
                <w:rFonts w:ascii="Times New Roman" w:hAnsi="Times New Roman"/>
                <w:sz w:val="18"/>
              </w:rPr>
            </w:r>
          </w:p>
        </w:tc>
      </w:tr>
      <w:tr>
        <w:tc>
          <w:tcPr>
            <w:tcW w:type="dxa" w:w="2223"/>
          </w:tcPr>
          <w:p>
            <w:r/>
            <w:r>
              <w:rPr>
                <w:rFonts w:ascii="Times New Roman" w:hAnsi="Times New Roman"/>
                <w:sz w:val="18"/>
              </w:rPr>
              <w:t>Gia đình không hạt nhân</w:t>
            </w:r>
          </w:p>
        </w:tc>
        <w:tc>
          <w:tcPr>
            <w:tcW w:type="dxa" w:w="1690"/>
          </w:tcPr>
          <w:p>
            <w:r/>
            <w:r>
              <w:rPr>
                <w:rFonts w:ascii="Times New Roman" w:hAnsi="Times New Roman"/>
                <w:sz w:val="18"/>
              </w:rPr>
              <w:t>12.791 (20%)</w:t>
            </w:r>
          </w:p>
        </w:tc>
        <w:tc>
          <w:tcPr>
            <w:tcW w:type="dxa" w:w="2312"/>
          </w:tcPr>
          <w:p>
            <w:r/>
            <w:r>
              <w:rPr>
                <w:rFonts w:ascii="Times New Roman" w:hAnsi="Times New Roman"/>
                <w:sz w:val="18"/>
              </w:rPr>
              <w:t>8.682 (18%)</w:t>
            </w:r>
          </w:p>
        </w:tc>
        <w:tc>
          <w:tcPr>
            <w:tcW w:type="dxa" w:w="2045"/>
          </w:tcPr>
          <w:p>
            <w:r/>
            <w:r>
              <w:rPr>
                <w:rFonts w:ascii="Times New Roman" w:hAnsi="Times New Roman"/>
                <w:sz w:val="18"/>
              </w:rPr>
              <w:t>4.109 (26%)</w:t>
            </w:r>
          </w:p>
        </w:tc>
        <w:tc>
          <w:tcPr>
            <w:tcW w:type="dxa" w:w="850"/>
          </w:tcPr>
          <w:p>
            <w:r/>
            <w:r>
              <w:rPr>
                <w:rFonts w:ascii="Times New Roman" w:hAnsi="Times New Roman"/>
                <w:sz w:val="18"/>
              </w:rPr>
            </w:r>
          </w:p>
        </w:tc>
      </w:tr>
      <w:tr>
        <w:tc>
          <w:tcPr>
            <w:tcW w:type="dxa" w:w="2223"/>
          </w:tcPr>
          <w:p>
            <w:r/>
            <w:r>
              <w:rPr>
                <w:rFonts w:ascii="Times New Roman" w:hAnsi="Times New Roman"/>
                <w:b/>
                <w:sz w:val="18"/>
              </w:rPr>
              <w:t>Triệu chứng IGD, có</w:t>
            </w:r>
          </w:p>
        </w:tc>
        <w:tc>
          <w:tcPr>
            <w:tcW w:type="dxa" w:w="1690"/>
          </w:tcPr>
          <w:p>
            <w:r/>
            <w:r>
              <w:rPr>
                <w:rFonts w:ascii="Times New Roman" w:hAnsi="Times New Roman"/>
                <w:sz w:val="18"/>
              </w:rPr>
              <w:t>1.813 (2,9%)</w:t>
            </w:r>
          </w:p>
        </w:tc>
        <w:tc>
          <w:tcPr>
            <w:tcW w:type="dxa" w:w="2312"/>
          </w:tcPr>
          <w:p>
            <w:r/>
            <w:r>
              <w:rPr>
                <w:rFonts w:ascii="Times New Roman" w:hAnsi="Times New Roman"/>
                <w:sz w:val="18"/>
              </w:rPr>
              <w:t>474 (1,0%)</w:t>
            </w:r>
          </w:p>
        </w:tc>
        <w:tc>
          <w:tcPr>
            <w:tcW w:type="dxa" w:w="2045"/>
          </w:tcPr>
          <w:p>
            <w:r/>
            <w:r>
              <w:rPr>
                <w:rFonts w:ascii="Times New Roman" w:hAnsi="Times New Roman"/>
                <w:sz w:val="18"/>
              </w:rPr>
              <w:t>1.339 (8,3%)</w:t>
            </w:r>
          </w:p>
        </w:tc>
        <w:tc>
          <w:tcPr>
            <w:tcW w:type="dxa" w:w="850"/>
          </w:tcPr>
          <w:p>
            <w:r/>
            <w:r>
              <w:rPr>
                <w:rFonts w:ascii="Times New Roman" w:hAnsi="Times New Roman"/>
                <w:sz w:val="18"/>
              </w:rPr>
              <w:t>&lt;0,001</w:t>
            </w:r>
          </w:p>
        </w:tc>
      </w:tr>
      <w:tr>
        <w:tc>
          <w:tcPr>
            <w:tcW w:type="dxa" w:w="2223"/>
          </w:tcPr>
          <w:p>
            <w:r/>
            <w:r>
              <w:rPr>
                <w:rFonts w:ascii="Times New Roman" w:hAnsi="Times New Roman"/>
                <w:b/>
                <w:sz w:val="18"/>
              </w:rPr>
              <w:t>Rối loạn giấc ngủ, có</w:t>
            </w:r>
          </w:p>
        </w:tc>
        <w:tc>
          <w:tcPr>
            <w:tcW w:type="dxa" w:w="1690"/>
          </w:tcPr>
          <w:p>
            <w:r/>
            <w:r>
              <w:rPr>
                <w:rFonts w:ascii="Times New Roman" w:hAnsi="Times New Roman"/>
                <w:sz w:val="18"/>
              </w:rPr>
              <w:t>18.647 (30%)</w:t>
            </w:r>
          </w:p>
        </w:tc>
        <w:tc>
          <w:tcPr>
            <w:tcW w:type="dxa" w:w="2312"/>
          </w:tcPr>
          <w:p>
            <w:r/>
            <w:r>
              <w:rPr>
                <w:rFonts w:ascii="Times New Roman" w:hAnsi="Times New Roman"/>
                <w:sz w:val="18"/>
              </w:rPr>
              <w:t>7.946 (17%)</w:t>
            </w:r>
          </w:p>
        </w:tc>
        <w:tc>
          <w:tcPr>
            <w:tcW w:type="dxa" w:w="2045"/>
          </w:tcPr>
          <w:p>
            <w:r/>
            <w:r>
              <w:rPr>
                <w:rFonts w:ascii="Times New Roman" w:hAnsi="Times New Roman"/>
                <w:sz w:val="18"/>
              </w:rPr>
              <w:t>10.701 (66%)</w:t>
            </w:r>
          </w:p>
        </w:tc>
        <w:tc>
          <w:tcPr>
            <w:tcW w:type="dxa" w:w="850"/>
          </w:tcPr>
          <w:p>
            <w:r/>
            <w:r>
              <w:rPr>
                <w:rFonts w:ascii="Times New Roman" w:hAnsi="Times New Roman"/>
                <w:sz w:val="18"/>
              </w:rPr>
              <w:t>&lt;0,001</w:t>
            </w:r>
          </w:p>
        </w:tc>
      </w:tr>
      <w:tr>
        <w:tc>
          <w:tcPr>
            <w:tcW w:type="dxa" w:w="2223"/>
          </w:tcPr>
          <w:p>
            <w:r/>
            <w:r>
              <w:rPr>
                <w:rFonts w:ascii="Times New Roman" w:hAnsi="Times New Roman"/>
                <w:b/>
                <w:sz w:val="18"/>
              </w:rPr>
              <w:t>Bắt nạt thể chất</w:t>
            </w:r>
          </w:p>
        </w:tc>
        <w:tc>
          <w:tcPr>
            <w:tcW w:type="dxa" w:w="1690"/>
          </w:tcPr>
          <w:p>
            <w:r/>
            <w:r>
              <w:rPr>
                <w:rFonts w:ascii="Times New Roman" w:hAnsi="Times New Roman"/>
                <w:sz w:val="18"/>
              </w:rPr>
              <w:t>18.548 (29%)</w:t>
            </w:r>
          </w:p>
        </w:tc>
        <w:tc>
          <w:tcPr>
            <w:tcW w:type="dxa" w:w="2312"/>
          </w:tcPr>
          <w:p>
            <w:r/>
            <w:r>
              <w:rPr>
                <w:rFonts w:ascii="Times New Roman" w:hAnsi="Times New Roman"/>
                <w:sz w:val="18"/>
              </w:rPr>
              <w:t>10.812 (23%)</w:t>
            </w:r>
          </w:p>
        </w:tc>
        <w:tc>
          <w:tcPr>
            <w:tcW w:type="dxa" w:w="2045"/>
          </w:tcPr>
          <w:p>
            <w:r/>
            <w:r>
              <w:rPr>
                <w:rFonts w:ascii="Times New Roman" w:hAnsi="Times New Roman"/>
                <w:sz w:val="18"/>
              </w:rPr>
              <w:t>7.736 (48%)</w:t>
            </w:r>
          </w:p>
        </w:tc>
        <w:tc>
          <w:tcPr>
            <w:tcW w:type="dxa" w:w="850"/>
          </w:tcPr>
          <w:p>
            <w:r/>
            <w:r>
              <w:rPr>
                <w:rFonts w:ascii="Times New Roman" w:hAnsi="Times New Roman"/>
                <w:sz w:val="18"/>
              </w:rPr>
              <w:t>&lt;0,001</w:t>
            </w:r>
          </w:p>
        </w:tc>
      </w:tr>
      <w:tr>
        <w:tc>
          <w:tcPr>
            <w:tcW w:type="dxa" w:w="2223"/>
          </w:tcPr>
          <w:p>
            <w:r/>
            <w:r>
              <w:rPr>
                <w:rFonts w:ascii="Times New Roman" w:hAnsi="Times New Roman"/>
                <w:b/>
                <w:sz w:val="18"/>
              </w:rPr>
              <w:t>Bắt nạt bằng lời nói</w:t>
            </w:r>
          </w:p>
        </w:tc>
        <w:tc>
          <w:tcPr>
            <w:tcW w:type="dxa" w:w="1690"/>
          </w:tcPr>
          <w:p>
            <w:r/>
            <w:r>
              <w:rPr>
                <w:rFonts w:ascii="Times New Roman" w:hAnsi="Times New Roman"/>
                <w:sz w:val="18"/>
              </w:rPr>
              <w:t>38.660 (61%)</w:t>
            </w:r>
          </w:p>
        </w:tc>
        <w:tc>
          <w:tcPr>
            <w:tcW w:type="dxa" w:w="2312"/>
          </w:tcPr>
          <w:p>
            <w:r/>
            <w:r>
              <w:rPr>
                <w:rFonts w:ascii="Times New Roman" w:hAnsi="Times New Roman"/>
                <w:sz w:val="18"/>
              </w:rPr>
              <w:t>25.234 (54%)</w:t>
            </w:r>
          </w:p>
        </w:tc>
        <w:tc>
          <w:tcPr>
            <w:tcW w:type="dxa" w:w="2045"/>
          </w:tcPr>
          <w:p>
            <w:r/>
            <w:r>
              <w:rPr>
                <w:rFonts w:ascii="Times New Roman" w:hAnsi="Times New Roman"/>
                <w:sz w:val="18"/>
              </w:rPr>
              <w:t>13.426 (83%)</w:t>
            </w:r>
          </w:p>
        </w:tc>
        <w:tc>
          <w:tcPr>
            <w:tcW w:type="dxa" w:w="850"/>
          </w:tcPr>
          <w:p>
            <w:r/>
            <w:r>
              <w:rPr>
                <w:rFonts w:ascii="Times New Roman" w:hAnsi="Times New Roman"/>
                <w:sz w:val="18"/>
              </w:rPr>
              <w:t>&lt;0,001</w:t>
            </w:r>
          </w:p>
        </w:tc>
      </w:tr>
      <w:tr>
        <w:tc>
          <w:tcPr>
            <w:tcW w:type="dxa" w:w="2223"/>
          </w:tcPr>
          <w:p>
            <w:r/>
            <w:r>
              <w:rPr>
                <w:rFonts w:ascii="Times New Roman" w:hAnsi="Times New Roman"/>
                <w:b/>
                <w:sz w:val="18"/>
              </w:rPr>
              <w:t>Thao túng xã hội</w:t>
            </w:r>
          </w:p>
        </w:tc>
        <w:tc>
          <w:tcPr>
            <w:tcW w:type="dxa" w:w="1690"/>
          </w:tcPr>
          <w:p>
            <w:r/>
            <w:r>
              <w:rPr>
                <w:rFonts w:ascii="Times New Roman" w:hAnsi="Times New Roman"/>
                <w:sz w:val="18"/>
              </w:rPr>
              <w:t>28.544 (45%)</w:t>
            </w:r>
          </w:p>
        </w:tc>
        <w:tc>
          <w:tcPr>
            <w:tcW w:type="dxa" w:w="2312"/>
          </w:tcPr>
          <w:p>
            <w:r/>
            <w:r>
              <w:rPr>
                <w:rFonts w:ascii="Times New Roman" w:hAnsi="Times New Roman"/>
                <w:sz w:val="18"/>
              </w:rPr>
              <w:t>16.982 (36%)</w:t>
            </w:r>
          </w:p>
        </w:tc>
        <w:tc>
          <w:tcPr>
            <w:tcW w:type="dxa" w:w="2045"/>
          </w:tcPr>
          <w:p>
            <w:r/>
            <w:r>
              <w:rPr>
                <w:rFonts w:ascii="Times New Roman" w:hAnsi="Times New Roman"/>
                <w:sz w:val="18"/>
              </w:rPr>
              <w:t>11.562 (72%)</w:t>
            </w:r>
          </w:p>
        </w:tc>
        <w:tc>
          <w:tcPr>
            <w:tcW w:type="dxa" w:w="850"/>
          </w:tcPr>
          <w:p>
            <w:r/>
            <w:r>
              <w:rPr>
                <w:rFonts w:ascii="Times New Roman" w:hAnsi="Times New Roman"/>
                <w:sz w:val="18"/>
              </w:rPr>
              <w:t>&lt;0,001</w:t>
            </w:r>
          </w:p>
        </w:tc>
      </w:tr>
      <w:tr>
        <w:tc>
          <w:tcPr>
            <w:tcW w:type="dxa" w:w="2223"/>
          </w:tcPr>
          <w:p>
            <w:r/>
            <w:r>
              <w:rPr>
                <w:rFonts w:ascii="Times New Roman" w:hAnsi="Times New Roman"/>
                <w:b/>
                <w:sz w:val="18"/>
              </w:rPr>
              <w:t>Tấn công tài sản</w:t>
            </w:r>
          </w:p>
        </w:tc>
        <w:tc>
          <w:tcPr>
            <w:tcW w:type="dxa" w:w="1690"/>
          </w:tcPr>
          <w:p>
            <w:r/>
            <w:r>
              <w:rPr>
                <w:rFonts w:ascii="Times New Roman" w:hAnsi="Times New Roman"/>
                <w:sz w:val="18"/>
              </w:rPr>
              <w:t>37.259 (59%)</w:t>
            </w:r>
          </w:p>
        </w:tc>
        <w:tc>
          <w:tcPr>
            <w:tcW w:type="dxa" w:w="2312"/>
          </w:tcPr>
          <w:p>
            <w:r/>
            <w:r>
              <w:rPr>
                <w:rFonts w:ascii="Times New Roman" w:hAnsi="Times New Roman"/>
                <w:sz w:val="18"/>
              </w:rPr>
              <w:t>24.369 (52%)</w:t>
            </w:r>
          </w:p>
        </w:tc>
        <w:tc>
          <w:tcPr>
            <w:tcW w:type="dxa" w:w="2045"/>
          </w:tcPr>
          <w:p>
            <w:r/>
            <w:r>
              <w:rPr>
                <w:rFonts w:ascii="Times New Roman" w:hAnsi="Times New Roman"/>
                <w:sz w:val="18"/>
              </w:rPr>
              <w:t>12.890 (80%)</w:t>
            </w:r>
          </w:p>
        </w:tc>
        <w:tc>
          <w:tcPr>
            <w:tcW w:type="dxa" w:w="850"/>
          </w:tcPr>
          <w:p>
            <w:r/>
            <w:r>
              <w:rPr>
                <w:rFonts w:ascii="Times New Roman" w:hAnsi="Times New Roman"/>
                <w:sz w:val="18"/>
              </w:rPr>
              <w:t>&lt;0,001</w:t>
            </w:r>
          </w:p>
        </w:tc>
      </w:tr>
    </w:tbl>
    <w:p/>
    <w:p>
      <w:r>
        <w:rPr>
          <w:sz w:val="24"/>
        </w:rPr>
        <w:t>*n (%); Trung bình (SD). Kiểm định Chi bình phương Pearson; Kiểm định t hai mẫu Welch*</w:t>
      </w:r>
    </w:p>
    <w:p>
      <w:r>
        <w:rPr>
          <w:sz w:val="24"/>
        </w:rPr>
        <w:t xml:space="preserve">Tuổi trung bình của tất cả người tham gia là 14,3, và 49,36% là nam. Học sinh trung học cơ sở chiếm 68,62%. Trong tất cả đối tượng nghiên cứu, 22,00% là con một, và 35,13% là trẻ bị bỏ lại. Về bắt nạt đồng trang lứa, bắt nạt bằng lời nói được báo cáo ở mức cao nhất (61%), tiếp theo là tấn công tài sản (59%), thao túng xã hội (45%), và bắt nạt thể chất (29%), tương ứng. Trong tất cả người tham gia, 30% báo cáo rối loạn giấc ngủ, và 2,9% đủ tiêu chuẩn </w:t>
      </w:r>
      <w:r>
        <w:rPr>
          <w:sz w:val="24"/>
        </w:rPr>
        <w:t>IGD</w:t>
      </w:r>
      <w:r>
        <w:rPr>
          <w:sz w:val="24"/>
        </w:rPr>
        <w:t>.</w:t>
      </w:r>
    </w:p>
    <w:p>
      <w:pPr>
        <w:pStyle w:val="Heading3"/>
      </w:pPr>
      <w:r>
        <w:t>Tỷ lệ có trọng số của trầm cảm và lo âu</w:t>
      </w:r>
    </w:p>
    <w:p>
      <w:r>
        <w:rPr>
          <w:sz w:val="24"/>
        </w:rPr>
        <w:t>Tỷ lệ có trọng số của triệu chứng trầm cảm và lo âu lần lượt là 23,0% (KTC 95%: 19,6-27,0%) và 13,9% (KTC 95%: 11,2-17,0%). 11,5% (KTC 95%: 9,0-15,0%) học sinh trung học mắc cả triệu chứng trầm cảm và lo âu. Khoảng một phần tư người tham gia (25,5%, KTC 95%: 21,8-30,0%) có triệu chứng trầm cảm hoặc lo âu và được phân loại vào nhóm căng thẳng.</w:t>
      </w:r>
    </w:p>
    <w:p>
      <w:r>
        <w:rPr>
          <w:sz w:val="24"/>
        </w:rPr>
        <w:t xml:space="preserve">So với nhóm không căng thẳng, thanh thiếu niên có căng thẳng tâm thần lớn tuổi hơn (14,37 so với 14,32). Họ có nhiều khả năng là nữ (58% so với 48%), con một (23% so với 22%), và trẻ bị bỏ lại (36% so với 35%). Họ có nhiều khả năng sống ở thành thị (35% so với 33%) và thuộc gia đình không hạt nhân (26% so với 18%) (tất cả p &lt;0,001). Đáng chú ý, thanh thiếu niên có căng thẳng tâm thần có nguy cơ cao hơn nhiều về triệu chứng </w:t>
      </w:r>
      <w:r>
        <w:rPr>
          <w:sz w:val="24"/>
        </w:rPr>
        <w:t>IGD</w:t>
      </w:r>
      <w:r>
        <w:rPr>
          <w:sz w:val="24"/>
        </w:rPr>
        <w:t xml:space="preserve"> (8,3% so với 1,0%), rối loạn giấc ngủ (66% so với 17%), bắt nạt thể chất (48% so với 23%), bắt nạt bằng lời nói (83% so với 54%), thao túng xã hội (72% so với 36%), và tấn công tài sản (80% so với 52%) (tất cả p &lt;0,001).</w:t>
      </w:r>
    </w:p>
    <w:p>
      <w:pPr>
        <w:pStyle w:val="Heading3"/>
      </w:pPr>
      <w:r>
        <w:t>Các yếu tố liên quan của triệu chứng trầm cảm và lo âu</w:t>
      </w:r>
    </w:p>
    <w:p>
      <w:r>
        <w:rPr>
          <w:sz w:val="24"/>
        </w:rPr>
        <w:t xml:space="preserve">Chúng tôi thực hiện nhiều mô hình hồi quy bội để xác định các yếu tố độc lập liên quan đến căng thẳng tâm thần (Bảng 2). Các biến sau được chọn vào mô hình hồi quy: giới tính, nơi cư trú, tuổi, là con một, trẻ bị bỏ lại, loại hình gia đình, bắt nạt học đường, rối loạn giấc ngủ, và triệu chứng </w:t>
      </w:r>
      <w:r>
        <w:rPr>
          <w:sz w:val="24"/>
        </w:rPr>
        <w:t>IGD</w:t>
      </w:r>
      <w:r>
        <w:rPr>
          <w:sz w:val="24"/>
        </w:rPr>
        <w:t>. Mô hình cho thấy nữ (</w:t>
      </w:r>
      <w:r>
        <w:rPr>
          <w:sz w:val="24"/>
        </w:rPr>
        <w:t>OR</w:t>
      </w:r>
      <w:r>
        <w:rPr>
          <w:sz w:val="24"/>
        </w:rPr>
        <w:t>: 1,55, KTC 95%: 1,49-1,62, p &lt;0,001), thuộc gia đình không hạt nhân (</w:t>
      </w:r>
      <w:r>
        <w:rPr>
          <w:sz w:val="24"/>
        </w:rPr>
        <w:t>OR</w:t>
      </w:r>
      <w:r>
        <w:rPr>
          <w:sz w:val="24"/>
        </w:rPr>
        <w:t>: 1,31, KTC 95%: 1,25-1,38, p &lt;0,001), là con một (</w:t>
      </w:r>
      <w:r>
        <w:rPr>
          <w:sz w:val="24"/>
        </w:rPr>
        <w:t>OR</w:t>
      </w:r>
      <w:r>
        <w:rPr>
          <w:sz w:val="24"/>
        </w:rPr>
        <w:t>: 1,06, 95%</w:t>
      </w:r>
      <w:r>
        <w:rPr>
          <w:b/>
          <w:color w:val="CC0000"/>
          <w:sz w:val="24"/>
        </w:rPr>
        <w:t>CI</w:t>
      </w:r>
      <w:r>
        <w:rPr>
          <w:sz w:val="24"/>
        </w:rPr>
        <w:t>: 1,01-1,12, p = 0,025), sống ở thành thị (</w:t>
      </w:r>
      <w:r>
        <w:rPr>
          <w:sz w:val="24"/>
        </w:rPr>
        <w:t>OR</w:t>
      </w:r>
      <w:r>
        <w:rPr>
          <w:sz w:val="24"/>
        </w:rPr>
        <w:t>: 1,11; 95%</w:t>
      </w:r>
      <w:r>
        <w:rPr>
          <w:sz w:val="24"/>
        </w:rPr>
        <w:t>CI</w:t>
      </w:r>
      <w:r>
        <w:rPr>
          <w:sz w:val="24"/>
        </w:rPr>
        <w:t>: 1,06-1,17, p &lt;0,001), bắt nạt thể chất (</w:t>
      </w:r>
      <w:r>
        <w:rPr>
          <w:sz w:val="24"/>
        </w:rPr>
        <w:t>OR</w:t>
      </w:r>
      <w:r>
        <w:rPr>
          <w:sz w:val="24"/>
        </w:rPr>
        <w:t>: 1,51, KTC 95%: 1,44-1,59, p &lt;0,001), bắt nạt bằng lời nói (</w:t>
      </w:r>
      <w:r>
        <w:rPr>
          <w:sz w:val="24"/>
        </w:rPr>
        <w:t>OR</w:t>
      </w:r>
      <w:r>
        <w:rPr>
          <w:sz w:val="24"/>
        </w:rPr>
        <w:t>: 1,70, KTC 95%: 1,60-1,80, p &lt;0,001), thao túng xã hội (</w:t>
      </w:r>
      <w:r>
        <w:rPr>
          <w:sz w:val="24"/>
        </w:rPr>
        <w:t>OR</w:t>
      </w:r>
      <w:r>
        <w:rPr>
          <w:sz w:val="24"/>
        </w:rPr>
        <w:t>: 1,97, KTC 95%: 1,87-2,08, p &lt;0,001), tấn công tài sản (</w:t>
      </w:r>
      <w:r>
        <w:rPr>
          <w:sz w:val="24"/>
        </w:rPr>
        <w:t>OR</w:t>
      </w:r>
      <w:r>
        <w:rPr>
          <w:sz w:val="24"/>
        </w:rPr>
        <w:t>: 1,25, KTC 95%: 1,18-1,33, p &lt;0,001), rối loạn giấc ngủ (</w:t>
      </w:r>
      <w:r>
        <w:rPr>
          <w:sz w:val="24"/>
        </w:rPr>
        <w:t>OR</w:t>
      </w:r>
      <w:r>
        <w:rPr>
          <w:sz w:val="24"/>
        </w:rPr>
        <w:t xml:space="preserve">: 6,99, KTC 95%: 6,69-7,30, p &lt;0,001), và triệu chứng </w:t>
      </w:r>
      <w:r>
        <w:rPr>
          <w:sz w:val="24"/>
        </w:rPr>
        <w:t>IGD</w:t>
      </w:r>
      <w:r>
        <w:rPr>
          <w:sz w:val="24"/>
        </w:rPr>
        <w:t xml:space="preserve"> (</w:t>
      </w:r>
      <w:r>
        <w:rPr>
          <w:sz w:val="24"/>
        </w:rPr>
        <w:t>OR</w:t>
      </w:r>
      <w:r>
        <w:rPr>
          <w:sz w:val="24"/>
        </w:rPr>
        <w:t>: 5,00, KTC 95%: 4,42-5,66, p &lt;0,001) có liên quan độc lập với các vấn đề tâm thần.</w:t>
      </w:r>
    </w:p>
    <w:p>
      <w:r>
        <w:rPr>
          <w:b/>
          <w:color w:val="FF6600"/>
          <w:sz w:val="20"/>
        </w:rPr>
        <w:t>--- Trang 5/9, BMC Psychiatry, 23:580, tháng 8/2023 ---</w:t>
      </w:r>
    </w:p>
    <w:p>
      <w:r>
        <w:rPr>
          <w:b/>
          <w:sz w:val="24"/>
        </w:rPr>
        <w:t>Bảng 2: Phân tích đơn biến và đa biến các yếu tố ảnh hưởng đến căng thẳng tâm thần ở học sinh trung học (N=63.205)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06"/>
          </w:tcPr>
          <w:p>
            <w:r>
              <w:rPr>
                <w:b/>
              </w:rPr>
            </w:r>
            <w:r>
              <w:rPr>
                <w:rFonts w:ascii="Times New Roman" w:hAnsi="Times New Roman"/>
                <w:b/>
                <w:sz w:val="18"/>
              </w:rPr>
              <w:t>Biến</w:t>
            </w:r>
          </w:p>
        </w:tc>
        <w:tc>
          <w:tcPr>
            <w:tcW w:type="dxa" w:w="1336"/>
          </w:tcPr>
          <w:p>
            <w:r>
              <w:rPr>
                <w:b/>
              </w:rPr>
            </w:r>
            <w:r>
              <w:rPr>
                <w:rFonts w:ascii="Times New Roman" w:hAnsi="Times New Roman"/>
                <w:b/>
                <w:sz w:val="18"/>
              </w:rPr>
            </w:r>
          </w:p>
        </w:tc>
        <w:tc>
          <w:tcPr>
            <w:tcW w:type="dxa" w:w="1125"/>
          </w:tcPr>
          <w:p>
            <w:r>
              <w:rPr>
                <w:b/>
              </w:rPr>
            </w:r>
            <w:r>
              <w:rPr>
                <w:rFonts w:ascii="Times New Roman" w:hAnsi="Times New Roman"/>
                <w:b/>
                <w:sz w:val="18"/>
              </w:rPr>
              <w:t>Không căng thẳng</w:t>
            </w:r>
          </w:p>
        </w:tc>
        <w:tc>
          <w:tcPr>
            <w:tcW w:type="dxa" w:w="914"/>
          </w:tcPr>
          <w:p>
            <w:r>
              <w:rPr>
                <w:b/>
              </w:rPr>
            </w:r>
            <w:r>
              <w:rPr>
                <w:rFonts w:ascii="Times New Roman" w:hAnsi="Times New Roman"/>
                <w:b/>
                <w:sz w:val="18"/>
              </w:rPr>
              <w:t>Có căng thẳng</w:t>
            </w:r>
          </w:p>
        </w:tc>
        <w:tc>
          <w:tcPr>
            <w:tcW w:type="dxa" w:w="2180"/>
          </w:tcPr>
          <w:p>
            <w:r>
              <w:rPr>
                <w:b/>
              </w:rPr>
            </w:r>
            <w:r>
              <w:rPr>
                <w:rFonts w:ascii="Times New Roman" w:hAnsi="Times New Roman"/>
                <w:b/>
                <w:sz w:val="18"/>
              </w:rPr>
              <w:t>OR (đơn biến)</w:t>
            </w:r>
          </w:p>
        </w:tc>
        <w:tc>
          <w:tcPr>
            <w:tcW w:type="dxa" w:w="2110"/>
          </w:tcPr>
          <w:p>
            <w:r>
              <w:rPr>
                <w:b/>
              </w:rPr>
            </w:r>
            <w:r>
              <w:rPr>
                <w:rFonts w:ascii="Times New Roman" w:hAnsi="Times New Roman"/>
                <w:b/>
                <w:sz w:val="18"/>
              </w:rPr>
              <w:t>OR (đa biến)</w:t>
            </w:r>
          </w:p>
        </w:tc>
      </w:tr>
      <w:tr>
        <w:tc>
          <w:tcPr>
            <w:tcW w:type="dxa" w:w="1406"/>
          </w:tcPr>
          <w:p>
            <w:r/>
            <w:r>
              <w:rPr>
                <w:rFonts w:ascii="Times New Roman" w:hAnsi="Times New Roman"/>
                <w:sz w:val="18"/>
              </w:rPr>
              <w:t>Giới tính</w:t>
            </w:r>
          </w:p>
        </w:tc>
        <w:tc>
          <w:tcPr>
            <w:tcW w:type="dxa" w:w="1336"/>
          </w:tcPr>
          <w:p>
            <w:r/>
            <w:r>
              <w:rPr>
                <w:rFonts w:ascii="Times New Roman" w:hAnsi="Times New Roman"/>
                <w:sz w:val="18"/>
              </w:rPr>
              <w:t>Nam</w:t>
            </w:r>
          </w:p>
        </w:tc>
        <w:tc>
          <w:tcPr>
            <w:tcW w:type="dxa" w:w="1125"/>
          </w:tcPr>
          <w:p>
            <w:r/>
            <w:r>
              <w:rPr>
                <w:rFonts w:ascii="Times New Roman" w:hAnsi="Times New Roman"/>
                <w:sz w:val="18"/>
              </w:rPr>
              <w:t>24.431 (78,3)</w:t>
            </w:r>
          </w:p>
        </w:tc>
        <w:tc>
          <w:tcPr>
            <w:tcW w:type="dxa" w:w="914"/>
          </w:tcPr>
          <w:p>
            <w:r/>
            <w:r>
              <w:rPr>
                <w:rFonts w:ascii="Times New Roman" w:hAnsi="Times New Roman"/>
                <w:sz w:val="18"/>
              </w:rPr>
              <w:t>6767 (21,7)</w:t>
            </w:r>
          </w:p>
        </w:tc>
        <w:tc>
          <w:tcPr>
            <w:tcW w:type="dxa" w:w="2180"/>
          </w:tcPr>
          <w:p>
            <w:r/>
            <w:r>
              <w:rPr>
                <w:rFonts w:ascii="Times New Roman" w:hAnsi="Times New Roman"/>
                <w:sz w:val="18"/>
              </w:rPr>
              <w:t>-</w:t>
            </w:r>
          </w:p>
        </w:tc>
        <w:tc>
          <w:tcPr>
            <w:tcW w:type="dxa" w:w="2110"/>
          </w:tcPr>
          <w:p>
            <w:r/>
            <w:r>
              <w:rPr>
                <w:rFonts w:ascii="Times New Roman" w:hAnsi="Times New Roman"/>
                <w:sz w:val="18"/>
              </w:rPr>
              <w:t>-</w:t>
            </w:r>
          </w:p>
        </w:tc>
      </w:tr>
      <w:tr>
        <w:tc>
          <w:tcPr>
            <w:tcW w:type="dxa" w:w="1406"/>
          </w:tcPr>
          <w:p>
            <w:r/>
            <w:r>
              <w:rPr>
                <w:rFonts w:ascii="Times New Roman" w:hAnsi="Times New Roman"/>
                <w:sz w:val="18"/>
              </w:rPr>
            </w:r>
          </w:p>
        </w:tc>
        <w:tc>
          <w:tcPr>
            <w:tcW w:type="dxa" w:w="1336"/>
          </w:tcPr>
          <w:p>
            <w:r/>
            <w:r>
              <w:rPr>
                <w:rFonts w:ascii="Times New Roman" w:hAnsi="Times New Roman"/>
                <w:sz w:val="18"/>
              </w:rPr>
              <w:t>Nữ</w:t>
            </w:r>
          </w:p>
        </w:tc>
        <w:tc>
          <w:tcPr>
            <w:tcW w:type="dxa" w:w="1125"/>
          </w:tcPr>
          <w:p>
            <w:r/>
            <w:r>
              <w:rPr>
                <w:rFonts w:ascii="Times New Roman" w:hAnsi="Times New Roman"/>
                <w:sz w:val="18"/>
              </w:rPr>
              <w:t>22.676 (70,8)</w:t>
            </w:r>
          </w:p>
        </w:tc>
        <w:tc>
          <w:tcPr>
            <w:tcW w:type="dxa" w:w="914"/>
          </w:tcPr>
          <w:p>
            <w:r/>
            <w:r>
              <w:rPr>
                <w:rFonts w:ascii="Times New Roman" w:hAnsi="Times New Roman"/>
                <w:sz w:val="18"/>
              </w:rPr>
              <w:t>9331 (29,2)</w:t>
            </w:r>
          </w:p>
        </w:tc>
        <w:tc>
          <w:tcPr>
            <w:tcW w:type="dxa" w:w="2180"/>
          </w:tcPr>
          <w:p>
            <w:r/>
            <w:r>
              <w:rPr>
                <w:rFonts w:ascii="Times New Roman" w:hAnsi="Times New Roman"/>
                <w:b/>
                <w:sz w:val="18"/>
              </w:rPr>
              <w:t>1,49 (1,43–1,54, p &lt;0,001)</w:t>
            </w:r>
          </w:p>
        </w:tc>
        <w:tc>
          <w:tcPr>
            <w:tcW w:type="dxa" w:w="2110"/>
          </w:tcPr>
          <w:p>
            <w:r/>
            <w:r>
              <w:rPr>
                <w:rFonts w:ascii="Times New Roman" w:hAnsi="Times New Roman"/>
                <w:b/>
                <w:sz w:val="18"/>
              </w:rPr>
              <w:t>1,55 (1,49–1,62, p &lt;0,001)</w:t>
            </w:r>
          </w:p>
        </w:tc>
      </w:tr>
      <w:tr>
        <w:tc>
          <w:tcPr>
            <w:tcW w:type="dxa" w:w="1406"/>
          </w:tcPr>
          <w:p>
            <w:r/>
            <w:r>
              <w:rPr>
                <w:rFonts w:ascii="Times New Roman" w:hAnsi="Times New Roman"/>
                <w:sz w:val="18"/>
              </w:rPr>
              <w:t>Trường</w:t>
            </w:r>
          </w:p>
        </w:tc>
        <w:tc>
          <w:tcPr>
            <w:tcW w:type="dxa" w:w="1336"/>
          </w:tcPr>
          <w:p>
            <w:r/>
            <w:r>
              <w:rPr>
                <w:rFonts w:ascii="Times New Roman" w:hAnsi="Times New Roman"/>
                <w:sz w:val="18"/>
              </w:rPr>
              <w:t>Trung học cơ sở</w:t>
            </w:r>
          </w:p>
        </w:tc>
        <w:tc>
          <w:tcPr>
            <w:tcW w:type="dxa" w:w="1125"/>
          </w:tcPr>
          <w:p>
            <w:r/>
            <w:r>
              <w:rPr>
                <w:rFonts w:ascii="Times New Roman" w:hAnsi="Times New Roman"/>
                <w:sz w:val="18"/>
              </w:rPr>
              <w:t>32.463 (74,8)</w:t>
            </w:r>
          </w:p>
        </w:tc>
        <w:tc>
          <w:tcPr>
            <w:tcW w:type="dxa" w:w="914"/>
          </w:tcPr>
          <w:p>
            <w:r/>
            <w:r>
              <w:rPr>
                <w:rFonts w:ascii="Times New Roman" w:hAnsi="Times New Roman"/>
                <w:sz w:val="18"/>
              </w:rPr>
              <w:t>10.910 (25,2)</w:t>
            </w:r>
          </w:p>
        </w:tc>
        <w:tc>
          <w:tcPr>
            <w:tcW w:type="dxa" w:w="2180"/>
          </w:tcPr>
          <w:p>
            <w:r/>
            <w:r>
              <w:rPr>
                <w:rFonts w:ascii="Times New Roman" w:hAnsi="Times New Roman"/>
                <w:sz w:val="18"/>
              </w:rPr>
              <w:t>-</w:t>
            </w:r>
          </w:p>
        </w:tc>
        <w:tc>
          <w:tcPr>
            <w:tcW w:type="dxa" w:w="2110"/>
          </w:tcPr>
          <w:p>
            <w:r/>
            <w:r>
              <w:rPr>
                <w:rFonts w:ascii="Times New Roman" w:hAnsi="Times New Roman"/>
                <w:sz w:val="18"/>
              </w:rPr>
              <w:t>-</w:t>
            </w:r>
          </w:p>
        </w:tc>
      </w:tr>
      <w:tr>
        <w:tc>
          <w:tcPr>
            <w:tcW w:type="dxa" w:w="1406"/>
          </w:tcPr>
          <w:p>
            <w:r/>
            <w:r>
              <w:rPr>
                <w:rFonts w:ascii="Times New Roman" w:hAnsi="Times New Roman"/>
                <w:sz w:val="18"/>
              </w:rPr>
            </w:r>
          </w:p>
        </w:tc>
        <w:tc>
          <w:tcPr>
            <w:tcW w:type="dxa" w:w="1336"/>
          </w:tcPr>
          <w:p>
            <w:r/>
            <w:r>
              <w:rPr>
                <w:rFonts w:ascii="Times New Roman" w:hAnsi="Times New Roman"/>
                <w:sz w:val="18"/>
              </w:rPr>
              <w:t>Trung học phổ thông</w:t>
            </w:r>
          </w:p>
        </w:tc>
        <w:tc>
          <w:tcPr>
            <w:tcW w:type="dxa" w:w="1125"/>
          </w:tcPr>
          <w:p>
            <w:r/>
            <w:r>
              <w:rPr>
                <w:rFonts w:ascii="Times New Roman" w:hAnsi="Times New Roman"/>
                <w:sz w:val="18"/>
              </w:rPr>
              <w:t>14.644 (73,8)</w:t>
            </w:r>
          </w:p>
        </w:tc>
        <w:tc>
          <w:tcPr>
            <w:tcW w:type="dxa" w:w="914"/>
          </w:tcPr>
          <w:p>
            <w:r/>
            <w:r>
              <w:rPr>
                <w:rFonts w:ascii="Times New Roman" w:hAnsi="Times New Roman"/>
                <w:sz w:val="18"/>
              </w:rPr>
              <w:t>5188 (26,2)</w:t>
            </w:r>
          </w:p>
        </w:tc>
        <w:tc>
          <w:tcPr>
            <w:tcW w:type="dxa" w:w="2180"/>
          </w:tcPr>
          <w:p>
            <w:r/>
            <w:r>
              <w:rPr>
                <w:rFonts w:ascii="Times New Roman" w:hAnsi="Times New Roman"/>
                <w:sz w:val="18"/>
              </w:rPr>
              <w:t>1,05 (1,01–1,10, p=0,007)</w:t>
            </w:r>
          </w:p>
        </w:tc>
        <w:tc>
          <w:tcPr>
            <w:tcW w:type="dxa" w:w="2110"/>
          </w:tcPr>
          <w:p>
            <w:r/>
            <w:r>
              <w:rPr>
                <w:rFonts w:ascii="Times New Roman" w:hAnsi="Times New Roman"/>
                <w:sz w:val="18"/>
              </w:rPr>
              <w:t>-</w:t>
            </w:r>
          </w:p>
        </w:tc>
      </w:tr>
      <w:tr>
        <w:tc>
          <w:tcPr>
            <w:tcW w:type="dxa" w:w="1406"/>
          </w:tcPr>
          <w:p>
            <w:r/>
            <w:r>
              <w:rPr>
                <w:rFonts w:ascii="Times New Roman" w:hAnsi="Times New Roman"/>
                <w:sz w:val="18"/>
              </w:rPr>
              <w:t>Tuổi</w:t>
            </w:r>
          </w:p>
        </w:tc>
        <w:tc>
          <w:tcPr>
            <w:tcW w:type="dxa" w:w="1336"/>
          </w:tcPr>
          <w:p>
            <w:r/>
            <w:r>
              <w:rPr>
                <w:rFonts w:ascii="Times New Roman" w:hAnsi="Times New Roman"/>
                <w:sz w:val="18"/>
              </w:rPr>
              <w:t>Trung bình (SD)</w:t>
            </w:r>
          </w:p>
        </w:tc>
        <w:tc>
          <w:tcPr>
            <w:tcW w:type="dxa" w:w="1125"/>
          </w:tcPr>
          <w:p>
            <w:r/>
            <w:r>
              <w:rPr>
                <w:rFonts w:ascii="Times New Roman" w:hAnsi="Times New Roman"/>
                <w:sz w:val="18"/>
              </w:rPr>
              <w:t>14,3 (1,7)</w:t>
            </w:r>
          </w:p>
        </w:tc>
        <w:tc>
          <w:tcPr>
            <w:tcW w:type="dxa" w:w="914"/>
          </w:tcPr>
          <w:p>
            <w:r/>
            <w:r>
              <w:rPr>
                <w:rFonts w:ascii="Times New Roman" w:hAnsi="Times New Roman"/>
                <w:sz w:val="18"/>
              </w:rPr>
              <w:t>14,4 (1,6)</w:t>
            </w:r>
          </w:p>
        </w:tc>
        <w:tc>
          <w:tcPr>
            <w:tcW w:type="dxa" w:w="2180"/>
          </w:tcPr>
          <w:p>
            <w:r/>
            <w:r>
              <w:rPr>
                <w:rFonts w:ascii="Times New Roman" w:hAnsi="Times New Roman"/>
                <w:b/>
                <w:sz w:val="18"/>
              </w:rPr>
              <w:t>1,02 (1,01–1,03, p &lt;0,001)</w:t>
            </w:r>
          </w:p>
        </w:tc>
        <w:tc>
          <w:tcPr>
            <w:tcW w:type="dxa" w:w="2110"/>
          </w:tcPr>
          <w:p>
            <w:r/>
            <w:r>
              <w:rPr>
                <w:rFonts w:ascii="Times New Roman" w:hAnsi="Times New Roman"/>
                <w:sz w:val="18"/>
              </w:rPr>
              <w:t>0,99 (0,98-1,00, p=0,148)</w:t>
            </w:r>
          </w:p>
        </w:tc>
      </w:tr>
      <w:tr>
        <w:tc>
          <w:tcPr>
            <w:tcW w:type="dxa" w:w="1406"/>
          </w:tcPr>
          <w:p>
            <w:r/>
            <w:r>
              <w:rPr>
                <w:rFonts w:ascii="Times New Roman" w:hAnsi="Times New Roman"/>
                <w:sz w:val="18"/>
              </w:rPr>
              <w:t>Nơi cư trú</w:t>
            </w:r>
          </w:p>
        </w:tc>
        <w:tc>
          <w:tcPr>
            <w:tcW w:type="dxa" w:w="1336"/>
          </w:tcPr>
          <w:p>
            <w:r/>
            <w:r>
              <w:rPr>
                <w:rFonts w:ascii="Times New Roman" w:hAnsi="Times New Roman"/>
                <w:sz w:val="18"/>
              </w:rPr>
              <w:t>Nông thôn</w:t>
            </w:r>
          </w:p>
        </w:tc>
        <w:tc>
          <w:tcPr>
            <w:tcW w:type="dxa" w:w="1125"/>
          </w:tcPr>
          <w:p>
            <w:r/>
            <w:r>
              <w:rPr>
                <w:rFonts w:ascii="Times New Roman" w:hAnsi="Times New Roman"/>
                <w:sz w:val="18"/>
              </w:rPr>
              <w:t>31.640 (75,2)</w:t>
            </w:r>
          </w:p>
        </w:tc>
        <w:tc>
          <w:tcPr>
            <w:tcW w:type="dxa" w:w="914"/>
          </w:tcPr>
          <w:p>
            <w:r/>
            <w:r>
              <w:rPr>
                <w:rFonts w:ascii="Times New Roman" w:hAnsi="Times New Roman"/>
                <w:sz w:val="18"/>
              </w:rPr>
              <w:t>10.419 (24,8)</w:t>
            </w:r>
          </w:p>
        </w:tc>
        <w:tc>
          <w:tcPr>
            <w:tcW w:type="dxa" w:w="2180"/>
          </w:tcPr>
          <w:p>
            <w:r/>
            <w:r>
              <w:rPr>
                <w:rFonts w:ascii="Times New Roman" w:hAnsi="Times New Roman"/>
                <w:sz w:val="18"/>
              </w:rPr>
              <w:t>-</w:t>
            </w:r>
          </w:p>
        </w:tc>
        <w:tc>
          <w:tcPr>
            <w:tcW w:type="dxa" w:w="2110"/>
          </w:tcPr>
          <w:p>
            <w:r/>
            <w:r>
              <w:rPr>
                <w:rFonts w:ascii="Times New Roman" w:hAnsi="Times New Roman"/>
                <w:sz w:val="18"/>
              </w:rPr>
              <w:t>-</w:t>
            </w:r>
          </w:p>
        </w:tc>
      </w:tr>
      <w:tr>
        <w:tc>
          <w:tcPr>
            <w:tcW w:type="dxa" w:w="1406"/>
          </w:tcPr>
          <w:p>
            <w:r/>
            <w:r>
              <w:rPr>
                <w:rFonts w:ascii="Times New Roman" w:hAnsi="Times New Roman"/>
                <w:sz w:val="18"/>
              </w:rPr>
            </w:r>
          </w:p>
        </w:tc>
        <w:tc>
          <w:tcPr>
            <w:tcW w:type="dxa" w:w="1336"/>
          </w:tcPr>
          <w:p>
            <w:r/>
            <w:r>
              <w:rPr>
                <w:rFonts w:ascii="Times New Roman" w:hAnsi="Times New Roman"/>
                <w:sz w:val="18"/>
              </w:rPr>
              <w:t>Thành thị</w:t>
            </w:r>
          </w:p>
        </w:tc>
        <w:tc>
          <w:tcPr>
            <w:tcW w:type="dxa" w:w="1125"/>
          </w:tcPr>
          <w:p>
            <w:r/>
            <w:r>
              <w:rPr>
                <w:rFonts w:ascii="Times New Roman" w:hAnsi="Times New Roman"/>
                <w:sz w:val="18"/>
              </w:rPr>
              <w:t>15.467 (73,1)</w:t>
            </w:r>
          </w:p>
        </w:tc>
        <w:tc>
          <w:tcPr>
            <w:tcW w:type="dxa" w:w="914"/>
          </w:tcPr>
          <w:p>
            <w:r/>
            <w:r>
              <w:rPr>
                <w:rFonts w:ascii="Times New Roman" w:hAnsi="Times New Roman"/>
                <w:sz w:val="18"/>
              </w:rPr>
              <w:t>5679 (26,9)</w:t>
            </w:r>
          </w:p>
        </w:tc>
        <w:tc>
          <w:tcPr>
            <w:tcW w:type="dxa" w:w="2180"/>
          </w:tcPr>
          <w:p>
            <w:r/>
            <w:r>
              <w:rPr>
                <w:rFonts w:ascii="Times New Roman" w:hAnsi="Times New Roman"/>
                <w:b/>
                <w:sz w:val="18"/>
              </w:rPr>
              <w:t>1,12 (1,07–1,16, p &lt;0,001)</w:t>
            </w:r>
          </w:p>
        </w:tc>
        <w:tc>
          <w:tcPr>
            <w:tcW w:type="dxa" w:w="2110"/>
          </w:tcPr>
          <w:p>
            <w:r/>
            <w:r>
              <w:rPr>
                <w:rFonts w:ascii="Times New Roman" w:hAnsi="Times New Roman"/>
                <w:b/>
                <w:sz w:val="18"/>
              </w:rPr>
              <w:t>1,11 (1,06–1,17, p &lt;0,001)</w:t>
            </w:r>
          </w:p>
        </w:tc>
      </w:tr>
      <w:tr>
        <w:tc>
          <w:tcPr>
            <w:tcW w:type="dxa" w:w="1406"/>
          </w:tcPr>
          <w:p>
            <w:r/>
            <w:r>
              <w:rPr>
                <w:rFonts w:ascii="Times New Roman" w:hAnsi="Times New Roman"/>
                <w:sz w:val="18"/>
              </w:rPr>
              <w:t>Con một</w:t>
            </w:r>
          </w:p>
        </w:tc>
        <w:tc>
          <w:tcPr>
            <w:tcW w:type="dxa" w:w="1336"/>
          </w:tcPr>
          <w:p>
            <w:r/>
            <w:r>
              <w:rPr>
                <w:rFonts w:ascii="Times New Roman" w:hAnsi="Times New Roman"/>
                <w:sz w:val="18"/>
              </w:rPr>
              <w:t>Không</w:t>
            </w:r>
          </w:p>
        </w:tc>
        <w:tc>
          <w:tcPr>
            <w:tcW w:type="dxa" w:w="1125"/>
          </w:tcPr>
          <w:p>
            <w:r/>
            <w:r>
              <w:rPr>
                <w:rFonts w:ascii="Times New Roman" w:hAnsi="Times New Roman"/>
                <w:sz w:val="18"/>
              </w:rPr>
              <w:t>36.975 (75,0)</w:t>
            </w:r>
          </w:p>
        </w:tc>
        <w:tc>
          <w:tcPr>
            <w:tcW w:type="dxa" w:w="914"/>
          </w:tcPr>
          <w:p>
            <w:r/>
            <w:r>
              <w:rPr>
                <w:rFonts w:ascii="Times New Roman" w:hAnsi="Times New Roman"/>
                <w:sz w:val="18"/>
              </w:rPr>
              <w:t>12.326 (25,0)</w:t>
            </w:r>
          </w:p>
        </w:tc>
        <w:tc>
          <w:tcPr>
            <w:tcW w:type="dxa" w:w="2180"/>
          </w:tcPr>
          <w:p>
            <w:r/>
            <w:r>
              <w:rPr>
                <w:rFonts w:ascii="Times New Roman" w:hAnsi="Times New Roman"/>
                <w:sz w:val="18"/>
              </w:rPr>
              <w:t>-</w:t>
            </w:r>
          </w:p>
        </w:tc>
        <w:tc>
          <w:tcPr>
            <w:tcW w:type="dxa" w:w="2110"/>
          </w:tcPr>
          <w:p>
            <w:r/>
            <w:r>
              <w:rPr>
                <w:rFonts w:ascii="Times New Roman" w:hAnsi="Times New Roman"/>
                <w:sz w:val="18"/>
              </w:rPr>
              <w:t>-</w:t>
            </w:r>
          </w:p>
        </w:tc>
      </w:tr>
      <w:tr>
        <w:tc>
          <w:tcPr>
            <w:tcW w:type="dxa" w:w="1406"/>
          </w:tcPr>
          <w:p>
            <w:r/>
            <w:r>
              <w:rPr>
                <w:rFonts w:ascii="Times New Roman" w:hAnsi="Times New Roman"/>
                <w:sz w:val="18"/>
              </w:rPr>
            </w:r>
          </w:p>
        </w:tc>
        <w:tc>
          <w:tcPr>
            <w:tcW w:type="dxa" w:w="1336"/>
          </w:tcPr>
          <w:p>
            <w:r/>
            <w:r>
              <w:rPr>
                <w:rFonts w:ascii="Times New Roman" w:hAnsi="Times New Roman"/>
                <w:sz w:val="18"/>
              </w:rPr>
              <w:t>Có</w:t>
            </w:r>
          </w:p>
        </w:tc>
        <w:tc>
          <w:tcPr>
            <w:tcW w:type="dxa" w:w="1125"/>
          </w:tcPr>
          <w:p>
            <w:r/>
            <w:r>
              <w:rPr>
                <w:rFonts w:ascii="Times New Roman" w:hAnsi="Times New Roman"/>
                <w:sz w:val="18"/>
              </w:rPr>
              <w:t>10.132 (72,9)</w:t>
            </w:r>
          </w:p>
        </w:tc>
        <w:tc>
          <w:tcPr>
            <w:tcW w:type="dxa" w:w="914"/>
          </w:tcPr>
          <w:p>
            <w:r/>
            <w:r>
              <w:rPr>
                <w:rFonts w:ascii="Times New Roman" w:hAnsi="Times New Roman"/>
                <w:sz w:val="18"/>
              </w:rPr>
              <w:t>3772 (27,1)</w:t>
            </w:r>
          </w:p>
        </w:tc>
        <w:tc>
          <w:tcPr>
            <w:tcW w:type="dxa" w:w="2180"/>
          </w:tcPr>
          <w:p>
            <w:r/>
            <w:r>
              <w:rPr>
                <w:rFonts w:ascii="Times New Roman" w:hAnsi="Times New Roman"/>
                <w:b/>
                <w:sz w:val="18"/>
              </w:rPr>
              <w:t>1,12 (1,07–1,17, p &lt;0,001)</w:t>
            </w:r>
          </w:p>
        </w:tc>
        <w:tc>
          <w:tcPr>
            <w:tcW w:type="dxa" w:w="2110"/>
          </w:tcPr>
          <w:p>
            <w:r/>
            <w:r>
              <w:rPr>
                <w:rFonts w:ascii="Times New Roman" w:hAnsi="Times New Roman"/>
                <w:b/>
                <w:sz w:val="18"/>
              </w:rPr>
              <w:t>1,06 (1,01–1,12, p=0,025)</w:t>
            </w:r>
          </w:p>
        </w:tc>
      </w:tr>
      <w:tr>
        <w:tc>
          <w:tcPr>
            <w:tcW w:type="dxa" w:w="1406"/>
          </w:tcPr>
          <w:p>
            <w:r/>
            <w:r>
              <w:rPr>
                <w:rFonts w:ascii="Times New Roman" w:hAnsi="Times New Roman"/>
                <w:sz w:val="18"/>
              </w:rPr>
              <w:t>Trẻ bị bỏ lại</w:t>
            </w:r>
          </w:p>
        </w:tc>
        <w:tc>
          <w:tcPr>
            <w:tcW w:type="dxa" w:w="1336"/>
          </w:tcPr>
          <w:p>
            <w:r/>
            <w:r>
              <w:rPr>
                <w:rFonts w:ascii="Times New Roman" w:hAnsi="Times New Roman"/>
                <w:sz w:val="18"/>
              </w:rPr>
              <w:t>Không</w:t>
            </w:r>
          </w:p>
        </w:tc>
        <w:tc>
          <w:tcPr>
            <w:tcW w:type="dxa" w:w="1125"/>
          </w:tcPr>
          <w:p>
            <w:r/>
            <w:r>
              <w:rPr>
                <w:rFonts w:ascii="Times New Roman" w:hAnsi="Times New Roman"/>
                <w:sz w:val="18"/>
              </w:rPr>
              <w:t>30.741 (75,0)</w:t>
            </w:r>
          </w:p>
        </w:tc>
        <w:tc>
          <w:tcPr>
            <w:tcW w:type="dxa" w:w="914"/>
          </w:tcPr>
          <w:p>
            <w:r/>
            <w:r>
              <w:rPr>
                <w:rFonts w:ascii="Times New Roman" w:hAnsi="Times New Roman"/>
                <w:sz w:val="18"/>
              </w:rPr>
              <w:t>10.262 (25,0)</w:t>
            </w:r>
          </w:p>
        </w:tc>
        <w:tc>
          <w:tcPr>
            <w:tcW w:type="dxa" w:w="2180"/>
          </w:tcPr>
          <w:p>
            <w:r/>
            <w:r>
              <w:rPr>
                <w:rFonts w:ascii="Times New Roman" w:hAnsi="Times New Roman"/>
                <w:sz w:val="18"/>
              </w:rPr>
              <w:t>-</w:t>
            </w:r>
          </w:p>
        </w:tc>
        <w:tc>
          <w:tcPr>
            <w:tcW w:type="dxa" w:w="2110"/>
          </w:tcPr>
          <w:p>
            <w:r/>
            <w:r>
              <w:rPr>
                <w:rFonts w:ascii="Times New Roman" w:hAnsi="Times New Roman"/>
                <w:sz w:val="18"/>
              </w:rPr>
              <w:t>-</w:t>
            </w:r>
          </w:p>
        </w:tc>
      </w:tr>
      <w:tr>
        <w:tc>
          <w:tcPr>
            <w:tcW w:type="dxa" w:w="1406"/>
          </w:tcPr>
          <w:p>
            <w:r/>
            <w:r>
              <w:rPr>
                <w:rFonts w:ascii="Times New Roman" w:hAnsi="Times New Roman"/>
                <w:sz w:val="18"/>
              </w:rPr>
            </w:r>
          </w:p>
        </w:tc>
        <w:tc>
          <w:tcPr>
            <w:tcW w:type="dxa" w:w="1336"/>
          </w:tcPr>
          <w:p>
            <w:r/>
            <w:r>
              <w:rPr>
                <w:rFonts w:ascii="Times New Roman" w:hAnsi="Times New Roman"/>
                <w:sz w:val="18"/>
              </w:rPr>
              <w:t>Có</w:t>
            </w:r>
          </w:p>
        </w:tc>
        <w:tc>
          <w:tcPr>
            <w:tcW w:type="dxa" w:w="1125"/>
          </w:tcPr>
          <w:p>
            <w:r/>
            <w:r>
              <w:rPr>
                <w:rFonts w:ascii="Times New Roman" w:hAnsi="Times New Roman"/>
                <w:sz w:val="18"/>
              </w:rPr>
              <w:t>16.366 (73,7)</w:t>
            </w:r>
          </w:p>
        </w:tc>
        <w:tc>
          <w:tcPr>
            <w:tcW w:type="dxa" w:w="914"/>
          </w:tcPr>
          <w:p>
            <w:r/>
            <w:r>
              <w:rPr>
                <w:rFonts w:ascii="Times New Roman" w:hAnsi="Times New Roman"/>
                <w:sz w:val="18"/>
              </w:rPr>
              <w:t>5836 (26,3)</w:t>
            </w:r>
          </w:p>
        </w:tc>
        <w:tc>
          <w:tcPr>
            <w:tcW w:type="dxa" w:w="2180"/>
          </w:tcPr>
          <w:p>
            <w:r/>
            <w:r>
              <w:rPr>
                <w:rFonts w:ascii="Times New Roman" w:hAnsi="Times New Roman"/>
                <w:b/>
                <w:sz w:val="18"/>
              </w:rPr>
              <w:t>1,07 (1,03–1,11, p=0,001)</w:t>
            </w:r>
          </w:p>
        </w:tc>
        <w:tc>
          <w:tcPr>
            <w:tcW w:type="dxa" w:w="2110"/>
          </w:tcPr>
          <w:p>
            <w:r/>
            <w:r>
              <w:rPr>
                <w:rFonts w:ascii="Times New Roman" w:hAnsi="Times New Roman"/>
                <w:sz w:val="18"/>
              </w:rPr>
              <w:t>1,02 (0,97–1,07, p=0,457)</w:t>
            </w:r>
          </w:p>
        </w:tc>
      </w:tr>
      <w:tr>
        <w:tc>
          <w:tcPr>
            <w:tcW w:type="dxa" w:w="1406"/>
          </w:tcPr>
          <w:p>
            <w:r/>
            <w:r>
              <w:rPr>
                <w:rFonts w:ascii="Times New Roman" w:hAnsi="Times New Roman"/>
                <w:sz w:val="18"/>
              </w:rPr>
              <w:t>Loại hình gia đình</w:t>
            </w:r>
          </w:p>
        </w:tc>
        <w:tc>
          <w:tcPr>
            <w:tcW w:type="dxa" w:w="1336"/>
          </w:tcPr>
          <w:p>
            <w:r/>
            <w:r>
              <w:rPr>
                <w:rFonts w:ascii="Times New Roman" w:hAnsi="Times New Roman"/>
                <w:sz w:val="18"/>
              </w:rPr>
              <w:t>Hạt nhân</w:t>
            </w:r>
          </w:p>
        </w:tc>
        <w:tc>
          <w:tcPr>
            <w:tcW w:type="dxa" w:w="1125"/>
          </w:tcPr>
          <w:p>
            <w:r/>
            <w:r>
              <w:rPr>
                <w:rFonts w:ascii="Times New Roman" w:hAnsi="Times New Roman"/>
                <w:sz w:val="18"/>
              </w:rPr>
              <w:t>38.425 (76,2)</w:t>
            </w:r>
          </w:p>
        </w:tc>
        <w:tc>
          <w:tcPr>
            <w:tcW w:type="dxa" w:w="914"/>
          </w:tcPr>
          <w:p>
            <w:r/>
            <w:r>
              <w:rPr>
                <w:rFonts w:ascii="Times New Roman" w:hAnsi="Times New Roman"/>
                <w:sz w:val="18"/>
              </w:rPr>
              <w:t>11.989 (23,8)</w:t>
            </w:r>
          </w:p>
        </w:tc>
        <w:tc>
          <w:tcPr>
            <w:tcW w:type="dxa" w:w="2180"/>
          </w:tcPr>
          <w:p>
            <w:r/>
            <w:r>
              <w:rPr>
                <w:rFonts w:ascii="Times New Roman" w:hAnsi="Times New Roman"/>
                <w:sz w:val="18"/>
              </w:rPr>
              <w:t>-</w:t>
            </w:r>
          </w:p>
        </w:tc>
        <w:tc>
          <w:tcPr>
            <w:tcW w:type="dxa" w:w="2110"/>
          </w:tcPr>
          <w:p>
            <w:r/>
            <w:r>
              <w:rPr>
                <w:rFonts w:ascii="Times New Roman" w:hAnsi="Times New Roman"/>
                <w:sz w:val="18"/>
              </w:rPr>
              <w:t>-</w:t>
            </w:r>
          </w:p>
        </w:tc>
      </w:tr>
      <w:tr>
        <w:tc>
          <w:tcPr>
            <w:tcW w:type="dxa" w:w="1406"/>
          </w:tcPr>
          <w:p>
            <w:r/>
            <w:r>
              <w:rPr>
                <w:rFonts w:ascii="Times New Roman" w:hAnsi="Times New Roman"/>
                <w:sz w:val="18"/>
              </w:rPr>
            </w:r>
          </w:p>
        </w:tc>
        <w:tc>
          <w:tcPr>
            <w:tcW w:type="dxa" w:w="1336"/>
          </w:tcPr>
          <w:p>
            <w:r/>
            <w:r>
              <w:rPr>
                <w:rFonts w:ascii="Times New Roman" w:hAnsi="Times New Roman"/>
                <w:sz w:val="18"/>
              </w:rPr>
              <w:t>Không hạt nhân</w:t>
            </w:r>
          </w:p>
        </w:tc>
        <w:tc>
          <w:tcPr>
            <w:tcW w:type="dxa" w:w="1125"/>
          </w:tcPr>
          <w:p>
            <w:r/>
            <w:r>
              <w:rPr>
                <w:rFonts w:ascii="Times New Roman" w:hAnsi="Times New Roman"/>
                <w:sz w:val="18"/>
              </w:rPr>
              <w:t>8682 (67,9)</w:t>
            </w:r>
          </w:p>
        </w:tc>
        <w:tc>
          <w:tcPr>
            <w:tcW w:type="dxa" w:w="914"/>
          </w:tcPr>
          <w:p>
            <w:r/>
            <w:r>
              <w:rPr>
                <w:rFonts w:ascii="Times New Roman" w:hAnsi="Times New Roman"/>
                <w:sz w:val="18"/>
              </w:rPr>
              <w:t>4109 (32,1)</w:t>
            </w:r>
          </w:p>
        </w:tc>
        <w:tc>
          <w:tcPr>
            <w:tcW w:type="dxa" w:w="2180"/>
          </w:tcPr>
          <w:p>
            <w:r/>
            <w:r>
              <w:rPr>
                <w:rFonts w:ascii="Times New Roman" w:hAnsi="Times New Roman"/>
                <w:b/>
                <w:sz w:val="18"/>
              </w:rPr>
              <w:t>1,52 (1,45–1,58, p &lt;0,001)</w:t>
            </w:r>
          </w:p>
        </w:tc>
        <w:tc>
          <w:tcPr>
            <w:tcW w:type="dxa" w:w="2110"/>
          </w:tcPr>
          <w:p>
            <w:r/>
            <w:r>
              <w:rPr>
                <w:rFonts w:ascii="Times New Roman" w:hAnsi="Times New Roman"/>
                <w:b/>
                <w:sz w:val="18"/>
              </w:rPr>
              <w:t>1,31 (1,25–1,38, p &lt;0,001)</w:t>
            </w:r>
          </w:p>
        </w:tc>
      </w:tr>
      <w:tr>
        <w:tc>
          <w:tcPr>
            <w:tcW w:type="dxa" w:w="1406"/>
          </w:tcPr>
          <w:p>
            <w:r/>
            <w:r>
              <w:rPr>
                <w:rFonts w:ascii="Times New Roman" w:hAnsi="Times New Roman"/>
                <w:sz w:val="18"/>
              </w:rPr>
              <w:t>IGD</w:t>
            </w:r>
          </w:p>
        </w:tc>
        <w:tc>
          <w:tcPr>
            <w:tcW w:type="dxa" w:w="1336"/>
          </w:tcPr>
          <w:p>
            <w:r/>
            <w:r>
              <w:rPr>
                <w:rFonts w:ascii="Times New Roman" w:hAnsi="Times New Roman"/>
                <w:sz w:val="18"/>
              </w:rPr>
              <w:t>Không</w:t>
            </w:r>
          </w:p>
        </w:tc>
        <w:tc>
          <w:tcPr>
            <w:tcW w:type="dxa" w:w="1125"/>
          </w:tcPr>
          <w:p>
            <w:r/>
            <w:r>
              <w:rPr>
                <w:rFonts w:ascii="Times New Roman" w:hAnsi="Times New Roman"/>
                <w:sz w:val="18"/>
              </w:rPr>
              <w:t>46.633 (76,0)</w:t>
            </w:r>
          </w:p>
        </w:tc>
        <w:tc>
          <w:tcPr>
            <w:tcW w:type="dxa" w:w="914"/>
          </w:tcPr>
          <w:p>
            <w:r/>
            <w:r>
              <w:rPr>
                <w:rFonts w:ascii="Times New Roman" w:hAnsi="Times New Roman"/>
                <w:sz w:val="18"/>
              </w:rPr>
              <w:t>14.759 (24,0)</w:t>
            </w:r>
          </w:p>
        </w:tc>
        <w:tc>
          <w:tcPr>
            <w:tcW w:type="dxa" w:w="2180"/>
          </w:tcPr>
          <w:p>
            <w:r/>
            <w:r>
              <w:rPr>
                <w:rFonts w:ascii="Times New Roman" w:hAnsi="Times New Roman"/>
                <w:sz w:val="18"/>
              </w:rPr>
              <w:t>-</w:t>
            </w:r>
          </w:p>
        </w:tc>
        <w:tc>
          <w:tcPr>
            <w:tcW w:type="dxa" w:w="2110"/>
          </w:tcPr>
          <w:p>
            <w:r/>
            <w:r>
              <w:rPr>
                <w:rFonts w:ascii="Times New Roman" w:hAnsi="Times New Roman"/>
                <w:sz w:val="18"/>
              </w:rPr>
              <w:t>-</w:t>
            </w:r>
          </w:p>
        </w:tc>
      </w:tr>
      <w:tr>
        <w:tc>
          <w:tcPr>
            <w:tcW w:type="dxa" w:w="1406"/>
          </w:tcPr>
          <w:p>
            <w:r/>
            <w:r>
              <w:rPr>
                <w:rFonts w:ascii="Times New Roman" w:hAnsi="Times New Roman"/>
                <w:sz w:val="18"/>
              </w:rPr>
            </w:r>
          </w:p>
        </w:tc>
        <w:tc>
          <w:tcPr>
            <w:tcW w:type="dxa" w:w="1336"/>
          </w:tcPr>
          <w:p>
            <w:r/>
            <w:r>
              <w:rPr>
                <w:rFonts w:ascii="Times New Roman" w:hAnsi="Times New Roman"/>
                <w:sz w:val="18"/>
              </w:rPr>
              <w:t>Có</w:t>
            </w:r>
          </w:p>
        </w:tc>
        <w:tc>
          <w:tcPr>
            <w:tcW w:type="dxa" w:w="1125"/>
          </w:tcPr>
          <w:p>
            <w:r/>
            <w:r>
              <w:rPr>
                <w:rFonts w:ascii="Times New Roman" w:hAnsi="Times New Roman"/>
                <w:sz w:val="18"/>
              </w:rPr>
              <w:t>474 (26,1)</w:t>
            </w:r>
          </w:p>
        </w:tc>
        <w:tc>
          <w:tcPr>
            <w:tcW w:type="dxa" w:w="914"/>
          </w:tcPr>
          <w:p>
            <w:r/>
            <w:r>
              <w:rPr>
                <w:rFonts w:ascii="Times New Roman" w:hAnsi="Times New Roman"/>
                <w:sz w:val="18"/>
              </w:rPr>
              <w:t>1339 (73,9)</w:t>
            </w:r>
          </w:p>
        </w:tc>
        <w:tc>
          <w:tcPr>
            <w:tcW w:type="dxa" w:w="2180"/>
          </w:tcPr>
          <w:p>
            <w:r/>
            <w:r>
              <w:rPr>
                <w:rFonts w:ascii="Times New Roman" w:hAnsi="Times New Roman"/>
                <w:b/>
                <w:sz w:val="18"/>
              </w:rPr>
              <w:t>8,93 (8,03–9,94, p &lt;0,001)</w:t>
            </w:r>
          </w:p>
        </w:tc>
        <w:tc>
          <w:tcPr>
            <w:tcW w:type="dxa" w:w="2110"/>
          </w:tcPr>
          <w:p>
            <w:r/>
            <w:r>
              <w:rPr>
                <w:rFonts w:ascii="Times New Roman" w:hAnsi="Times New Roman"/>
                <w:b/>
                <w:sz w:val="18"/>
              </w:rPr>
              <w:t>5,00 (4,42–5,66, p &lt;0,001)</w:t>
            </w:r>
          </w:p>
        </w:tc>
      </w:tr>
      <w:tr>
        <w:tc>
          <w:tcPr>
            <w:tcW w:type="dxa" w:w="1406"/>
          </w:tcPr>
          <w:p>
            <w:r/>
            <w:r>
              <w:rPr>
                <w:rFonts w:ascii="Times New Roman" w:hAnsi="Times New Roman"/>
                <w:sz w:val="18"/>
              </w:rPr>
              <w:t>Rối loạn giấc ngủ</w:t>
            </w:r>
          </w:p>
        </w:tc>
        <w:tc>
          <w:tcPr>
            <w:tcW w:type="dxa" w:w="1336"/>
          </w:tcPr>
          <w:p>
            <w:r/>
            <w:r>
              <w:rPr>
                <w:rFonts w:ascii="Times New Roman" w:hAnsi="Times New Roman"/>
                <w:sz w:val="18"/>
              </w:rPr>
              <w:t>Không</w:t>
            </w:r>
          </w:p>
        </w:tc>
        <w:tc>
          <w:tcPr>
            <w:tcW w:type="dxa" w:w="1125"/>
          </w:tcPr>
          <w:p>
            <w:r/>
            <w:r>
              <w:rPr>
                <w:rFonts w:ascii="Times New Roman" w:hAnsi="Times New Roman"/>
                <w:sz w:val="18"/>
              </w:rPr>
              <w:t>39.161 (87,9)</w:t>
            </w:r>
          </w:p>
        </w:tc>
        <w:tc>
          <w:tcPr>
            <w:tcW w:type="dxa" w:w="914"/>
          </w:tcPr>
          <w:p>
            <w:r/>
            <w:r>
              <w:rPr>
                <w:rFonts w:ascii="Times New Roman" w:hAnsi="Times New Roman"/>
                <w:sz w:val="18"/>
              </w:rPr>
              <w:t>5397 (12,1)</w:t>
            </w:r>
          </w:p>
        </w:tc>
        <w:tc>
          <w:tcPr>
            <w:tcW w:type="dxa" w:w="2180"/>
          </w:tcPr>
          <w:p>
            <w:r/>
            <w:r>
              <w:rPr>
                <w:rFonts w:ascii="Times New Roman" w:hAnsi="Times New Roman"/>
                <w:sz w:val="18"/>
              </w:rPr>
              <w:t>-</w:t>
            </w:r>
          </w:p>
        </w:tc>
        <w:tc>
          <w:tcPr>
            <w:tcW w:type="dxa" w:w="2110"/>
          </w:tcPr>
          <w:p>
            <w:r/>
            <w:r>
              <w:rPr>
                <w:rFonts w:ascii="Times New Roman" w:hAnsi="Times New Roman"/>
                <w:sz w:val="18"/>
              </w:rPr>
              <w:t>-</w:t>
            </w:r>
          </w:p>
        </w:tc>
      </w:tr>
      <w:tr>
        <w:tc>
          <w:tcPr>
            <w:tcW w:type="dxa" w:w="1406"/>
          </w:tcPr>
          <w:p>
            <w:r/>
            <w:r>
              <w:rPr>
                <w:rFonts w:ascii="Times New Roman" w:hAnsi="Times New Roman"/>
                <w:sz w:val="18"/>
              </w:rPr>
            </w:r>
          </w:p>
        </w:tc>
        <w:tc>
          <w:tcPr>
            <w:tcW w:type="dxa" w:w="1336"/>
          </w:tcPr>
          <w:p>
            <w:r/>
            <w:r>
              <w:rPr>
                <w:rFonts w:ascii="Times New Roman" w:hAnsi="Times New Roman"/>
                <w:sz w:val="18"/>
              </w:rPr>
              <w:t>Có</w:t>
            </w:r>
          </w:p>
        </w:tc>
        <w:tc>
          <w:tcPr>
            <w:tcW w:type="dxa" w:w="1125"/>
          </w:tcPr>
          <w:p>
            <w:r/>
            <w:r>
              <w:rPr>
                <w:rFonts w:ascii="Times New Roman" w:hAnsi="Times New Roman"/>
                <w:sz w:val="18"/>
              </w:rPr>
              <w:t>7946 (42,6)</w:t>
            </w:r>
          </w:p>
        </w:tc>
        <w:tc>
          <w:tcPr>
            <w:tcW w:type="dxa" w:w="914"/>
          </w:tcPr>
          <w:p>
            <w:r/>
            <w:r>
              <w:rPr>
                <w:rFonts w:ascii="Times New Roman" w:hAnsi="Times New Roman"/>
                <w:sz w:val="18"/>
              </w:rPr>
              <w:t>10.701 (57,4)</w:t>
            </w:r>
          </w:p>
        </w:tc>
        <w:tc>
          <w:tcPr>
            <w:tcW w:type="dxa" w:w="2180"/>
          </w:tcPr>
          <w:p>
            <w:r/>
            <w:r>
              <w:rPr>
                <w:rFonts w:ascii="Times New Roman" w:hAnsi="Times New Roman"/>
                <w:b/>
                <w:sz w:val="18"/>
              </w:rPr>
              <w:t>9,77 (9,38–10,18, p &lt;0,001)</w:t>
            </w:r>
          </w:p>
        </w:tc>
        <w:tc>
          <w:tcPr>
            <w:tcW w:type="dxa" w:w="2110"/>
          </w:tcPr>
          <w:p>
            <w:r/>
            <w:r>
              <w:rPr>
                <w:rFonts w:ascii="Times New Roman" w:hAnsi="Times New Roman"/>
                <w:b/>
                <w:sz w:val="18"/>
              </w:rPr>
              <w:t>6,99 (6,69–7,30, p &lt;0,001)</w:t>
            </w:r>
          </w:p>
        </w:tc>
      </w:tr>
      <w:tr>
        <w:tc>
          <w:tcPr>
            <w:tcW w:type="dxa" w:w="1406"/>
          </w:tcPr>
          <w:p>
            <w:r/>
            <w:r>
              <w:rPr>
                <w:rFonts w:ascii="Times New Roman" w:hAnsi="Times New Roman"/>
                <w:sz w:val="18"/>
              </w:rPr>
              <w:t>Bắt nạt thể chất</w:t>
            </w:r>
          </w:p>
        </w:tc>
        <w:tc>
          <w:tcPr>
            <w:tcW w:type="dxa" w:w="1336"/>
          </w:tcPr>
          <w:p>
            <w:r/>
            <w:r>
              <w:rPr>
                <w:rFonts w:ascii="Times New Roman" w:hAnsi="Times New Roman"/>
                <w:sz w:val="18"/>
              </w:rPr>
              <w:t>Không</w:t>
            </w:r>
          </w:p>
        </w:tc>
        <w:tc>
          <w:tcPr>
            <w:tcW w:type="dxa" w:w="1125"/>
          </w:tcPr>
          <w:p>
            <w:r/>
            <w:r>
              <w:rPr>
                <w:rFonts w:ascii="Times New Roman" w:hAnsi="Times New Roman"/>
                <w:sz w:val="18"/>
              </w:rPr>
              <w:t>36.295 (81,3)</w:t>
            </w:r>
          </w:p>
        </w:tc>
        <w:tc>
          <w:tcPr>
            <w:tcW w:type="dxa" w:w="914"/>
          </w:tcPr>
          <w:p>
            <w:r/>
            <w:r>
              <w:rPr>
                <w:rFonts w:ascii="Times New Roman" w:hAnsi="Times New Roman"/>
                <w:sz w:val="18"/>
              </w:rPr>
              <w:t>8362 (18,7)</w:t>
            </w:r>
          </w:p>
        </w:tc>
        <w:tc>
          <w:tcPr>
            <w:tcW w:type="dxa" w:w="2180"/>
          </w:tcPr>
          <w:p>
            <w:r/>
            <w:r>
              <w:rPr>
                <w:rFonts w:ascii="Times New Roman" w:hAnsi="Times New Roman"/>
                <w:sz w:val="18"/>
              </w:rPr>
              <w:t>-</w:t>
            </w:r>
          </w:p>
        </w:tc>
        <w:tc>
          <w:tcPr>
            <w:tcW w:type="dxa" w:w="2110"/>
          </w:tcPr>
          <w:p>
            <w:r/>
            <w:r>
              <w:rPr>
                <w:rFonts w:ascii="Times New Roman" w:hAnsi="Times New Roman"/>
                <w:sz w:val="18"/>
              </w:rPr>
              <w:t>-</w:t>
            </w:r>
          </w:p>
        </w:tc>
      </w:tr>
      <w:tr>
        <w:tc>
          <w:tcPr>
            <w:tcW w:type="dxa" w:w="1406"/>
          </w:tcPr>
          <w:p>
            <w:r/>
            <w:r>
              <w:rPr>
                <w:rFonts w:ascii="Times New Roman" w:hAnsi="Times New Roman"/>
                <w:sz w:val="18"/>
              </w:rPr>
            </w:r>
          </w:p>
        </w:tc>
        <w:tc>
          <w:tcPr>
            <w:tcW w:type="dxa" w:w="1336"/>
          </w:tcPr>
          <w:p>
            <w:r/>
            <w:r>
              <w:rPr>
                <w:rFonts w:ascii="Times New Roman" w:hAnsi="Times New Roman"/>
                <w:sz w:val="18"/>
              </w:rPr>
              <w:t>Có</w:t>
            </w:r>
          </w:p>
        </w:tc>
        <w:tc>
          <w:tcPr>
            <w:tcW w:type="dxa" w:w="1125"/>
          </w:tcPr>
          <w:p>
            <w:r/>
            <w:r>
              <w:rPr>
                <w:rFonts w:ascii="Times New Roman" w:hAnsi="Times New Roman"/>
                <w:sz w:val="18"/>
              </w:rPr>
              <w:t>10.812 (58,3)</w:t>
            </w:r>
          </w:p>
        </w:tc>
        <w:tc>
          <w:tcPr>
            <w:tcW w:type="dxa" w:w="914"/>
          </w:tcPr>
          <w:p>
            <w:r/>
            <w:r>
              <w:rPr>
                <w:rFonts w:ascii="Times New Roman" w:hAnsi="Times New Roman"/>
                <w:sz w:val="18"/>
              </w:rPr>
              <w:t>7736 (41,7)</w:t>
            </w:r>
          </w:p>
        </w:tc>
        <w:tc>
          <w:tcPr>
            <w:tcW w:type="dxa" w:w="2180"/>
          </w:tcPr>
          <w:p>
            <w:r/>
            <w:r>
              <w:rPr>
                <w:rFonts w:ascii="Times New Roman" w:hAnsi="Times New Roman"/>
                <w:b/>
                <w:sz w:val="18"/>
              </w:rPr>
              <w:t>3,11 (2,99–3,22, p &lt;0,001)</w:t>
            </w:r>
          </w:p>
        </w:tc>
        <w:tc>
          <w:tcPr>
            <w:tcW w:type="dxa" w:w="2110"/>
          </w:tcPr>
          <w:p>
            <w:r/>
            <w:r>
              <w:rPr>
                <w:rFonts w:ascii="Times New Roman" w:hAnsi="Times New Roman"/>
                <w:b/>
                <w:sz w:val="18"/>
              </w:rPr>
              <w:t>1,51 (1,44–1,59, p &lt;0,001)</w:t>
            </w:r>
          </w:p>
        </w:tc>
      </w:tr>
      <w:tr>
        <w:tc>
          <w:tcPr>
            <w:tcW w:type="dxa" w:w="1406"/>
          </w:tcPr>
          <w:p>
            <w:r/>
            <w:r>
              <w:rPr>
                <w:rFonts w:ascii="Times New Roman" w:hAnsi="Times New Roman"/>
                <w:sz w:val="18"/>
              </w:rPr>
              <w:t>Bắt nạt bằng lời nói</w:t>
            </w:r>
          </w:p>
        </w:tc>
        <w:tc>
          <w:tcPr>
            <w:tcW w:type="dxa" w:w="1336"/>
          </w:tcPr>
          <w:p>
            <w:r/>
            <w:r>
              <w:rPr>
                <w:rFonts w:ascii="Times New Roman" w:hAnsi="Times New Roman"/>
                <w:sz w:val="18"/>
              </w:rPr>
              <w:t>Không</w:t>
            </w:r>
          </w:p>
        </w:tc>
        <w:tc>
          <w:tcPr>
            <w:tcW w:type="dxa" w:w="1125"/>
          </w:tcPr>
          <w:p>
            <w:r/>
            <w:r>
              <w:rPr>
                <w:rFonts w:ascii="Times New Roman" w:hAnsi="Times New Roman"/>
                <w:sz w:val="18"/>
              </w:rPr>
              <w:t>21.873 (89,1)</w:t>
            </w:r>
          </w:p>
        </w:tc>
        <w:tc>
          <w:tcPr>
            <w:tcW w:type="dxa" w:w="914"/>
          </w:tcPr>
          <w:p>
            <w:r/>
            <w:r>
              <w:rPr>
                <w:rFonts w:ascii="Times New Roman" w:hAnsi="Times New Roman"/>
                <w:sz w:val="18"/>
              </w:rPr>
              <w:t>2672 (10,9)</w:t>
            </w:r>
          </w:p>
        </w:tc>
        <w:tc>
          <w:tcPr>
            <w:tcW w:type="dxa" w:w="2180"/>
          </w:tcPr>
          <w:p>
            <w:r/>
            <w:r>
              <w:rPr>
                <w:rFonts w:ascii="Times New Roman" w:hAnsi="Times New Roman"/>
                <w:sz w:val="18"/>
              </w:rPr>
              <w:t>-</w:t>
            </w:r>
          </w:p>
        </w:tc>
        <w:tc>
          <w:tcPr>
            <w:tcW w:type="dxa" w:w="2110"/>
          </w:tcPr>
          <w:p>
            <w:r/>
            <w:r>
              <w:rPr>
                <w:rFonts w:ascii="Times New Roman" w:hAnsi="Times New Roman"/>
                <w:sz w:val="18"/>
              </w:rPr>
              <w:t>-</w:t>
            </w:r>
          </w:p>
        </w:tc>
      </w:tr>
      <w:tr>
        <w:tc>
          <w:tcPr>
            <w:tcW w:type="dxa" w:w="1406"/>
          </w:tcPr>
          <w:p>
            <w:r/>
            <w:r>
              <w:rPr>
                <w:rFonts w:ascii="Times New Roman" w:hAnsi="Times New Roman"/>
                <w:sz w:val="18"/>
              </w:rPr>
            </w:r>
          </w:p>
        </w:tc>
        <w:tc>
          <w:tcPr>
            <w:tcW w:type="dxa" w:w="1336"/>
          </w:tcPr>
          <w:p>
            <w:r/>
            <w:r>
              <w:rPr>
                <w:rFonts w:ascii="Times New Roman" w:hAnsi="Times New Roman"/>
                <w:sz w:val="18"/>
              </w:rPr>
              <w:t>Có</w:t>
            </w:r>
          </w:p>
        </w:tc>
        <w:tc>
          <w:tcPr>
            <w:tcW w:type="dxa" w:w="1125"/>
          </w:tcPr>
          <w:p>
            <w:r/>
            <w:r>
              <w:rPr>
                <w:rFonts w:ascii="Times New Roman" w:hAnsi="Times New Roman"/>
                <w:sz w:val="18"/>
              </w:rPr>
              <w:t>25.234 (65,3)</w:t>
            </w:r>
          </w:p>
        </w:tc>
        <w:tc>
          <w:tcPr>
            <w:tcW w:type="dxa" w:w="914"/>
          </w:tcPr>
          <w:p>
            <w:r/>
            <w:r>
              <w:rPr>
                <w:rFonts w:ascii="Times New Roman" w:hAnsi="Times New Roman"/>
                <w:sz w:val="18"/>
              </w:rPr>
              <w:t>13.426 (34,7)</w:t>
            </w:r>
          </w:p>
        </w:tc>
        <w:tc>
          <w:tcPr>
            <w:tcW w:type="dxa" w:w="2180"/>
          </w:tcPr>
          <w:p>
            <w:r/>
            <w:r>
              <w:rPr>
                <w:rFonts w:ascii="Times New Roman" w:hAnsi="Times New Roman"/>
                <w:b/>
                <w:sz w:val="18"/>
              </w:rPr>
              <w:t>4,36 (4,16–4,56, p &lt;0,001)</w:t>
            </w:r>
          </w:p>
        </w:tc>
        <w:tc>
          <w:tcPr>
            <w:tcW w:type="dxa" w:w="2110"/>
          </w:tcPr>
          <w:p>
            <w:r/>
            <w:r>
              <w:rPr>
                <w:rFonts w:ascii="Times New Roman" w:hAnsi="Times New Roman"/>
                <w:b/>
                <w:sz w:val="18"/>
              </w:rPr>
              <w:t>1,70 (1,60–1,80, p &lt;0,001)</w:t>
            </w:r>
          </w:p>
        </w:tc>
      </w:tr>
      <w:tr>
        <w:tc>
          <w:tcPr>
            <w:tcW w:type="dxa" w:w="1406"/>
          </w:tcPr>
          <w:p>
            <w:r/>
            <w:r>
              <w:rPr>
                <w:rFonts w:ascii="Times New Roman" w:hAnsi="Times New Roman"/>
                <w:sz w:val="18"/>
              </w:rPr>
              <w:t>Thao túng xã hội</w:t>
            </w:r>
          </w:p>
        </w:tc>
        <w:tc>
          <w:tcPr>
            <w:tcW w:type="dxa" w:w="1336"/>
          </w:tcPr>
          <w:p>
            <w:r/>
            <w:r>
              <w:rPr>
                <w:rFonts w:ascii="Times New Roman" w:hAnsi="Times New Roman"/>
                <w:sz w:val="18"/>
              </w:rPr>
              <w:t>Không</w:t>
            </w:r>
          </w:p>
        </w:tc>
        <w:tc>
          <w:tcPr>
            <w:tcW w:type="dxa" w:w="1125"/>
          </w:tcPr>
          <w:p>
            <w:r/>
            <w:r>
              <w:rPr>
                <w:rFonts w:ascii="Times New Roman" w:hAnsi="Times New Roman"/>
                <w:sz w:val="18"/>
              </w:rPr>
              <w:t>30.125 (86,9)</w:t>
            </w:r>
          </w:p>
        </w:tc>
        <w:tc>
          <w:tcPr>
            <w:tcW w:type="dxa" w:w="914"/>
          </w:tcPr>
          <w:p>
            <w:r/>
            <w:r>
              <w:rPr>
                <w:rFonts w:ascii="Times New Roman" w:hAnsi="Times New Roman"/>
                <w:sz w:val="18"/>
              </w:rPr>
              <w:t>4536 (13,1)</w:t>
            </w:r>
          </w:p>
        </w:tc>
        <w:tc>
          <w:tcPr>
            <w:tcW w:type="dxa" w:w="2180"/>
          </w:tcPr>
          <w:p>
            <w:r/>
            <w:r>
              <w:rPr>
                <w:rFonts w:ascii="Times New Roman" w:hAnsi="Times New Roman"/>
                <w:sz w:val="18"/>
              </w:rPr>
              <w:t>-</w:t>
            </w:r>
          </w:p>
        </w:tc>
        <w:tc>
          <w:tcPr>
            <w:tcW w:type="dxa" w:w="2110"/>
          </w:tcPr>
          <w:p>
            <w:r/>
            <w:r>
              <w:rPr>
                <w:rFonts w:ascii="Times New Roman" w:hAnsi="Times New Roman"/>
                <w:sz w:val="18"/>
              </w:rPr>
              <w:t>-</w:t>
            </w:r>
          </w:p>
        </w:tc>
      </w:tr>
      <w:tr>
        <w:tc>
          <w:tcPr>
            <w:tcW w:type="dxa" w:w="1406"/>
          </w:tcPr>
          <w:p>
            <w:r/>
            <w:r>
              <w:rPr>
                <w:rFonts w:ascii="Times New Roman" w:hAnsi="Times New Roman"/>
                <w:sz w:val="18"/>
              </w:rPr>
            </w:r>
          </w:p>
        </w:tc>
        <w:tc>
          <w:tcPr>
            <w:tcW w:type="dxa" w:w="1336"/>
          </w:tcPr>
          <w:p>
            <w:r/>
            <w:r>
              <w:rPr>
                <w:rFonts w:ascii="Times New Roman" w:hAnsi="Times New Roman"/>
                <w:sz w:val="18"/>
              </w:rPr>
              <w:t>Có</w:t>
            </w:r>
          </w:p>
        </w:tc>
        <w:tc>
          <w:tcPr>
            <w:tcW w:type="dxa" w:w="1125"/>
          </w:tcPr>
          <w:p>
            <w:r/>
            <w:r>
              <w:rPr>
                <w:rFonts w:ascii="Times New Roman" w:hAnsi="Times New Roman"/>
                <w:sz w:val="18"/>
              </w:rPr>
              <w:t>16.982 (59,5)</w:t>
            </w:r>
          </w:p>
        </w:tc>
        <w:tc>
          <w:tcPr>
            <w:tcW w:type="dxa" w:w="914"/>
          </w:tcPr>
          <w:p>
            <w:r/>
            <w:r>
              <w:rPr>
                <w:rFonts w:ascii="Times New Roman" w:hAnsi="Times New Roman"/>
                <w:sz w:val="18"/>
              </w:rPr>
              <w:t>11.562 (40,5)</w:t>
            </w:r>
          </w:p>
        </w:tc>
        <w:tc>
          <w:tcPr>
            <w:tcW w:type="dxa" w:w="2180"/>
          </w:tcPr>
          <w:p>
            <w:r/>
            <w:r>
              <w:rPr>
                <w:rFonts w:ascii="Times New Roman" w:hAnsi="Times New Roman"/>
                <w:b/>
                <w:sz w:val="18"/>
              </w:rPr>
              <w:t>4,52 (4,35–4,70, p &lt;0,001)</w:t>
            </w:r>
          </w:p>
        </w:tc>
        <w:tc>
          <w:tcPr>
            <w:tcW w:type="dxa" w:w="2110"/>
          </w:tcPr>
          <w:p>
            <w:r/>
            <w:r>
              <w:rPr>
                <w:rFonts w:ascii="Times New Roman" w:hAnsi="Times New Roman"/>
                <w:b/>
                <w:sz w:val="18"/>
              </w:rPr>
              <w:t>1,97 (1,87–2,08, p &lt;0,001)</w:t>
            </w:r>
          </w:p>
        </w:tc>
      </w:tr>
      <w:tr>
        <w:tc>
          <w:tcPr>
            <w:tcW w:type="dxa" w:w="1406"/>
          </w:tcPr>
          <w:p>
            <w:r/>
            <w:r>
              <w:rPr>
                <w:rFonts w:ascii="Times New Roman" w:hAnsi="Times New Roman"/>
                <w:sz w:val="18"/>
              </w:rPr>
              <w:t>Tấn công tài sản</w:t>
            </w:r>
          </w:p>
        </w:tc>
        <w:tc>
          <w:tcPr>
            <w:tcW w:type="dxa" w:w="1336"/>
          </w:tcPr>
          <w:p>
            <w:r/>
            <w:r>
              <w:rPr>
                <w:rFonts w:ascii="Times New Roman" w:hAnsi="Times New Roman"/>
                <w:sz w:val="18"/>
              </w:rPr>
              <w:t>Không</w:t>
            </w:r>
          </w:p>
        </w:tc>
        <w:tc>
          <w:tcPr>
            <w:tcW w:type="dxa" w:w="1125"/>
          </w:tcPr>
          <w:p>
            <w:r/>
            <w:r>
              <w:rPr>
                <w:rFonts w:ascii="Times New Roman" w:hAnsi="Times New Roman"/>
                <w:sz w:val="18"/>
              </w:rPr>
              <w:t>22.738 (87,6)</w:t>
            </w:r>
          </w:p>
        </w:tc>
        <w:tc>
          <w:tcPr>
            <w:tcW w:type="dxa" w:w="914"/>
          </w:tcPr>
          <w:p>
            <w:r/>
            <w:r>
              <w:rPr>
                <w:rFonts w:ascii="Times New Roman" w:hAnsi="Times New Roman"/>
                <w:sz w:val="18"/>
              </w:rPr>
              <w:t>3208 (12,4)</w:t>
            </w:r>
          </w:p>
        </w:tc>
        <w:tc>
          <w:tcPr>
            <w:tcW w:type="dxa" w:w="2180"/>
          </w:tcPr>
          <w:p>
            <w:r/>
            <w:r>
              <w:rPr>
                <w:rFonts w:ascii="Times New Roman" w:hAnsi="Times New Roman"/>
                <w:sz w:val="18"/>
              </w:rPr>
              <w:t>-</w:t>
            </w:r>
          </w:p>
        </w:tc>
        <w:tc>
          <w:tcPr>
            <w:tcW w:type="dxa" w:w="2110"/>
          </w:tcPr>
          <w:p>
            <w:r/>
            <w:r>
              <w:rPr>
                <w:rFonts w:ascii="Times New Roman" w:hAnsi="Times New Roman"/>
                <w:sz w:val="18"/>
              </w:rPr>
              <w:t>-</w:t>
            </w:r>
          </w:p>
        </w:tc>
      </w:tr>
      <w:tr>
        <w:tc>
          <w:tcPr>
            <w:tcW w:type="dxa" w:w="1406"/>
          </w:tcPr>
          <w:p>
            <w:r/>
            <w:r>
              <w:rPr>
                <w:rFonts w:ascii="Times New Roman" w:hAnsi="Times New Roman"/>
                <w:sz w:val="18"/>
              </w:rPr>
            </w:r>
          </w:p>
        </w:tc>
        <w:tc>
          <w:tcPr>
            <w:tcW w:type="dxa" w:w="1336"/>
          </w:tcPr>
          <w:p>
            <w:r/>
            <w:r>
              <w:rPr>
                <w:rFonts w:ascii="Times New Roman" w:hAnsi="Times New Roman"/>
                <w:sz w:val="18"/>
              </w:rPr>
              <w:t>Có</w:t>
            </w:r>
          </w:p>
        </w:tc>
        <w:tc>
          <w:tcPr>
            <w:tcW w:type="dxa" w:w="1125"/>
          </w:tcPr>
          <w:p>
            <w:r/>
            <w:r>
              <w:rPr>
                <w:rFonts w:ascii="Times New Roman" w:hAnsi="Times New Roman"/>
                <w:sz w:val="18"/>
              </w:rPr>
              <w:t>24.369 (65,4)</w:t>
            </w:r>
          </w:p>
        </w:tc>
        <w:tc>
          <w:tcPr>
            <w:tcW w:type="dxa" w:w="914"/>
          </w:tcPr>
          <w:p>
            <w:r/>
            <w:r>
              <w:rPr>
                <w:rFonts w:ascii="Times New Roman" w:hAnsi="Times New Roman"/>
                <w:sz w:val="18"/>
              </w:rPr>
              <w:t>12.890 (34,6)</w:t>
            </w:r>
          </w:p>
        </w:tc>
        <w:tc>
          <w:tcPr>
            <w:tcW w:type="dxa" w:w="2180"/>
          </w:tcPr>
          <w:p>
            <w:r/>
            <w:r>
              <w:rPr>
                <w:rFonts w:ascii="Times New Roman" w:hAnsi="Times New Roman"/>
                <w:b/>
                <w:sz w:val="18"/>
              </w:rPr>
              <w:t>3,75 (3,59–3,91, p &lt;0,001)</w:t>
            </w:r>
          </w:p>
        </w:tc>
        <w:tc>
          <w:tcPr>
            <w:tcW w:type="dxa" w:w="2110"/>
          </w:tcPr>
          <w:p>
            <w:r/>
            <w:r>
              <w:rPr>
                <w:rFonts w:ascii="Times New Roman" w:hAnsi="Times New Roman"/>
                <w:b/>
                <w:sz w:val="18"/>
              </w:rPr>
              <w:t>1,25 (1,18–1,33, p &lt;0,001)</w:t>
            </w:r>
          </w:p>
        </w:tc>
      </w:tr>
    </w:tbl>
    <w:p/>
    <w:p>
      <w:r>
        <w:rPr>
          <w:sz w:val="24"/>
        </w:rPr>
        <w:t xml:space="preserve">Một phân tích phân nhóm tiếp theo được thực hiện để khảo sát sự khác biệt tiềm ẩn trong các yếu tố liên quan đến căng thẳng tâm thần giữa học sinh trung học cơ sở và trung học phổ thông (Bảng 3 và 4). Mô hình hồi quy cho thấy bắt nạt học đường, triệu chứng </w:t>
      </w:r>
      <w:r>
        <w:rPr>
          <w:sz w:val="24"/>
        </w:rPr>
        <w:t>IGD</w:t>
      </w:r>
      <w:r>
        <w:rPr>
          <w:sz w:val="24"/>
        </w:rPr>
        <w:t>, rối loạn giấc ngủ, loại hình gia đình, và giới tính nữ luôn cho thấy mối liên quan thuận với các vấn đề tâm thần ở cả học sinh trung học cơ sở và trung học phổ thông. Tuy nhiên, tuổi (</w:t>
      </w:r>
      <w:r>
        <w:rPr>
          <w:sz w:val="24"/>
        </w:rPr>
        <w:t>OR</w:t>
      </w:r>
      <w:r>
        <w:rPr>
          <w:sz w:val="24"/>
        </w:rPr>
        <w:t>: 1,06, 95%</w:t>
      </w:r>
      <w:r>
        <w:rPr>
          <w:sz w:val="24"/>
        </w:rPr>
        <w:t>CI</w:t>
      </w:r>
      <w:r>
        <w:rPr>
          <w:sz w:val="24"/>
        </w:rPr>
        <w:t>: 1,03-1,09, p &lt;0,001) và là con một (</w:t>
      </w:r>
      <w:r>
        <w:rPr>
          <w:sz w:val="24"/>
        </w:rPr>
        <w:t>OR</w:t>
      </w:r>
      <w:r>
        <w:rPr>
          <w:sz w:val="24"/>
        </w:rPr>
        <w:t>: 1,10, 95%</w:t>
      </w:r>
      <w:r>
        <w:rPr>
          <w:sz w:val="24"/>
        </w:rPr>
        <w:t>CI</w:t>
      </w:r>
      <w:r>
        <w:rPr>
          <w:sz w:val="24"/>
        </w:rPr>
        <w:t>: 1,03-1,17, p = 0,005) chỉ liên quan đến căng thẳng tâm thần ở học sinh trung học cơ sở, trong khi sống ở thành thị (</w:t>
      </w:r>
      <w:r>
        <w:rPr>
          <w:sz w:val="24"/>
        </w:rPr>
        <w:t>OR</w:t>
      </w:r>
      <w:r>
        <w:rPr>
          <w:sz w:val="24"/>
        </w:rPr>
        <w:t>: 1,24, 95%</w:t>
      </w:r>
      <w:r>
        <w:rPr>
          <w:sz w:val="24"/>
        </w:rPr>
        <w:t>CI</w:t>
      </w:r>
      <w:r>
        <w:rPr>
          <w:sz w:val="24"/>
        </w:rPr>
        <w:t>: 1,15-1,34, p &lt;0,001) chỉ liên quan đến căng thẳng tâm thần ở học sinh trung học phổ thông.</w:t>
      </w:r>
    </w:p>
    <w:p>
      <w:r>
        <w:rPr>
          <w:b/>
          <w:color w:val="FF6600"/>
          <w:sz w:val="20"/>
        </w:rPr>
        <w:t>--- Trang 6/9, BMC Psychiatry, 23:580, tháng 8/2023 ---</w:t>
      </w:r>
    </w:p>
    <w:p>
      <w:r>
        <w:rPr>
          <w:b/>
          <w:sz w:val="24"/>
        </w:rPr>
        <w:t>Bảng 3: Phân tích đơn biến và đa biến các yếu tố ảnh hưởng đến căng thẳng tâm thần ở học sinh trung học cơ sở</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28"/>
          </w:tcPr>
          <w:p>
            <w:r>
              <w:rPr>
                <w:b/>
              </w:rPr>
            </w:r>
            <w:r>
              <w:rPr>
                <w:rFonts w:ascii="Times New Roman" w:hAnsi="Times New Roman"/>
                <w:b/>
                <w:sz w:val="18"/>
              </w:rPr>
              <w:t>Biến</w:t>
            </w:r>
          </w:p>
        </w:tc>
        <w:tc>
          <w:tcPr>
            <w:tcW w:type="dxa" w:w="1071"/>
          </w:tcPr>
          <w:p>
            <w:r>
              <w:rPr>
                <w:b/>
              </w:rPr>
            </w:r>
            <w:r>
              <w:rPr>
                <w:rFonts w:ascii="Times New Roman" w:hAnsi="Times New Roman"/>
                <w:b/>
                <w:sz w:val="18"/>
              </w:rPr>
            </w:r>
          </w:p>
        </w:tc>
        <w:tc>
          <w:tcPr>
            <w:tcW w:type="dxa" w:w="1143"/>
          </w:tcPr>
          <w:p>
            <w:r>
              <w:rPr>
                <w:b/>
              </w:rPr>
            </w:r>
            <w:r>
              <w:rPr>
                <w:rFonts w:ascii="Times New Roman" w:hAnsi="Times New Roman"/>
                <w:b/>
                <w:sz w:val="18"/>
              </w:rPr>
              <w:t>Không căng thẳng</w:t>
            </w:r>
          </w:p>
        </w:tc>
        <w:tc>
          <w:tcPr>
            <w:tcW w:type="dxa" w:w="929"/>
          </w:tcPr>
          <w:p>
            <w:r>
              <w:rPr>
                <w:b/>
              </w:rPr>
            </w:r>
            <w:r>
              <w:rPr>
                <w:rFonts w:ascii="Times New Roman" w:hAnsi="Times New Roman"/>
                <w:b/>
                <w:sz w:val="18"/>
              </w:rPr>
              <w:t>Có căng thẳng</w:t>
            </w:r>
          </w:p>
        </w:tc>
        <w:tc>
          <w:tcPr>
            <w:tcW w:type="dxa" w:w="2357"/>
          </w:tcPr>
          <w:p>
            <w:r>
              <w:rPr>
                <w:b/>
              </w:rPr>
            </w:r>
            <w:r>
              <w:rPr>
                <w:rFonts w:ascii="Times New Roman" w:hAnsi="Times New Roman"/>
                <w:b/>
                <w:sz w:val="18"/>
              </w:rPr>
              <w:t>OR (đơn biến)</w:t>
            </w:r>
          </w:p>
        </w:tc>
        <w:tc>
          <w:tcPr>
            <w:tcW w:type="dxa" w:w="2143"/>
          </w:tcPr>
          <w:p>
            <w:r>
              <w:rPr>
                <w:b/>
              </w:rPr>
            </w:r>
            <w:r>
              <w:rPr>
                <w:rFonts w:ascii="Times New Roman" w:hAnsi="Times New Roman"/>
                <w:b/>
                <w:sz w:val="18"/>
              </w:rPr>
              <w:t>OR (đa biến)</w:t>
            </w:r>
          </w:p>
        </w:tc>
      </w:tr>
      <w:tr>
        <w:tc>
          <w:tcPr>
            <w:tcW w:type="dxa" w:w="1428"/>
          </w:tcPr>
          <w:p>
            <w:r/>
            <w:r>
              <w:rPr>
                <w:rFonts w:ascii="Times New Roman" w:hAnsi="Times New Roman"/>
                <w:sz w:val="18"/>
              </w:rPr>
              <w:t>Giới tính</w:t>
            </w:r>
          </w:p>
        </w:tc>
        <w:tc>
          <w:tcPr>
            <w:tcW w:type="dxa" w:w="1071"/>
          </w:tcPr>
          <w:p>
            <w:r/>
            <w:r>
              <w:rPr>
                <w:rFonts w:ascii="Times New Roman" w:hAnsi="Times New Roman"/>
                <w:sz w:val="18"/>
              </w:rPr>
              <w:t>Nam</w:t>
            </w:r>
          </w:p>
        </w:tc>
        <w:tc>
          <w:tcPr>
            <w:tcW w:type="dxa" w:w="1143"/>
          </w:tcPr>
          <w:p>
            <w:r/>
            <w:r>
              <w:rPr>
                <w:rFonts w:ascii="Times New Roman" w:hAnsi="Times New Roman"/>
                <w:sz w:val="18"/>
              </w:rPr>
              <w:t>17.503 (78,4)</w:t>
            </w:r>
          </w:p>
        </w:tc>
        <w:tc>
          <w:tcPr>
            <w:tcW w:type="dxa" w:w="929"/>
          </w:tcPr>
          <w:p>
            <w:r/>
            <w:r>
              <w:rPr>
                <w:rFonts w:ascii="Times New Roman" w:hAnsi="Times New Roman"/>
                <w:sz w:val="18"/>
              </w:rPr>
              <w:t>4819 (21,6)</w:t>
            </w:r>
          </w:p>
        </w:tc>
        <w:tc>
          <w:tcPr>
            <w:tcW w:type="dxa" w:w="2357"/>
          </w:tcPr>
          <w:p>
            <w:r/>
            <w:r>
              <w:rPr>
                <w:rFonts w:ascii="Times New Roman" w:hAnsi="Times New Roman"/>
                <w:sz w:val="18"/>
              </w:rPr>
              <w:t>-</w:t>
            </w:r>
          </w:p>
        </w:tc>
        <w:tc>
          <w:tcPr>
            <w:tcW w:type="dxa" w:w="2143"/>
          </w:tcPr>
          <w:p>
            <w:r/>
            <w:r>
              <w:rPr>
                <w:rFonts w:ascii="Times New Roman" w:hAnsi="Times New Roman"/>
                <w:sz w:val="18"/>
              </w:rPr>
              <w:t>-</w:t>
            </w:r>
          </w:p>
        </w:tc>
      </w:tr>
      <w:tr>
        <w:tc>
          <w:tcPr>
            <w:tcW w:type="dxa" w:w="1428"/>
          </w:tcPr>
          <w:p>
            <w:r/>
            <w:r>
              <w:rPr>
                <w:rFonts w:ascii="Times New Roman" w:hAnsi="Times New Roman"/>
                <w:sz w:val="18"/>
              </w:rPr>
            </w:r>
          </w:p>
        </w:tc>
        <w:tc>
          <w:tcPr>
            <w:tcW w:type="dxa" w:w="1071"/>
          </w:tcPr>
          <w:p>
            <w:r/>
            <w:r>
              <w:rPr>
                <w:rFonts w:ascii="Times New Roman" w:hAnsi="Times New Roman"/>
                <w:sz w:val="18"/>
              </w:rPr>
              <w:t>Nữ</w:t>
            </w:r>
          </w:p>
        </w:tc>
        <w:tc>
          <w:tcPr>
            <w:tcW w:type="dxa" w:w="1143"/>
          </w:tcPr>
          <w:p>
            <w:r/>
            <w:r>
              <w:rPr>
                <w:rFonts w:ascii="Times New Roman" w:hAnsi="Times New Roman"/>
                <w:sz w:val="18"/>
              </w:rPr>
              <w:t>14.960 (71,1)</w:t>
            </w:r>
          </w:p>
        </w:tc>
        <w:tc>
          <w:tcPr>
            <w:tcW w:type="dxa" w:w="929"/>
          </w:tcPr>
          <w:p>
            <w:r/>
            <w:r>
              <w:rPr>
                <w:rFonts w:ascii="Times New Roman" w:hAnsi="Times New Roman"/>
                <w:sz w:val="18"/>
              </w:rPr>
              <w:t>6091 (28,9)</w:t>
            </w:r>
          </w:p>
        </w:tc>
        <w:tc>
          <w:tcPr>
            <w:tcW w:type="dxa" w:w="2357"/>
          </w:tcPr>
          <w:p>
            <w:r/>
            <w:r>
              <w:rPr>
                <w:rFonts w:ascii="Times New Roman" w:hAnsi="Times New Roman"/>
                <w:b/>
                <w:sz w:val="18"/>
              </w:rPr>
              <w:t>1,48 (1,42–1,54, p &lt;0,001)</w:t>
            </w:r>
          </w:p>
        </w:tc>
        <w:tc>
          <w:tcPr>
            <w:tcW w:type="dxa" w:w="2143"/>
          </w:tcPr>
          <w:p>
            <w:r/>
            <w:r>
              <w:rPr>
                <w:rFonts w:ascii="Times New Roman" w:hAnsi="Times New Roman"/>
                <w:b/>
                <w:sz w:val="18"/>
              </w:rPr>
              <w:t>1,56 (1,48–1,65, p &lt;0,001)</w:t>
            </w:r>
          </w:p>
        </w:tc>
      </w:tr>
      <w:tr>
        <w:tc>
          <w:tcPr>
            <w:tcW w:type="dxa" w:w="1428"/>
          </w:tcPr>
          <w:p>
            <w:r/>
            <w:r>
              <w:rPr>
                <w:rFonts w:ascii="Times New Roman" w:hAnsi="Times New Roman"/>
                <w:sz w:val="18"/>
              </w:rPr>
              <w:t>Tuổi</w:t>
            </w:r>
          </w:p>
        </w:tc>
        <w:tc>
          <w:tcPr>
            <w:tcW w:type="dxa" w:w="1071"/>
          </w:tcPr>
          <w:p>
            <w:r/>
            <w:r>
              <w:rPr>
                <w:rFonts w:ascii="Times New Roman" w:hAnsi="Times New Roman"/>
                <w:sz w:val="18"/>
              </w:rPr>
              <w:t>Trung bình (SD)</w:t>
            </w:r>
          </w:p>
        </w:tc>
        <w:tc>
          <w:tcPr>
            <w:tcW w:type="dxa" w:w="1143"/>
          </w:tcPr>
          <w:p>
            <w:r/>
            <w:r>
              <w:rPr>
                <w:rFonts w:ascii="Times New Roman" w:hAnsi="Times New Roman"/>
                <w:sz w:val="18"/>
              </w:rPr>
              <w:t>13,4 (1,0)</w:t>
            </w:r>
          </w:p>
        </w:tc>
        <w:tc>
          <w:tcPr>
            <w:tcW w:type="dxa" w:w="929"/>
          </w:tcPr>
          <w:p>
            <w:r/>
            <w:r>
              <w:rPr>
                <w:rFonts w:ascii="Times New Roman" w:hAnsi="Times New Roman"/>
                <w:sz w:val="18"/>
              </w:rPr>
              <w:t>13,5 (1,0)</w:t>
            </w:r>
          </w:p>
        </w:tc>
        <w:tc>
          <w:tcPr>
            <w:tcW w:type="dxa" w:w="2357"/>
          </w:tcPr>
          <w:p>
            <w:r/>
            <w:r>
              <w:rPr>
                <w:rFonts w:ascii="Times New Roman" w:hAnsi="Times New Roman"/>
                <w:b/>
                <w:sz w:val="18"/>
              </w:rPr>
              <w:t>1,07 (1,05–1,09, p &lt;0,001)</w:t>
            </w:r>
          </w:p>
        </w:tc>
        <w:tc>
          <w:tcPr>
            <w:tcW w:type="dxa" w:w="2143"/>
          </w:tcPr>
          <w:p>
            <w:r/>
            <w:r>
              <w:rPr>
                <w:rFonts w:ascii="Times New Roman" w:hAnsi="Times New Roman"/>
                <w:b/>
                <w:sz w:val="18"/>
              </w:rPr>
              <w:t>1,06 (1,03–1,09, p &lt;0,001)</w:t>
            </w:r>
          </w:p>
        </w:tc>
      </w:tr>
      <w:tr>
        <w:tc>
          <w:tcPr>
            <w:tcW w:type="dxa" w:w="1428"/>
          </w:tcPr>
          <w:p>
            <w:r/>
            <w:r>
              <w:rPr>
                <w:rFonts w:ascii="Times New Roman" w:hAnsi="Times New Roman"/>
                <w:sz w:val="18"/>
              </w:rPr>
              <w:t>Nơi cư trú</w:t>
            </w:r>
          </w:p>
        </w:tc>
        <w:tc>
          <w:tcPr>
            <w:tcW w:type="dxa" w:w="1071"/>
          </w:tcPr>
          <w:p>
            <w:r/>
            <w:r>
              <w:rPr>
                <w:rFonts w:ascii="Times New Roman" w:hAnsi="Times New Roman"/>
                <w:sz w:val="18"/>
              </w:rPr>
              <w:t>Nông thôn</w:t>
            </w:r>
          </w:p>
        </w:tc>
        <w:tc>
          <w:tcPr>
            <w:tcW w:type="dxa" w:w="1143"/>
          </w:tcPr>
          <w:p>
            <w:r/>
            <w:r>
              <w:rPr>
                <w:rFonts w:ascii="Times New Roman" w:hAnsi="Times New Roman"/>
                <w:sz w:val="18"/>
              </w:rPr>
              <w:t>22.468 (75,2)</w:t>
            </w:r>
          </w:p>
        </w:tc>
        <w:tc>
          <w:tcPr>
            <w:tcW w:type="dxa" w:w="929"/>
          </w:tcPr>
          <w:p>
            <w:r/>
            <w:r>
              <w:rPr>
                <w:rFonts w:ascii="Times New Roman" w:hAnsi="Times New Roman"/>
                <w:sz w:val="18"/>
              </w:rPr>
              <w:t>7428 (24,8)</w:t>
            </w:r>
          </w:p>
        </w:tc>
        <w:tc>
          <w:tcPr>
            <w:tcW w:type="dxa" w:w="2357"/>
          </w:tcPr>
          <w:p>
            <w:r/>
            <w:r>
              <w:rPr>
                <w:rFonts w:ascii="Times New Roman" w:hAnsi="Times New Roman"/>
                <w:sz w:val="18"/>
              </w:rPr>
              <w:t>-</w:t>
            </w:r>
          </w:p>
        </w:tc>
        <w:tc>
          <w:tcPr>
            <w:tcW w:type="dxa" w:w="2143"/>
          </w:tcPr>
          <w:p>
            <w:r/>
            <w:r>
              <w:rPr>
                <w:rFonts w:ascii="Times New Roman" w:hAnsi="Times New Roman"/>
                <w:sz w:val="18"/>
              </w:rPr>
              <w:t>-</w:t>
            </w:r>
          </w:p>
        </w:tc>
      </w:tr>
      <w:tr>
        <w:tc>
          <w:tcPr>
            <w:tcW w:type="dxa" w:w="1428"/>
          </w:tcPr>
          <w:p>
            <w:r/>
            <w:r>
              <w:rPr>
                <w:rFonts w:ascii="Times New Roman" w:hAnsi="Times New Roman"/>
                <w:sz w:val="18"/>
              </w:rPr>
            </w:r>
          </w:p>
        </w:tc>
        <w:tc>
          <w:tcPr>
            <w:tcW w:type="dxa" w:w="1071"/>
          </w:tcPr>
          <w:p>
            <w:r/>
            <w:r>
              <w:rPr>
                <w:rFonts w:ascii="Times New Roman" w:hAnsi="Times New Roman"/>
                <w:sz w:val="18"/>
              </w:rPr>
              <w:t>Thành thị</w:t>
            </w:r>
          </w:p>
        </w:tc>
        <w:tc>
          <w:tcPr>
            <w:tcW w:type="dxa" w:w="1143"/>
          </w:tcPr>
          <w:p>
            <w:r/>
            <w:r>
              <w:rPr>
                <w:rFonts w:ascii="Times New Roman" w:hAnsi="Times New Roman"/>
                <w:sz w:val="18"/>
              </w:rPr>
              <w:t>9995 (74,2)</w:t>
            </w:r>
          </w:p>
        </w:tc>
        <w:tc>
          <w:tcPr>
            <w:tcW w:type="dxa" w:w="929"/>
          </w:tcPr>
          <w:p>
            <w:r/>
            <w:r>
              <w:rPr>
                <w:rFonts w:ascii="Times New Roman" w:hAnsi="Times New Roman"/>
                <w:sz w:val="18"/>
              </w:rPr>
              <w:t>3482 (25,8)</w:t>
            </w:r>
          </w:p>
        </w:tc>
        <w:tc>
          <w:tcPr>
            <w:tcW w:type="dxa" w:w="2357"/>
          </w:tcPr>
          <w:p>
            <w:r/>
            <w:r>
              <w:rPr>
                <w:rFonts w:ascii="Times New Roman" w:hAnsi="Times New Roman"/>
                <w:sz w:val="18"/>
              </w:rPr>
              <w:t>1,05 (1,01–1,10, p=0,028)</w:t>
            </w:r>
          </w:p>
        </w:tc>
        <w:tc>
          <w:tcPr>
            <w:tcW w:type="dxa" w:w="2143"/>
          </w:tcPr>
          <w:p>
            <w:r/>
            <w:r>
              <w:rPr>
                <w:rFonts w:ascii="Times New Roman" w:hAnsi="Times New Roman"/>
                <w:sz w:val="18"/>
              </w:rPr>
              <w:t>-</w:t>
            </w:r>
          </w:p>
        </w:tc>
      </w:tr>
      <w:tr>
        <w:tc>
          <w:tcPr>
            <w:tcW w:type="dxa" w:w="1428"/>
          </w:tcPr>
          <w:p>
            <w:r/>
            <w:r>
              <w:rPr>
                <w:rFonts w:ascii="Times New Roman" w:hAnsi="Times New Roman"/>
                <w:sz w:val="18"/>
              </w:rPr>
              <w:t>Con một</w:t>
            </w:r>
          </w:p>
        </w:tc>
        <w:tc>
          <w:tcPr>
            <w:tcW w:type="dxa" w:w="1071"/>
          </w:tcPr>
          <w:p>
            <w:r/>
            <w:r>
              <w:rPr>
                <w:rFonts w:ascii="Times New Roman" w:hAnsi="Times New Roman"/>
                <w:sz w:val="18"/>
              </w:rPr>
              <w:t>Không</w:t>
            </w:r>
          </w:p>
        </w:tc>
        <w:tc>
          <w:tcPr>
            <w:tcW w:type="dxa" w:w="1143"/>
          </w:tcPr>
          <w:p>
            <w:r/>
            <w:r>
              <w:rPr>
                <w:rFonts w:ascii="Times New Roman" w:hAnsi="Times New Roman"/>
                <w:sz w:val="18"/>
              </w:rPr>
              <w:t>25.708 (75,3)</w:t>
            </w:r>
          </w:p>
        </w:tc>
        <w:tc>
          <w:tcPr>
            <w:tcW w:type="dxa" w:w="929"/>
          </w:tcPr>
          <w:p>
            <w:r/>
            <w:r>
              <w:rPr>
                <w:rFonts w:ascii="Times New Roman" w:hAnsi="Times New Roman"/>
                <w:sz w:val="18"/>
              </w:rPr>
              <w:t>8411 (24,7)</w:t>
            </w:r>
          </w:p>
        </w:tc>
        <w:tc>
          <w:tcPr>
            <w:tcW w:type="dxa" w:w="2357"/>
          </w:tcPr>
          <w:p>
            <w:r/>
            <w:r>
              <w:rPr>
                <w:rFonts w:ascii="Times New Roman" w:hAnsi="Times New Roman"/>
                <w:sz w:val="18"/>
              </w:rPr>
              <w:t>-</w:t>
            </w:r>
          </w:p>
        </w:tc>
        <w:tc>
          <w:tcPr>
            <w:tcW w:type="dxa" w:w="2143"/>
          </w:tcPr>
          <w:p>
            <w:r/>
            <w:r>
              <w:rPr>
                <w:rFonts w:ascii="Times New Roman" w:hAnsi="Times New Roman"/>
                <w:sz w:val="18"/>
              </w:rPr>
              <w:t>-</w:t>
            </w:r>
          </w:p>
        </w:tc>
      </w:tr>
      <w:tr>
        <w:tc>
          <w:tcPr>
            <w:tcW w:type="dxa" w:w="1428"/>
          </w:tcPr>
          <w:p>
            <w:r/>
            <w:r>
              <w:rPr>
                <w:rFonts w:ascii="Times New Roman" w:hAnsi="Times New Roman"/>
                <w:sz w:val="18"/>
              </w:rPr>
            </w:r>
          </w:p>
        </w:tc>
        <w:tc>
          <w:tcPr>
            <w:tcW w:type="dxa" w:w="1071"/>
          </w:tcPr>
          <w:p>
            <w:r/>
            <w:r>
              <w:rPr>
                <w:rFonts w:ascii="Times New Roman" w:hAnsi="Times New Roman"/>
                <w:sz w:val="18"/>
              </w:rPr>
              <w:t>Có</w:t>
            </w:r>
          </w:p>
        </w:tc>
        <w:tc>
          <w:tcPr>
            <w:tcW w:type="dxa" w:w="1143"/>
          </w:tcPr>
          <w:p>
            <w:r/>
            <w:r>
              <w:rPr>
                <w:rFonts w:ascii="Times New Roman" w:hAnsi="Times New Roman"/>
                <w:sz w:val="18"/>
              </w:rPr>
              <w:t>6755 (73,0)</w:t>
            </w:r>
          </w:p>
        </w:tc>
        <w:tc>
          <w:tcPr>
            <w:tcW w:type="dxa" w:w="929"/>
          </w:tcPr>
          <w:p>
            <w:r/>
            <w:r>
              <w:rPr>
                <w:rFonts w:ascii="Times New Roman" w:hAnsi="Times New Roman"/>
                <w:sz w:val="18"/>
              </w:rPr>
              <w:t>2499 (27,0)</w:t>
            </w:r>
          </w:p>
        </w:tc>
        <w:tc>
          <w:tcPr>
            <w:tcW w:type="dxa" w:w="2357"/>
          </w:tcPr>
          <w:p>
            <w:r/>
            <w:r>
              <w:rPr>
                <w:rFonts w:ascii="Times New Roman" w:hAnsi="Times New Roman"/>
                <w:b/>
                <w:sz w:val="18"/>
              </w:rPr>
              <w:t>1,13 (1,07–1,19, p &lt;0,001)</w:t>
            </w:r>
          </w:p>
        </w:tc>
        <w:tc>
          <w:tcPr>
            <w:tcW w:type="dxa" w:w="2143"/>
          </w:tcPr>
          <w:p>
            <w:r/>
            <w:r>
              <w:rPr>
                <w:rFonts w:ascii="Times New Roman" w:hAnsi="Times New Roman"/>
                <w:b/>
                <w:sz w:val="18"/>
              </w:rPr>
              <w:t>1,10 (1,03–1,17, p=0,005)</w:t>
            </w:r>
          </w:p>
        </w:tc>
      </w:tr>
      <w:tr>
        <w:tc>
          <w:tcPr>
            <w:tcW w:type="dxa" w:w="1428"/>
          </w:tcPr>
          <w:p>
            <w:r/>
            <w:r>
              <w:rPr>
                <w:rFonts w:ascii="Times New Roman" w:hAnsi="Times New Roman"/>
                <w:sz w:val="18"/>
              </w:rPr>
              <w:t>Trẻ bị bỏ lại</w:t>
            </w:r>
          </w:p>
        </w:tc>
        <w:tc>
          <w:tcPr>
            <w:tcW w:type="dxa" w:w="1071"/>
          </w:tcPr>
          <w:p>
            <w:r/>
            <w:r>
              <w:rPr>
                <w:rFonts w:ascii="Times New Roman" w:hAnsi="Times New Roman"/>
                <w:sz w:val="18"/>
              </w:rPr>
              <w:t>Không</w:t>
            </w:r>
          </w:p>
        </w:tc>
        <w:tc>
          <w:tcPr>
            <w:tcW w:type="dxa" w:w="1143"/>
          </w:tcPr>
          <w:p>
            <w:r/>
            <w:r>
              <w:rPr>
                <w:rFonts w:ascii="Times New Roman" w:hAnsi="Times New Roman"/>
                <w:sz w:val="18"/>
              </w:rPr>
              <w:t>21.269 (75,7)</w:t>
            </w:r>
          </w:p>
        </w:tc>
        <w:tc>
          <w:tcPr>
            <w:tcW w:type="dxa" w:w="929"/>
          </w:tcPr>
          <w:p>
            <w:r/>
            <w:r>
              <w:rPr>
                <w:rFonts w:ascii="Times New Roman" w:hAnsi="Times New Roman"/>
                <w:sz w:val="18"/>
              </w:rPr>
              <w:t>6845 (24,3)</w:t>
            </w:r>
          </w:p>
        </w:tc>
        <w:tc>
          <w:tcPr>
            <w:tcW w:type="dxa" w:w="2357"/>
          </w:tcPr>
          <w:p>
            <w:r/>
            <w:r>
              <w:rPr>
                <w:rFonts w:ascii="Times New Roman" w:hAnsi="Times New Roman"/>
                <w:sz w:val="18"/>
              </w:rPr>
              <w:t>-</w:t>
            </w:r>
          </w:p>
        </w:tc>
        <w:tc>
          <w:tcPr>
            <w:tcW w:type="dxa" w:w="2143"/>
          </w:tcPr>
          <w:p>
            <w:r/>
            <w:r>
              <w:rPr>
                <w:rFonts w:ascii="Times New Roman" w:hAnsi="Times New Roman"/>
                <w:sz w:val="18"/>
              </w:rPr>
              <w:t>-</w:t>
            </w:r>
          </w:p>
        </w:tc>
      </w:tr>
      <w:tr>
        <w:tc>
          <w:tcPr>
            <w:tcW w:type="dxa" w:w="1428"/>
          </w:tcPr>
          <w:p>
            <w:r/>
            <w:r>
              <w:rPr>
                <w:rFonts w:ascii="Times New Roman" w:hAnsi="Times New Roman"/>
                <w:sz w:val="18"/>
              </w:rPr>
            </w:r>
          </w:p>
        </w:tc>
        <w:tc>
          <w:tcPr>
            <w:tcW w:type="dxa" w:w="1071"/>
          </w:tcPr>
          <w:p>
            <w:r/>
            <w:r>
              <w:rPr>
                <w:rFonts w:ascii="Times New Roman" w:hAnsi="Times New Roman"/>
                <w:sz w:val="18"/>
              </w:rPr>
              <w:t>Có</w:t>
            </w:r>
          </w:p>
        </w:tc>
        <w:tc>
          <w:tcPr>
            <w:tcW w:type="dxa" w:w="1143"/>
          </w:tcPr>
          <w:p>
            <w:r/>
            <w:r>
              <w:rPr>
                <w:rFonts w:ascii="Times New Roman" w:hAnsi="Times New Roman"/>
                <w:sz w:val="18"/>
              </w:rPr>
              <w:t>11.194 (73,4)</w:t>
            </w:r>
          </w:p>
        </w:tc>
        <w:tc>
          <w:tcPr>
            <w:tcW w:type="dxa" w:w="929"/>
          </w:tcPr>
          <w:p>
            <w:r/>
            <w:r>
              <w:rPr>
                <w:rFonts w:ascii="Times New Roman" w:hAnsi="Times New Roman"/>
                <w:sz w:val="18"/>
              </w:rPr>
              <w:t>4065 (26,6)</w:t>
            </w:r>
          </w:p>
        </w:tc>
        <w:tc>
          <w:tcPr>
            <w:tcW w:type="dxa" w:w="2357"/>
          </w:tcPr>
          <w:p>
            <w:r/>
            <w:r>
              <w:rPr>
                <w:rFonts w:ascii="Times New Roman" w:hAnsi="Times New Roman"/>
                <w:b/>
                <w:sz w:val="18"/>
              </w:rPr>
              <w:t>1,13 (1,08–1,18, p &lt;0,001)</w:t>
            </w:r>
          </w:p>
        </w:tc>
        <w:tc>
          <w:tcPr>
            <w:tcW w:type="dxa" w:w="2143"/>
          </w:tcPr>
          <w:p>
            <w:r/>
            <w:r>
              <w:rPr>
                <w:rFonts w:ascii="Times New Roman" w:hAnsi="Times New Roman"/>
                <w:sz w:val="18"/>
              </w:rPr>
              <w:t>1,02 (0,97–1,08, p=0,411)</w:t>
            </w:r>
          </w:p>
        </w:tc>
      </w:tr>
      <w:tr>
        <w:tc>
          <w:tcPr>
            <w:tcW w:type="dxa" w:w="1428"/>
          </w:tcPr>
          <w:p>
            <w:r/>
            <w:r>
              <w:rPr>
                <w:rFonts w:ascii="Times New Roman" w:hAnsi="Times New Roman"/>
                <w:sz w:val="18"/>
              </w:rPr>
              <w:t>Loại hình gia đình</w:t>
            </w:r>
          </w:p>
        </w:tc>
        <w:tc>
          <w:tcPr>
            <w:tcW w:type="dxa" w:w="1071"/>
          </w:tcPr>
          <w:p>
            <w:r/>
            <w:r>
              <w:rPr>
                <w:rFonts w:ascii="Times New Roman" w:hAnsi="Times New Roman"/>
                <w:sz w:val="18"/>
              </w:rPr>
              <w:t>Hạt nhân</w:t>
            </w:r>
          </w:p>
        </w:tc>
        <w:tc>
          <w:tcPr>
            <w:tcW w:type="dxa" w:w="1143"/>
          </w:tcPr>
          <w:p>
            <w:r/>
            <w:r>
              <w:rPr>
                <w:rFonts w:ascii="Times New Roman" w:hAnsi="Times New Roman"/>
                <w:sz w:val="18"/>
              </w:rPr>
              <w:t>26.077 (76,8)</w:t>
            </w:r>
          </w:p>
        </w:tc>
        <w:tc>
          <w:tcPr>
            <w:tcW w:type="dxa" w:w="929"/>
          </w:tcPr>
          <w:p>
            <w:r/>
            <w:r>
              <w:rPr>
                <w:rFonts w:ascii="Times New Roman" w:hAnsi="Times New Roman"/>
                <w:sz w:val="18"/>
              </w:rPr>
              <w:t>7894 (23,2)</w:t>
            </w:r>
          </w:p>
        </w:tc>
        <w:tc>
          <w:tcPr>
            <w:tcW w:type="dxa" w:w="2357"/>
          </w:tcPr>
          <w:p>
            <w:r/>
            <w:r>
              <w:rPr>
                <w:rFonts w:ascii="Times New Roman" w:hAnsi="Times New Roman"/>
                <w:sz w:val="18"/>
              </w:rPr>
              <w:t>-</w:t>
            </w:r>
          </w:p>
        </w:tc>
        <w:tc>
          <w:tcPr>
            <w:tcW w:type="dxa" w:w="2143"/>
          </w:tcPr>
          <w:p>
            <w:r/>
            <w:r>
              <w:rPr>
                <w:rFonts w:ascii="Times New Roman" w:hAnsi="Times New Roman"/>
                <w:sz w:val="18"/>
              </w:rPr>
              <w:t>-</w:t>
            </w:r>
          </w:p>
        </w:tc>
      </w:tr>
      <w:tr>
        <w:tc>
          <w:tcPr>
            <w:tcW w:type="dxa" w:w="1428"/>
          </w:tcPr>
          <w:p>
            <w:r/>
            <w:r>
              <w:rPr>
                <w:rFonts w:ascii="Times New Roman" w:hAnsi="Times New Roman"/>
                <w:sz w:val="18"/>
              </w:rPr>
            </w:r>
          </w:p>
        </w:tc>
        <w:tc>
          <w:tcPr>
            <w:tcW w:type="dxa" w:w="1071"/>
          </w:tcPr>
          <w:p>
            <w:r/>
            <w:r>
              <w:rPr>
                <w:rFonts w:ascii="Times New Roman" w:hAnsi="Times New Roman"/>
                <w:sz w:val="18"/>
              </w:rPr>
              <w:t>Không hạt nhân</w:t>
            </w:r>
          </w:p>
        </w:tc>
        <w:tc>
          <w:tcPr>
            <w:tcW w:type="dxa" w:w="1143"/>
          </w:tcPr>
          <w:p>
            <w:r/>
            <w:r>
              <w:rPr>
                <w:rFonts w:ascii="Times New Roman" w:hAnsi="Times New Roman"/>
                <w:sz w:val="18"/>
              </w:rPr>
              <w:t>6386 (67,9)</w:t>
            </w:r>
          </w:p>
        </w:tc>
        <w:tc>
          <w:tcPr>
            <w:tcW w:type="dxa" w:w="929"/>
          </w:tcPr>
          <w:p>
            <w:r/>
            <w:r>
              <w:rPr>
                <w:rFonts w:ascii="Times New Roman" w:hAnsi="Times New Roman"/>
                <w:sz w:val="18"/>
              </w:rPr>
              <w:t>3016 (32,1)</w:t>
            </w:r>
          </w:p>
        </w:tc>
        <w:tc>
          <w:tcPr>
            <w:tcW w:type="dxa" w:w="2357"/>
          </w:tcPr>
          <w:p>
            <w:r/>
            <w:r>
              <w:rPr>
                <w:rFonts w:ascii="Times New Roman" w:hAnsi="Times New Roman"/>
                <w:b/>
                <w:sz w:val="18"/>
              </w:rPr>
              <w:t>1,56 (1,48–1,64, p &lt;0,001)</w:t>
            </w:r>
          </w:p>
        </w:tc>
        <w:tc>
          <w:tcPr>
            <w:tcW w:type="dxa" w:w="2143"/>
          </w:tcPr>
          <w:p>
            <w:r/>
            <w:r>
              <w:rPr>
                <w:rFonts w:ascii="Times New Roman" w:hAnsi="Times New Roman"/>
                <w:b/>
                <w:sz w:val="18"/>
              </w:rPr>
              <w:t>1,32 (1,24–1,40, p &lt;0,001)</w:t>
            </w:r>
          </w:p>
        </w:tc>
      </w:tr>
      <w:tr>
        <w:tc>
          <w:tcPr>
            <w:tcW w:type="dxa" w:w="1428"/>
          </w:tcPr>
          <w:p>
            <w:r/>
            <w:r>
              <w:rPr>
                <w:rFonts w:ascii="Times New Roman" w:hAnsi="Times New Roman"/>
                <w:sz w:val="18"/>
              </w:rPr>
              <w:t>IGD</w:t>
            </w:r>
          </w:p>
        </w:tc>
        <w:tc>
          <w:tcPr>
            <w:tcW w:type="dxa" w:w="1071"/>
          </w:tcPr>
          <w:p>
            <w:r/>
            <w:r>
              <w:rPr>
                <w:rFonts w:ascii="Times New Roman" w:hAnsi="Times New Roman"/>
                <w:sz w:val="18"/>
              </w:rPr>
              <w:t>Không</w:t>
            </w:r>
          </w:p>
        </w:tc>
        <w:tc>
          <w:tcPr>
            <w:tcW w:type="dxa" w:w="1143"/>
          </w:tcPr>
          <w:p>
            <w:r/>
            <w:r>
              <w:rPr>
                <w:rFonts w:ascii="Times New Roman" w:hAnsi="Times New Roman"/>
                <w:sz w:val="18"/>
              </w:rPr>
              <w:t>32.096 (76,4)</w:t>
            </w:r>
          </w:p>
        </w:tc>
        <w:tc>
          <w:tcPr>
            <w:tcW w:type="dxa" w:w="929"/>
          </w:tcPr>
          <w:p>
            <w:r/>
            <w:r>
              <w:rPr>
                <w:rFonts w:ascii="Times New Roman" w:hAnsi="Times New Roman"/>
                <w:sz w:val="18"/>
              </w:rPr>
              <w:t>9890 (23,6)</w:t>
            </w:r>
          </w:p>
        </w:tc>
        <w:tc>
          <w:tcPr>
            <w:tcW w:type="dxa" w:w="2357"/>
          </w:tcPr>
          <w:p>
            <w:r/>
            <w:r>
              <w:rPr>
                <w:rFonts w:ascii="Times New Roman" w:hAnsi="Times New Roman"/>
                <w:sz w:val="18"/>
              </w:rPr>
              <w:t>-</w:t>
            </w:r>
          </w:p>
        </w:tc>
        <w:tc>
          <w:tcPr>
            <w:tcW w:type="dxa" w:w="2143"/>
          </w:tcPr>
          <w:p>
            <w:r/>
            <w:r>
              <w:rPr>
                <w:rFonts w:ascii="Times New Roman" w:hAnsi="Times New Roman"/>
                <w:sz w:val="18"/>
              </w:rPr>
              <w:t>-</w:t>
            </w:r>
          </w:p>
        </w:tc>
      </w:tr>
      <w:tr>
        <w:tc>
          <w:tcPr>
            <w:tcW w:type="dxa" w:w="1428"/>
          </w:tcPr>
          <w:p>
            <w:r/>
            <w:r>
              <w:rPr>
                <w:rFonts w:ascii="Times New Roman" w:hAnsi="Times New Roman"/>
                <w:sz w:val="18"/>
              </w:rPr>
            </w:r>
          </w:p>
        </w:tc>
        <w:tc>
          <w:tcPr>
            <w:tcW w:type="dxa" w:w="1071"/>
          </w:tcPr>
          <w:p>
            <w:r/>
            <w:r>
              <w:rPr>
                <w:rFonts w:ascii="Times New Roman" w:hAnsi="Times New Roman"/>
                <w:sz w:val="18"/>
              </w:rPr>
              <w:t>Có</w:t>
            </w:r>
          </w:p>
        </w:tc>
        <w:tc>
          <w:tcPr>
            <w:tcW w:type="dxa" w:w="1143"/>
          </w:tcPr>
          <w:p>
            <w:r/>
            <w:r>
              <w:rPr>
                <w:rFonts w:ascii="Times New Roman" w:hAnsi="Times New Roman"/>
                <w:sz w:val="18"/>
              </w:rPr>
              <w:t>367 (26,5)</w:t>
            </w:r>
          </w:p>
        </w:tc>
        <w:tc>
          <w:tcPr>
            <w:tcW w:type="dxa" w:w="929"/>
          </w:tcPr>
          <w:p>
            <w:r/>
            <w:r>
              <w:rPr>
                <w:rFonts w:ascii="Times New Roman" w:hAnsi="Times New Roman"/>
                <w:sz w:val="18"/>
              </w:rPr>
              <w:t>1020 (73,5)</w:t>
            </w:r>
          </w:p>
        </w:tc>
        <w:tc>
          <w:tcPr>
            <w:tcW w:type="dxa" w:w="2357"/>
          </w:tcPr>
          <w:p>
            <w:r/>
            <w:r>
              <w:rPr>
                <w:rFonts w:ascii="Times New Roman" w:hAnsi="Times New Roman"/>
                <w:b/>
                <w:sz w:val="18"/>
              </w:rPr>
              <w:t>9,02 (8,00-10,20, p &lt;0,001)</w:t>
            </w:r>
          </w:p>
        </w:tc>
        <w:tc>
          <w:tcPr>
            <w:tcW w:type="dxa" w:w="2143"/>
          </w:tcPr>
          <w:p>
            <w:r/>
            <w:r>
              <w:rPr>
                <w:rFonts w:ascii="Times New Roman" w:hAnsi="Times New Roman"/>
                <w:b/>
                <w:sz w:val="18"/>
              </w:rPr>
              <w:t>4,92 (4,27–5,68, p &lt;0,001)</w:t>
            </w:r>
          </w:p>
        </w:tc>
      </w:tr>
      <w:tr>
        <w:tc>
          <w:tcPr>
            <w:tcW w:type="dxa" w:w="1428"/>
          </w:tcPr>
          <w:p>
            <w:r/>
            <w:r>
              <w:rPr>
                <w:rFonts w:ascii="Times New Roman" w:hAnsi="Times New Roman"/>
                <w:sz w:val="18"/>
              </w:rPr>
              <w:t>Rối loạn giấc ngủ</w:t>
            </w:r>
          </w:p>
        </w:tc>
        <w:tc>
          <w:tcPr>
            <w:tcW w:type="dxa" w:w="1071"/>
          </w:tcPr>
          <w:p>
            <w:r/>
            <w:r>
              <w:rPr>
                <w:rFonts w:ascii="Times New Roman" w:hAnsi="Times New Roman"/>
                <w:sz w:val="18"/>
              </w:rPr>
              <w:t>Không</w:t>
            </w:r>
          </w:p>
        </w:tc>
        <w:tc>
          <w:tcPr>
            <w:tcW w:type="dxa" w:w="1143"/>
          </w:tcPr>
          <w:p>
            <w:r/>
            <w:r>
              <w:rPr>
                <w:rFonts w:ascii="Times New Roman" w:hAnsi="Times New Roman"/>
                <w:sz w:val="18"/>
              </w:rPr>
              <w:t>28.158 (87,4)</w:t>
            </w:r>
          </w:p>
        </w:tc>
        <w:tc>
          <w:tcPr>
            <w:tcW w:type="dxa" w:w="929"/>
          </w:tcPr>
          <w:p>
            <w:r/>
            <w:r>
              <w:rPr>
                <w:rFonts w:ascii="Times New Roman" w:hAnsi="Times New Roman"/>
                <w:sz w:val="18"/>
              </w:rPr>
              <w:t>4077 (12,6)</w:t>
            </w:r>
          </w:p>
        </w:tc>
        <w:tc>
          <w:tcPr>
            <w:tcW w:type="dxa" w:w="2357"/>
          </w:tcPr>
          <w:p>
            <w:r/>
            <w:r>
              <w:rPr>
                <w:rFonts w:ascii="Times New Roman" w:hAnsi="Times New Roman"/>
                <w:sz w:val="18"/>
              </w:rPr>
              <w:t>-</w:t>
            </w:r>
          </w:p>
        </w:tc>
        <w:tc>
          <w:tcPr>
            <w:tcW w:type="dxa" w:w="2143"/>
          </w:tcPr>
          <w:p>
            <w:r/>
            <w:r>
              <w:rPr>
                <w:rFonts w:ascii="Times New Roman" w:hAnsi="Times New Roman"/>
                <w:sz w:val="18"/>
              </w:rPr>
              <w:t>-</w:t>
            </w:r>
          </w:p>
        </w:tc>
      </w:tr>
      <w:tr>
        <w:tc>
          <w:tcPr>
            <w:tcW w:type="dxa" w:w="1428"/>
          </w:tcPr>
          <w:p>
            <w:r/>
            <w:r>
              <w:rPr>
                <w:rFonts w:ascii="Times New Roman" w:hAnsi="Times New Roman"/>
                <w:sz w:val="18"/>
              </w:rPr>
            </w:r>
          </w:p>
        </w:tc>
        <w:tc>
          <w:tcPr>
            <w:tcW w:type="dxa" w:w="1071"/>
          </w:tcPr>
          <w:p>
            <w:r/>
            <w:r>
              <w:rPr>
                <w:rFonts w:ascii="Times New Roman" w:hAnsi="Times New Roman"/>
                <w:sz w:val="18"/>
              </w:rPr>
              <w:t>Có</w:t>
            </w:r>
          </w:p>
        </w:tc>
        <w:tc>
          <w:tcPr>
            <w:tcW w:type="dxa" w:w="1143"/>
          </w:tcPr>
          <w:p>
            <w:r/>
            <w:r>
              <w:rPr>
                <w:rFonts w:ascii="Times New Roman" w:hAnsi="Times New Roman"/>
                <w:sz w:val="18"/>
              </w:rPr>
              <w:t>4305 (38,7)</w:t>
            </w:r>
          </w:p>
        </w:tc>
        <w:tc>
          <w:tcPr>
            <w:tcW w:type="dxa" w:w="929"/>
          </w:tcPr>
          <w:p>
            <w:r/>
            <w:r>
              <w:rPr>
                <w:rFonts w:ascii="Times New Roman" w:hAnsi="Times New Roman"/>
                <w:sz w:val="18"/>
              </w:rPr>
              <w:t>6833 (61,3)</w:t>
            </w:r>
          </w:p>
        </w:tc>
        <w:tc>
          <w:tcPr>
            <w:tcW w:type="dxa" w:w="2357"/>
          </w:tcPr>
          <w:p>
            <w:r/>
            <w:r>
              <w:rPr>
                <w:rFonts w:ascii="Times New Roman" w:hAnsi="Times New Roman"/>
                <w:b/>
                <w:sz w:val="18"/>
              </w:rPr>
              <w:t>10,96 (10,43–11,53, p &lt;0,001)</w:t>
            </w:r>
          </w:p>
        </w:tc>
        <w:tc>
          <w:tcPr>
            <w:tcW w:type="dxa" w:w="2143"/>
          </w:tcPr>
          <w:p>
            <w:r/>
            <w:r>
              <w:rPr>
                <w:rFonts w:ascii="Times New Roman" w:hAnsi="Times New Roman"/>
                <w:b/>
                <w:sz w:val="18"/>
              </w:rPr>
              <w:t>7,29 (6,91–7,69, p &lt;0,001)</w:t>
            </w:r>
          </w:p>
        </w:tc>
      </w:tr>
      <w:tr>
        <w:tc>
          <w:tcPr>
            <w:tcW w:type="dxa" w:w="1428"/>
          </w:tcPr>
          <w:p>
            <w:r/>
            <w:r>
              <w:rPr>
                <w:rFonts w:ascii="Times New Roman" w:hAnsi="Times New Roman"/>
                <w:sz w:val="18"/>
              </w:rPr>
              <w:t>Bắt nạt bằng lời nói</w:t>
            </w:r>
          </w:p>
        </w:tc>
        <w:tc>
          <w:tcPr>
            <w:tcW w:type="dxa" w:w="1071"/>
          </w:tcPr>
          <w:p>
            <w:r/>
            <w:r>
              <w:rPr>
                <w:rFonts w:ascii="Times New Roman" w:hAnsi="Times New Roman"/>
                <w:sz w:val="18"/>
              </w:rPr>
              <w:t>Không</w:t>
            </w:r>
          </w:p>
        </w:tc>
        <w:tc>
          <w:tcPr>
            <w:tcW w:type="dxa" w:w="1143"/>
          </w:tcPr>
          <w:p>
            <w:r/>
            <w:r>
              <w:rPr>
                <w:rFonts w:ascii="Times New Roman" w:hAnsi="Times New Roman"/>
                <w:sz w:val="18"/>
              </w:rPr>
              <w:t>14.411 (90,7)</w:t>
            </w:r>
          </w:p>
        </w:tc>
        <w:tc>
          <w:tcPr>
            <w:tcW w:type="dxa" w:w="929"/>
          </w:tcPr>
          <w:p>
            <w:r/>
            <w:r>
              <w:rPr>
                <w:rFonts w:ascii="Times New Roman" w:hAnsi="Times New Roman"/>
                <w:sz w:val="18"/>
              </w:rPr>
              <w:t>1484 (9,3)</w:t>
            </w:r>
          </w:p>
        </w:tc>
        <w:tc>
          <w:tcPr>
            <w:tcW w:type="dxa" w:w="2357"/>
          </w:tcPr>
          <w:p>
            <w:r/>
            <w:r>
              <w:rPr>
                <w:rFonts w:ascii="Times New Roman" w:hAnsi="Times New Roman"/>
                <w:sz w:val="18"/>
              </w:rPr>
              <w:t>-</w:t>
            </w:r>
          </w:p>
        </w:tc>
        <w:tc>
          <w:tcPr>
            <w:tcW w:type="dxa" w:w="2143"/>
          </w:tcPr>
          <w:p>
            <w:r/>
            <w:r>
              <w:rPr>
                <w:rFonts w:ascii="Times New Roman" w:hAnsi="Times New Roman"/>
                <w:sz w:val="18"/>
              </w:rPr>
              <w:t>-</w:t>
            </w:r>
          </w:p>
        </w:tc>
      </w:tr>
      <w:tr>
        <w:tc>
          <w:tcPr>
            <w:tcW w:type="dxa" w:w="1428"/>
          </w:tcPr>
          <w:p>
            <w:r/>
            <w:r>
              <w:rPr>
                <w:rFonts w:ascii="Times New Roman" w:hAnsi="Times New Roman"/>
                <w:sz w:val="18"/>
              </w:rPr>
            </w:r>
          </w:p>
        </w:tc>
        <w:tc>
          <w:tcPr>
            <w:tcW w:type="dxa" w:w="1071"/>
          </w:tcPr>
          <w:p>
            <w:r/>
            <w:r>
              <w:rPr>
                <w:rFonts w:ascii="Times New Roman" w:hAnsi="Times New Roman"/>
                <w:sz w:val="18"/>
              </w:rPr>
              <w:t>Có</w:t>
            </w:r>
          </w:p>
        </w:tc>
        <w:tc>
          <w:tcPr>
            <w:tcW w:type="dxa" w:w="1143"/>
          </w:tcPr>
          <w:p>
            <w:r/>
            <w:r>
              <w:rPr>
                <w:rFonts w:ascii="Times New Roman" w:hAnsi="Times New Roman"/>
                <w:sz w:val="18"/>
              </w:rPr>
              <w:t>18.052 (65,7)</w:t>
            </w:r>
          </w:p>
        </w:tc>
        <w:tc>
          <w:tcPr>
            <w:tcW w:type="dxa" w:w="929"/>
          </w:tcPr>
          <w:p>
            <w:r/>
            <w:r>
              <w:rPr>
                <w:rFonts w:ascii="Times New Roman" w:hAnsi="Times New Roman"/>
                <w:sz w:val="18"/>
              </w:rPr>
              <w:t>9426 (34,3)</w:t>
            </w:r>
          </w:p>
        </w:tc>
        <w:tc>
          <w:tcPr>
            <w:tcW w:type="dxa" w:w="2357"/>
          </w:tcPr>
          <w:p>
            <w:r/>
            <w:r>
              <w:rPr>
                <w:rFonts w:ascii="Times New Roman" w:hAnsi="Times New Roman"/>
                <w:b/>
                <w:sz w:val="18"/>
              </w:rPr>
              <w:t>5,07 (4,78–5,38, p &lt;0,001)</w:t>
            </w:r>
          </w:p>
        </w:tc>
        <w:tc>
          <w:tcPr>
            <w:tcW w:type="dxa" w:w="2143"/>
          </w:tcPr>
          <w:p>
            <w:r/>
            <w:r>
              <w:rPr>
                <w:rFonts w:ascii="Times New Roman" w:hAnsi="Times New Roman"/>
                <w:b/>
                <w:sz w:val="18"/>
              </w:rPr>
              <w:t>1,61 (1,51–1,71, p &lt;0,001)</w:t>
            </w:r>
          </w:p>
        </w:tc>
      </w:tr>
      <w:tr>
        <w:tc>
          <w:tcPr>
            <w:tcW w:type="dxa" w:w="1428"/>
          </w:tcPr>
          <w:p>
            <w:r/>
            <w:r>
              <w:rPr>
                <w:rFonts w:ascii="Times New Roman" w:hAnsi="Times New Roman"/>
                <w:sz w:val="18"/>
              </w:rPr>
              <w:t>Bắt nạt thể chất</w:t>
            </w:r>
          </w:p>
        </w:tc>
        <w:tc>
          <w:tcPr>
            <w:tcW w:type="dxa" w:w="1071"/>
          </w:tcPr>
          <w:p>
            <w:r/>
            <w:r>
              <w:rPr>
                <w:rFonts w:ascii="Times New Roman" w:hAnsi="Times New Roman"/>
                <w:sz w:val="18"/>
              </w:rPr>
              <w:t>Không</w:t>
            </w:r>
          </w:p>
        </w:tc>
        <w:tc>
          <w:tcPr>
            <w:tcW w:type="dxa" w:w="1143"/>
          </w:tcPr>
          <w:p>
            <w:r/>
            <w:r>
              <w:rPr>
                <w:rFonts w:ascii="Times New Roman" w:hAnsi="Times New Roman"/>
                <w:sz w:val="18"/>
              </w:rPr>
              <w:t>24.210 (83,0)</w:t>
            </w:r>
          </w:p>
        </w:tc>
        <w:tc>
          <w:tcPr>
            <w:tcW w:type="dxa" w:w="929"/>
          </w:tcPr>
          <w:p>
            <w:r/>
            <w:r>
              <w:rPr>
                <w:rFonts w:ascii="Times New Roman" w:hAnsi="Times New Roman"/>
                <w:sz w:val="18"/>
              </w:rPr>
              <w:t>4943 (17,0)</w:t>
            </w:r>
          </w:p>
        </w:tc>
        <w:tc>
          <w:tcPr>
            <w:tcW w:type="dxa" w:w="2357"/>
          </w:tcPr>
          <w:p>
            <w:r/>
            <w:r>
              <w:rPr>
                <w:rFonts w:ascii="Times New Roman" w:hAnsi="Times New Roman"/>
                <w:sz w:val="18"/>
              </w:rPr>
              <w:t>-</w:t>
            </w:r>
          </w:p>
        </w:tc>
        <w:tc>
          <w:tcPr>
            <w:tcW w:type="dxa" w:w="2143"/>
          </w:tcPr>
          <w:p>
            <w:r/>
            <w:r>
              <w:rPr>
                <w:rFonts w:ascii="Times New Roman" w:hAnsi="Times New Roman"/>
                <w:sz w:val="18"/>
              </w:rPr>
              <w:t>-</w:t>
            </w:r>
          </w:p>
        </w:tc>
      </w:tr>
      <w:tr>
        <w:tc>
          <w:tcPr>
            <w:tcW w:type="dxa" w:w="1428"/>
          </w:tcPr>
          <w:p>
            <w:r/>
            <w:r>
              <w:rPr>
                <w:rFonts w:ascii="Times New Roman" w:hAnsi="Times New Roman"/>
                <w:sz w:val="18"/>
              </w:rPr>
            </w:r>
          </w:p>
        </w:tc>
        <w:tc>
          <w:tcPr>
            <w:tcW w:type="dxa" w:w="1071"/>
          </w:tcPr>
          <w:p>
            <w:r/>
            <w:r>
              <w:rPr>
                <w:rFonts w:ascii="Times New Roman" w:hAnsi="Times New Roman"/>
                <w:sz w:val="18"/>
              </w:rPr>
              <w:t>Có</w:t>
            </w:r>
          </w:p>
        </w:tc>
        <w:tc>
          <w:tcPr>
            <w:tcW w:type="dxa" w:w="1143"/>
          </w:tcPr>
          <w:p>
            <w:r/>
            <w:r>
              <w:rPr>
                <w:rFonts w:ascii="Times New Roman" w:hAnsi="Times New Roman"/>
                <w:sz w:val="18"/>
              </w:rPr>
              <w:t>8253 (58,0)</w:t>
            </w:r>
          </w:p>
        </w:tc>
        <w:tc>
          <w:tcPr>
            <w:tcW w:type="dxa" w:w="929"/>
          </w:tcPr>
          <w:p>
            <w:r/>
            <w:r>
              <w:rPr>
                <w:rFonts w:ascii="Times New Roman" w:hAnsi="Times New Roman"/>
                <w:sz w:val="18"/>
              </w:rPr>
              <w:t>5967 (42,0)</w:t>
            </w:r>
          </w:p>
        </w:tc>
        <w:tc>
          <w:tcPr>
            <w:tcW w:type="dxa" w:w="2357"/>
          </w:tcPr>
          <w:p>
            <w:r/>
            <w:r>
              <w:rPr>
                <w:rFonts w:ascii="Times New Roman" w:hAnsi="Times New Roman"/>
                <w:b/>
                <w:sz w:val="18"/>
              </w:rPr>
              <w:t>3,54 (3,38–3,71, p &lt;0,001)</w:t>
            </w:r>
          </w:p>
        </w:tc>
        <w:tc>
          <w:tcPr>
            <w:tcW w:type="dxa" w:w="2143"/>
          </w:tcPr>
          <w:p>
            <w:r/>
            <w:r>
              <w:rPr>
                <w:rFonts w:ascii="Times New Roman" w:hAnsi="Times New Roman"/>
                <w:b/>
                <w:sz w:val="18"/>
              </w:rPr>
              <w:t>1,74 (1,61–1,88, p &lt;0,001)</w:t>
            </w:r>
          </w:p>
        </w:tc>
      </w:tr>
      <w:tr>
        <w:tc>
          <w:tcPr>
            <w:tcW w:type="dxa" w:w="1428"/>
          </w:tcPr>
          <w:p>
            <w:r/>
            <w:r>
              <w:rPr>
                <w:rFonts w:ascii="Times New Roman" w:hAnsi="Times New Roman"/>
                <w:sz w:val="18"/>
              </w:rPr>
              <w:t>Thao túng xã hội</w:t>
            </w:r>
          </w:p>
        </w:tc>
        <w:tc>
          <w:tcPr>
            <w:tcW w:type="dxa" w:w="1071"/>
          </w:tcPr>
          <w:p>
            <w:r/>
            <w:r>
              <w:rPr>
                <w:rFonts w:ascii="Times New Roman" w:hAnsi="Times New Roman"/>
                <w:sz w:val="18"/>
              </w:rPr>
              <w:t>Không</w:t>
            </w:r>
          </w:p>
        </w:tc>
        <w:tc>
          <w:tcPr>
            <w:tcW w:type="dxa" w:w="1143"/>
          </w:tcPr>
          <w:p>
            <w:r/>
            <w:r>
              <w:rPr>
                <w:rFonts w:ascii="Times New Roman" w:hAnsi="Times New Roman"/>
                <w:sz w:val="18"/>
              </w:rPr>
              <w:t>20.396 (88,2)</w:t>
            </w:r>
          </w:p>
        </w:tc>
        <w:tc>
          <w:tcPr>
            <w:tcW w:type="dxa" w:w="929"/>
          </w:tcPr>
          <w:p>
            <w:r/>
            <w:r>
              <w:rPr>
                <w:rFonts w:ascii="Times New Roman" w:hAnsi="Times New Roman"/>
                <w:sz w:val="18"/>
              </w:rPr>
              <w:t>2733 (11,8)</w:t>
            </w:r>
          </w:p>
        </w:tc>
        <w:tc>
          <w:tcPr>
            <w:tcW w:type="dxa" w:w="2357"/>
          </w:tcPr>
          <w:p>
            <w:r/>
            <w:r>
              <w:rPr>
                <w:rFonts w:ascii="Times New Roman" w:hAnsi="Times New Roman"/>
                <w:sz w:val="18"/>
              </w:rPr>
              <w:t>-</w:t>
            </w:r>
          </w:p>
        </w:tc>
        <w:tc>
          <w:tcPr>
            <w:tcW w:type="dxa" w:w="2143"/>
          </w:tcPr>
          <w:p>
            <w:r/>
            <w:r>
              <w:rPr>
                <w:rFonts w:ascii="Times New Roman" w:hAnsi="Times New Roman"/>
                <w:sz w:val="18"/>
              </w:rPr>
              <w:t>-</w:t>
            </w:r>
          </w:p>
        </w:tc>
      </w:tr>
      <w:tr>
        <w:tc>
          <w:tcPr>
            <w:tcW w:type="dxa" w:w="1428"/>
          </w:tcPr>
          <w:p>
            <w:r/>
            <w:r>
              <w:rPr>
                <w:rFonts w:ascii="Times New Roman" w:hAnsi="Times New Roman"/>
                <w:sz w:val="18"/>
              </w:rPr>
            </w:r>
          </w:p>
        </w:tc>
        <w:tc>
          <w:tcPr>
            <w:tcW w:type="dxa" w:w="1071"/>
          </w:tcPr>
          <w:p>
            <w:r/>
            <w:r>
              <w:rPr>
                <w:rFonts w:ascii="Times New Roman" w:hAnsi="Times New Roman"/>
                <w:sz w:val="18"/>
              </w:rPr>
              <w:t>Có</w:t>
            </w:r>
          </w:p>
        </w:tc>
        <w:tc>
          <w:tcPr>
            <w:tcW w:type="dxa" w:w="1143"/>
          </w:tcPr>
          <w:p>
            <w:r/>
            <w:r>
              <w:rPr>
                <w:rFonts w:ascii="Times New Roman" w:hAnsi="Times New Roman"/>
                <w:sz w:val="18"/>
              </w:rPr>
              <w:t>12.067 (59,6)</w:t>
            </w:r>
          </w:p>
        </w:tc>
        <w:tc>
          <w:tcPr>
            <w:tcW w:type="dxa" w:w="929"/>
          </w:tcPr>
          <w:p>
            <w:r/>
            <w:r>
              <w:rPr>
                <w:rFonts w:ascii="Times New Roman" w:hAnsi="Times New Roman"/>
                <w:sz w:val="18"/>
              </w:rPr>
              <w:t>8177 (40,4)</w:t>
            </w:r>
          </w:p>
        </w:tc>
        <w:tc>
          <w:tcPr>
            <w:tcW w:type="dxa" w:w="2357"/>
          </w:tcPr>
          <w:p>
            <w:r/>
            <w:r>
              <w:rPr>
                <w:rFonts w:ascii="Times New Roman" w:hAnsi="Times New Roman"/>
                <w:b/>
                <w:sz w:val="18"/>
              </w:rPr>
              <w:t>5,06 (4,82–5,31, p &lt;0,001)</w:t>
            </w:r>
          </w:p>
        </w:tc>
        <w:tc>
          <w:tcPr>
            <w:tcW w:type="dxa" w:w="2143"/>
          </w:tcPr>
          <w:p>
            <w:r/>
            <w:r>
              <w:rPr>
                <w:rFonts w:ascii="Times New Roman" w:hAnsi="Times New Roman"/>
                <w:b/>
                <w:sz w:val="18"/>
              </w:rPr>
              <w:t>2,04 (1,91–2,18, p &lt;0,001)</w:t>
            </w:r>
          </w:p>
        </w:tc>
      </w:tr>
      <w:tr>
        <w:tc>
          <w:tcPr>
            <w:tcW w:type="dxa" w:w="1428"/>
          </w:tcPr>
          <w:p>
            <w:r/>
            <w:r>
              <w:rPr>
                <w:rFonts w:ascii="Times New Roman" w:hAnsi="Times New Roman"/>
                <w:sz w:val="18"/>
              </w:rPr>
              <w:t>Tấn công tài sản</w:t>
            </w:r>
          </w:p>
        </w:tc>
        <w:tc>
          <w:tcPr>
            <w:tcW w:type="dxa" w:w="1071"/>
          </w:tcPr>
          <w:p>
            <w:r/>
            <w:r>
              <w:rPr>
                <w:rFonts w:ascii="Times New Roman" w:hAnsi="Times New Roman"/>
                <w:sz w:val="18"/>
              </w:rPr>
              <w:t>Không</w:t>
            </w:r>
          </w:p>
        </w:tc>
        <w:tc>
          <w:tcPr>
            <w:tcW w:type="dxa" w:w="1143"/>
          </w:tcPr>
          <w:p>
            <w:r/>
            <w:r>
              <w:rPr>
                <w:rFonts w:ascii="Times New Roman" w:hAnsi="Times New Roman"/>
                <w:sz w:val="18"/>
              </w:rPr>
              <w:t>15.502 (88,8)</w:t>
            </w:r>
          </w:p>
        </w:tc>
        <w:tc>
          <w:tcPr>
            <w:tcW w:type="dxa" w:w="929"/>
          </w:tcPr>
          <w:p>
            <w:r/>
            <w:r>
              <w:rPr>
                <w:rFonts w:ascii="Times New Roman" w:hAnsi="Times New Roman"/>
                <w:sz w:val="18"/>
              </w:rPr>
              <w:t>1961 (11,2)</w:t>
            </w:r>
          </w:p>
        </w:tc>
        <w:tc>
          <w:tcPr>
            <w:tcW w:type="dxa" w:w="2357"/>
          </w:tcPr>
          <w:p>
            <w:r/>
            <w:r>
              <w:rPr>
                <w:rFonts w:ascii="Times New Roman" w:hAnsi="Times New Roman"/>
                <w:sz w:val="18"/>
              </w:rPr>
              <w:t>-</w:t>
            </w:r>
          </w:p>
        </w:tc>
        <w:tc>
          <w:tcPr>
            <w:tcW w:type="dxa" w:w="2143"/>
          </w:tcPr>
          <w:p>
            <w:r/>
            <w:r>
              <w:rPr>
                <w:rFonts w:ascii="Times New Roman" w:hAnsi="Times New Roman"/>
                <w:sz w:val="18"/>
              </w:rPr>
              <w:t>-</w:t>
            </w:r>
          </w:p>
        </w:tc>
      </w:tr>
      <w:tr>
        <w:tc>
          <w:tcPr>
            <w:tcW w:type="dxa" w:w="1428"/>
          </w:tcPr>
          <w:p>
            <w:r/>
            <w:r>
              <w:rPr>
                <w:rFonts w:ascii="Times New Roman" w:hAnsi="Times New Roman"/>
                <w:sz w:val="18"/>
              </w:rPr>
            </w:r>
          </w:p>
        </w:tc>
        <w:tc>
          <w:tcPr>
            <w:tcW w:type="dxa" w:w="1071"/>
          </w:tcPr>
          <w:p>
            <w:r/>
            <w:r>
              <w:rPr>
                <w:rFonts w:ascii="Times New Roman" w:hAnsi="Times New Roman"/>
                <w:sz w:val="18"/>
              </w:rPr>
              <w:t>Có</w:t>
            </w:r>
          </w:p>
        </w:tc>
        <w:tc>
          <w:tcPr>
            <w:tcW w:type="dxa" w:w="1143"/>
          </w:tcPr>
          <w:p>
            <w:r/>
            <w:r>
              <w:rPr>
                <w:rFonts w:ascii="Times New Roman" w:hAnsi="Times New Roman"/>
                <w:sz w:val="18"/>
              </w:rPr>
              <w:t>16.961 (65,5)</w:t>
            </w:r>
          </w:p>
        </w:tc>
        <w:tc>
          <w:tcPr>
            <w:tcW w:type="dxa" w:w="929"/>
          </w:tcPr>
          <w:p>
            <w:r/>
            <w:r>
              <w:rPr>
                <w:rFonts w:ascii="Times New Roman" w:hAnsi="Times New Roman"/>
                <w:sz w:val="18"/>
              </w:rPr>
              <w:t>8949 (34,5)</w:t>
            </w:r>
          </w:p>
        </w:tc>
        <w:tc>
          <w:tcPr>
            <w:tcW w:type="dxa" w:w="2357"/>
          </w:tcPr>
          <w:p>
            <w:r/>
            <w:r>
              <w:rPr>
                <w:rFonts w:ascii="Times New Roman" w:hAnsi="Times New Roman"/>
                <w:b/>
                <w:sz w:val="18"/>
              </w:rPr>
              <w:t>4,17 (3,95–4,40, p &lt;0,001)</w:t>
            </w:r>
          </w:p>
        </w:tc>
        <w:tc>
          <w:tcPr>
            <w:tcW w:type="dxa" w:w="2143"/>
          </w:tcPr>
          <w:p>
            <w:r/>
            <w:r>
              <w:rPr>
                <w:rFonts w:ascii="Times New Roman" w:hAnsi="Times New Roman"/>
                <w:b/>
                <w:sz w:val="18"/>
              </w:rPr>
              <w:t>1,22 (1,13–1,31, p &lt;0,001)</w:t>
            </w:r>
          </w:p>
        </w:tc>
      </w:tr>
    </w:tbl>
    <w:p/>
    <w:p>
      <w:r>
        <w:rPr>
          <w:b/>
          <w:color w:val="FF6600"/>
          <w:sz w:val="20"/>
        </w:rPr>
        <w:t>--- Trang 7/9, BMC Psychiatry, 23:580, tháng 8/2023 ---</w:t>
      </w:r>
    </w:p>
    <w:p>
      <w:r>
        <w:rPr>
          <w:b/>
          <w:sz w:val="24"/>
        </w:rPr>
        <w:t>Bảng 4: Phân tích đơn biến và đa biến các yếu tố ảnh hưởng đến căng thẳng tâm thần ở học sinh trung học phổ thông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51"/>
          </w:tcPr>
          <w:p>
            <w:r>
              <w:rPr>
                <w:b/>
              </w:rPr>
            </w:r>
            <w:r>
              <w:rPr>
                <w:rFonts w:ascii="Times New Roman" w:hAnsi="Times New Roman"/>
                <w:b/>
                <w:sz w:val="18"/>
              </w:rPr>
              <w:t>Biến</w:t>
            </w:r>
          </w:p>
        </w:tc>
        <w:tc>
          <w:tcPr>
            <w:tcW w:type="dxa" w:w="1089"/>
          </w:tcPr>
          <w:p>
            <w:r>
              <w:rPr>
                <w:b/>
              </w:rPr>
            </w:r>
            <w:r>
              <w:rPr>
                <w:rFonts w:ascii="Times New Roman" w:hAnsi="Times New Roman"/>
                <w:b/>
                <w:sz w:val="18"/>
              </w:rPr>
            </w:r>
          </w:p>
        </w:tc>
        <w:tc>
          <w:tcPr>
            <w:tcW w:type="dxa" w:w="1161"/>
          </w:tcPr>
          <w:p>
            <w:r>
              <w:rPr>
                <w:b/>
              </w:rPr>
            </w:r>
            <w:r>
              <w:rPr>
                <w:rFonts w:ascii="Times New Roman" w:hAnsi="Times New Roman"/>
                <w:b/>
                <w:sz w:val="18"/>
              </w:rPr>
              <w:t>Không căng thẳng</w:t>
            </w:r>
          </w:p>
        </w:tc>
        <w:tc>
          <w:tcPr>
            <w:tcW w:type="dxa" w:w="943"/>
          </w:tcPr>
          <w:p>
            <w:r>
              <w:rPr>
                <w:b/>
              </w:rPr>
            </w:r>
            <w:r>
              <w:rPr>
                <w:rFonts w:ascii="Times New Roman" w:hAnsi="Times New Roman"/>
                <w:b/>
                <w:sz w:val="18"/>
              </w:rPr>
              <w:t>Có căng thẳng</w:t>
            </w:r>
          </w:p>
        </w:tc>
        <w:tc>
          <w:tcPr>
            <w:tcW w:type="dxa" w:w="2250"/>
          </w:tcPr>
          <w:p>
            <w:r>
              <w:rPr>
                <w:b/>
              </w:rPr>
            </w:r>
            <w:r>
              <w:rPr>
                <w:rFonts w:ascii="Times New Roman" w:hAnsi="Times New Roman"/>
                <w:b/>
                <w:sz w:val="18"/>
              </w:rPr>
              <w:t>OR (đơn biến)</w:t>
            </w:r>
          </w:p>
        </w:tc>
        <w:tc>
          <w:tcPr>
            <w:tcW w:type="dxa" w:w="2177"/>
          </w:tcPr>
          <w:p>
            <w:r>
              <w:rPr>
                <w:b/>
              </w:rPr>
            </w:r>
            <w:r>
              <w:rPr>
                <w:rFonts w:ascii="Times New Roman" w:hAnsi="Times New Roman"/>
                <w:b/>
                <w:sz w:val="18"/>
              </w:rPr>
              <w:t>OR (đa biến)</w:t>
            </w:r>
          </w:p>
        </w:tc>
      </w:tr>
      <w:tr>
        <w:tc>
          <w:tcPr>
            <w:tcW w:type="dxa" w:w="1451"/>
          </w:tcPr>
          <w:p>
            <w:r/>
            <w:r>
              <w:rPr>
                <w:rFonts w:ascii="Times New Roman" w:hAnsi="Times New Roman"/>
                <w:sz w:val="18"/>
              </w:rPr>
              <w:t>Giới tính</w:t>
            </w:r>
          </w:p>
        </w:tc>
        <w:tc>
          <w:tcPr>
            <w:tcW w:type="dxa" w:w="1089"/>
          </w:tcPr>
          <w:p>
            <w:r/>
            <w:r>
              <w:rPr>
                <w:rFonts w:ascii="Times New Roman" w:hAnsi="Times New Roman"/>
                <w:sz w:val="18"/>
              </w:rPr>
              <w:t>Nam</w:t>
            </w:r>
          </w:p>
        </w:tc>
        <w:tc>
          <w:tcPr>
            <w:tcW w:type="dxa" w:w="1161"/>
          </w:tcPr>
          <w:p>
            <w:r/>
            <w:r>
              <w:rPr>
                <w:rFonts w:ascii="Times New Roman" w:hAnsi="Times New Roman"/>
                <w:sz w:val="18"/>
              </w:rPr>
              <w:t>6928 (78,1)</w:t>
            </w:r>
          </w:p>
        </w:tc>
        <w:tc>
          <w:tcPr>
            <w:tcW w:type="dxa" w:w="943"/>
          </w:tcPr>
          <w:p>
            <w:r/>
            <w:r>
              <w:rPr>
                <w:rFonts w:ascii="Times New Roman" w:hAnsi="Times New Roman"/>
                <w:sz w:val="18"/>
              </w:rPr>
              <w:t>1948 (21,9)</w:t>
            </w:r>
          </w:p>
        </w:tc>
        <w:tc>
          <w:tcPr>
            <w:tcW w:type="dxa" w:w="2250"/>
          </w:tcPr>
          <w:p>
            <w:r/>
            <w:r>
              <w:rPr>
                <w:rFonts w:ascii="Times New Roman" w:hAnsi="Times New Roman"/>
                <w:sz w:val="18"/>
              </w:rPr>
              <w:t>-</w:t>
            </w:r>
          </w:p>
        </w:tc>
        <w:tc>
          <w:tcPr>
            <w:tcW w:type="dxa" w:w="2177"/>
          </w:tcPr>
          <w:p>
            <w:r/>
            <w:r>
              <w:rPr>
                <w:rFonts w:ascii="Times New Roman" w:hAnsi="Times New Roman"/>
                <w:sz w:val="18"/>
              </w:rPr>
              <w:t>-</w:t>
            </w:r>
          </w:p>
        </w:tc>
      </w:tr>
      <w:tr>
        <w:tc>
          <w:tcPr>
            <w:tcW w:type="dxa" w:w="1451"/>
          </w:tcPr>
          <w:p>
            <w:r/>
            <w:r>
              <w:rPr>
                <w:rFonts w:ascii="Times New Roman" w:hAnsi="Times New Roman"/>
                <w:sz w:val="18"/>
              </w:rPr>
            </w:r>
          </w:p>
        </w:tc>
        <w:tc>
          <w:tcPr>
            <w:tcW w:type="dxa" w:w="1089"/>
          </w:tcPr>
          <w:p>
            <w:r/>
            <w:r>
              <w:rPr>
                <w:rFonts w:ascii="Times New Roman" w:hAnsi="Times New Roman"/>
                <w:sz w:val="18"/>
              </w:rPr>
              <w:t>Nữ</w:t>
            </w:r>
          </w:p>
        </w:tc>
        <w:tc>
          <w:tcPr>
            <w:tcW w:type="dxa" w:w="1161"/>
          </w:tcPr>
          <w:p>
            <w:r/>
            <w:r>
              <w:rPr>
                <w:rFonts w:ascii="Times New Roman" w:hAnsi="Times New Roman"/>
                <w:sz w:val="18"/>
              </w:rPr>
              <w:t>7716 (70,4)</w:t>
            </w:r>
          </w:p>
        </w:tc>
        <w:tc>
          <w:tcPr>
            <w:tcW w:type="dxa" w:w="943"/>
          </w:tcPr>
          <w:p>
            <w:r/>
            <w:r>
              <w:rPr>
                <w:rFonts w:ascii="Times New Roman" w:hAnsi="Times New Roman"/>
                <w:sz w:val="18"/>
              </w:rPr>
              <w:t>3240 (29,6)</w:t>
            </w:r>
          </w:p>
        </w:tc>
        <w:tc>
          <w:tcPr>
            <w:tcW w:type="dxa" w:w="2250"/>
          </w:tcPr>
          <w:p>
            <w:r/>
            <w:r>
              <w:rPr>
                <w:rFonts w:ascii="Times New Roman" w:hAnsi="Times New Roman"/>
                <w:b/>
                <w:sz w:val="18"/>
              </w:rPr>
              <w:t>1,49 (1,40–1,59, p &lt;0,001)</w:t>
            </w:r>
          </w:p>
        </w:tc>
        <w:tc>
          <w:tcPr>
            <w:tcW w:type="dxa" w:w="2177"/>
          </w:tcPr>
          <w:p>
            <w:r/>
            <w:r>
              <w:rPr>
                <w:rFonts w:ascii="Times New Roman" w:hAnsi="Times New Roman"/>
                <w:b/>
                <w:sz w:val="18"/>
              </w:rPr>
              <w:t>1,58 (1,47–1,71, p &lt;0,001)</w:t>
            </w:r>
          </w:p>
        </w:tc>
      </w:tr>
      <w:tr>
        <w:tc>
          <w:tcPr>
            <w:tcW w:type="dxa" w:w="1451"/>
          </w:tcPr>
          <w:p>
            <w:r/>
            <w:r>
              <w:rPr>
                <w:rFonts w:ascii="Times New Roman" w:hAnsi="Times New Roman"/>
                <w:sz w:val="18"/>
              </w:rPr>
              <w:t>Tuổi</w:t>
            </w:r>
          </w:p>
        </w:tc>
        <w:tc>
          <w:tcPr>
            <w:tcW w:type="dxa" w:w="1089"/>
          </w:tcPr>
          <w:p>
            <w:r/>
            <w:r>
              <w:rPr>
                <w:rFonts w:ascii="Times New Roman" w:hAnsi="Times New Roman"/>
                <w:sz w:val="18"/>
              </w:rPr>
              <w:t>Trung bình (SD)</w:t>
            </w:r>
          </w:p>
        </w:tc>
        <w:tc>
          <w:tcPr>
            <w:tcW w:type="dxa" w:w="1161"/>
          </w:tcPr>
          <w:p>
            <w:r/>
            <w:r>
              <w:rPr>
                <w:rFonts w:ascii="Times New Roman" w:hAnsi="Times New Roman"/>
                <w:sz w:val="18"/>
              </w:rPr>
              <w:t>16,3 (1,0)</w:t>
            </w:r>
          </w:p>
        </w:tc>
        <w:tc>
          <w:tcPr>
            <w:tcW w:type="dxa" w:w="943"/>
          </w:tcPr>
          <w:p>
            <w:r/>
            <w:r>
              <w:rPr>
                <w:rFonts w:ascii="Times New Roman" w:hAnsi="Times New Roman"/>
                <w:sz w:val="18"/>
              </w:rPr>
              <w:t>16,2 (1,0)</w:t>
            </w:r>
          </w:p>
        </w:tc>
        <w:tc>
          <w:tcPr>
            <w:tcW w:type="dxa" w:w="2250"/>
          </w:tcPr>
          <w:p>
            <w:r/>
            <w:r>
              <w:rPr>
                <w:rFonts w:ascii="Times New Roman" w:hAnsi="Times New Roman"/>
                <w:b/>
                <w:sz w:val="18"/>
              </w:rPr>
              <w:t>0,93 (0,90–0,96, p &lt;0,001)</w:t>
            </w:r>
          </w:p>
        </w:tc>
        <w:tc>
          <w:tcPr>
            <w:tcW w:type="dxa" w:w="2177"/>
          </w:tcPr>
          <w:p>
            <w:r/>
            <w:r>
              <w:rPr>
                <w:rFonts w:ascii="Times New Roman" w:hAnsi="Times New Roman"/>
                <w:sz w:val="18"/>
              </w:rPr>
              <w:t>0,97 (0,93–1,01, p=0,096)</w:t>
            </w:r>
          </w:p>
        </w:tc>
      </w:tr>
      <w:tr>
        <w:tc>
          <w:tcPr>
            <w:tcW w:type="dxa" w:w="1451"/>
          </w:tcPr>
          <w:p>
            <w:r/>
            <w:r>
              <w:rPr>
                <w:rFonts w:ascii="Times New Roman" w:hAnsi="Times New Roman"/>
                <w:sz w:val="18"/>
              </w:rPr>
              <w:t>Nơi cư trú</w:t>
            </w:r>
          </w:p>
        </w:tc>
        <w:tc>
          <w:tcPr>
            <w:tcW w:type="dxa" w:w="1089"/>
          </w:tcPr>
          <w:p>
            <w:r/>
            <w:r>
              <w:rPr>
                <w:rFonts w:ascii="Times New Roman" w:hAnsi="Times New Roman"/>
                <w:sz w:val="18"/>
              </w:rPr>
              <w:t>Nông thôn</w:t>
            </w:r>
          </w:p>
        </w:tc>
        <w:tc>
          <w:tcPr>
            <w:tcW w:type="dxa" w:w="1161"/>
          </w:tcPr>
          <w:p>
            <w:r/>
            <w:r>
              <w:rPr>
                <w:rFonts w:ascii="Times New Roman" w:hAnsi="Times New Roman"/>
                <w:sz w:val="18"/>
              </w:rPr>
              <w:t>9172 (75,4)</w:t>
            </w:r>
          </w:p>
        </w:tc>
        <w:tc>
          <w:tcPr>
            <w:tcW w:type="dxa" w:w="943"/>
          </w:tcPr>
          <w:p>
            <w:r/>
            <w:r>
              <w:rPr>
                <w:rFonts w:ascii="Times New Roman" w:hAnsi="Times New Roman"/>
                <w:sz w:val="18"/>
              </w:rPr>
              <w:t>2991 (24,6)</w:t>
            </w:r>
          </w:p>
        </w:tc>
        <w:tc>
          <w:tcPr>
            <w:tcW w:type="dxa" w:w="2250"/>
          </w:tcPr>
          <w:p>
            <w:r/>
            <w:r>
              <w:rPr>
                <w:rFonts w:ascii="Times New Roman" w:hAnsi="Times New Roman"/>
                <w:sz w:val="18"/>
              </w:rPr>
              <w:t>-</w:t>
            </w:r>
          </w:p>
        </w:tc>
        <w:tc>
          <w:tcPr>
            <w:tcW w:type="dxa" w:w="2177"/>
          </w:tcPr>
          <w:p>
            <w:r/>
            <w:r>
              <w:rPr>
                <w:rFonts w:ascii="Times New Roman" w:hAnsi="Times New Roman"/>
                <w:sz w:val="18"/>
              </w:rPr>
              <w:t>-</w:t>
            </w:r>
          </w:p>
        </w:tc>
      </w:tr>
      <w:tr>
        <w:tc>
          <w:tcPr>
            <w:tcW w:type="dxa" w:w="1451"/>
          </w:tcPr>
          <w:p>
            <w:r/>
            <w:r>
              <w:rPr>
                <w:rFonts w:ascii="Times New Roman" w:hAnsi="Times New Roman"/>
                <w:sz w:val="18"/>
              </w:rPr>
            </w:r>
          </w:p>
        </w:tc>
        <w:tc>
          <w:tcPr>
            <w:tcW w:type="dxa" w:w="1089"/>
          </w:tcPr>
          <w:p>
            <w:r/>
            <w:r>
              <w:rPr>
                <w:rFonts w:ascii="Times New Roman" w:hAnsi="Times New Roman"/>
                <w:sz w:val="18"/>
              </w:rPr>
              <w:t>Thành thị</w:t>
            </w:r>
          </w:p>
        </w:tc>
        <w:tc>
          <w:tcPr>
            <w:tcW w:type="dxa" w:w="1161"/>
          </w:tcPr>
          <w:p>
            <w:r/>
            <w:r>
              <w:rPr>
                <w:rFonts w:ascii="Times New Roman" w:hAnsi="Times New Roman"/>
                <w:sz w:val="18"/>
              </w:rPr>
              <w:t>5472 (71,4)</w:t>
            </w:r>
          </w:p>
        </w:tc>
        <w:tc>
          <w:tcPr>
            <w:tcW w:type="dxa" w:w="943"/>
          </w:tcPr>
          <w:p>
            <w:r/>
            <w:r>
              <w:rPr>
                <w:rFonts w:ascii="Times New Roman" w:hAnsi="Times New Roman"/>
                <w:sz w:val="18"/>
              </w:rPr>
              <w:t>2197 (28,6)</w:t>
            </w:r>
          </w:p>
        </w:tc>
        <w:tc>
          <w:tcPr>
            <w:tcW w:type="dxa" w:w="2250"/>
          </w:tcPr>
          <w:p>
            <w:r/>
            <w:r>
              <w:rPr>
                <w:rFonts w:ascii="Times New Roman" w:hAnsi="Times New Roman"/>
                <w:b/>
                <w:sz w:val="18"/>
              </w:rPr>
              <w:t>1,23 (1,15–1,31, p &lt;0,001)</w:t>
            </w:r>
          </w:p>
        </w:tc>
        <w:tc>
          <w:tcPr>
            <w:tcW w:type="dxa" w:w="2177"/>
          </w:tcPr>
          <w:p>
            <w:r/>
            <w:r>
              <w:rPr>
                <w:rFonts w:ascii="Times New Roman" w:hAnsi="Times New Roman"/>
                <w:b/>
                <w:sz w:val="18"/>
              </w:rPr>
              <w:t>1,24 (1,15–1,34, p &lt;0,001)</w:t>
            </w:r>
          </w:p>
        </w:tc>
      </w:tr>
      <w:tr>
        <w:tc>
          <w:tcPr>
            <w:tcW w:type="dxa" w:w="1451"/>
          </w:tcPr>
          <w:p>
            <w:r/>
            <w:r>
              <w:rPr>
                <w:rFonts w:ascii="Times New Roman" w:hAnsi="Times New Roman"/>
                <w:sz w:val="18"/>
              </w:rPr>
              <w:t>Con một</w:t>
            </w:r>
          </w:p>
        </w:tc>
        <w:tc>
          <w:tcPr>
            <w:tcW w:type="dxa" w:w="1089"/>
          </w:tcPr>
          <w:p>
            <w:r/>
            <w:r>
              <w:rPr>
                <w:rFonts w:ascii="Times New Roman" w:hAnsi="Times New Roman"/>
                <w:sz w:val="18"/>
              </w:rPr>
              <w:t>Không</w:t>
            </w:r>
          </w:p>
        </w:tc>
        <w:tc>
          <w:tcPr>
            <w:tcW w:type="dxa" w:w="1161"/>
          </w:tcPr>
          <w:p>
            <w:r/>
            <w:r>
              <w:rPr>
                <w:rFonts w:ascii="Times New Roman" w:hAnsi="Times New Roman"/>
                <w:sz w:val="18"/>
              </w:rPr>
              <w:t>11.267 (74,2)</w:t>
            </w:r>
          </w:p>
        </w:tc>
        <w:tc>
          <w:tcPr>
            <w:tcW w:type="dxa" w:w="943"/>
          </w:tcPr>
          <w:p>
            <w:r/>
            <w:r>
              <w:rPr>
                <w:rFonts w:ascii="Times New Roman" w:hAnsi="Times New Roman"/>
                <w:sz w:val="18"/>
              </w:rPr>
              <w:t>3915 (25,8)</w:t>
            </w:r>
          </w:p>
        </w:tc>
        <w:tc>
          <w:tcPr>
            <w:tcW w:type="dxa" w:w="2250"/>
          </w:tcPr>
          <w:p>
            <w:r/>
            <w:r>
              <w:rPr>
                <w:rFonts w:ascii="Times New Roman" w:hAnsi="Times New Roman"/>
                <w:sz w:val="18"/>
              </w:rPr>
              <w:t>-</w:t>
            </w:r>
          </w:p>
        </w:tc>
        <w:tc>
          <w:tcPr>
            <w:tcW w:type="dxa" w:w="2177"/>
          </w:tcPr>
          <w:p>
            <w:r/>
            <w:r>
              <w:rPr>
                <w:rFonts w:ascii="Times New Roman" w:hAnsi="Times New Roman"/>
                <w:sz w:val="18"/>
              </w:rPr>
              <w:t>-</w:t>
            </w:r>
          </w:p>
        </w:tc>
      </w:tr>
      <w:tr>
        <w:tc>
          <w:tcPr>
            <w:tcW w:type="dxa" w:w="1451"/>
          </w:tcPr>
          <w:p>
            <w:r/>
            <w:r>
              <w:rPr>
                <w:rFonts w:ascii="Times New Roman" w:hAnsi="Times New Roman"/>
                <w:sz w:val="18"/>
              </w:rPr>
            </w:r>
          </w:p>
        </w:tc>
        <w:tc>
          <w:tcPr>
            <w:tcW w:type="dxa" w:w="1089"/>
          </w:tcPr>
          <w:p>
            <w:r/>
            <w:r>
              <w:rPr>
                <w:rFonts w:ascii="Times New Roman" w:hAnsi="Times New Roman"/>
                <w:sz w:val="18"/>
              </w:rPr>
              <w:t>Có</w:t>
            </w:r>
          </w:p>
        </w:tc>
        <w:tc>
          <w:tcPr>
            <w:tcW w:type="dxa" w:w="1161"/>
          </w:tcPr>
          <w:p>
            <w:r/>
            <w:r>
              <w:rPr>
                <w:rFonts w:ascii="Times New Roman" w:hAnsi="Times New Roman"/>
                <w:sz w:val="18"/>
              </w:rPr>
              <w:t>3377 (72,6)</w:t>
            </w:r>
          </w:p>
        </w:tc>
        <w:tc>
          <w:tcPr>
            <w:tcW w:type="dxa" w:w="943"/>
          </w:tcPr>
          <w:p>
            <w:r/>
            <w:r>
              <w:rPr>
                <w:rFonts w:ascii="Times New Roman" w:hAnsi="Times New Roman"/>
                <w:sz w:val="18"/>
              </w:rPr>
              <w:t>1273 (27,4)</w:t>
            </w:r>
          </w:p>
        </w:tc>
        <w:tc>
          <w:tcPr>
            <w:tcW w:type="dxa" w:w="2250"/>
          </w:tcPr>
          <w:p>
            <w:r/>
            <w:r>
              <w:rPr>
                <w:rFonts w:ascii="Times New Roman" w:hAnsi="Times New Roman"/>
                <w:sz w:val="18"/>
              </w:rPr>
              <w:t>1,08 (1,01–1,17, p=0,031)</w:t>
            </w:r>
          </w:p>
        </w:tc>
        <w:tc>
          <w:tcPr>
            <w:tcW w:type="dxa" w:w="2177"/>
          </w:tcPr>
          <w:p>
            <w:r/>
            <w:r>
              <w:rPr>
                <w:rFonts w:ascii="Times New Roman" w:hAnsi="Times New Roman"/>
                <w:sz w:val="18"/>
              </w:rPr>
              <w:t>-</w:t>
            </w:r>
          </w:p>
        </w:tc>
      </w:tr>
      <w:tr>
        <w:tc>
          <w:tcPr>
            <w:tcW w:type="dxa" w:w="1451"/>
          </w:tcPr>
          <w:p>
            <w:r/>
            <w:r>
              <w:rPr>
                <w:rFonts w:ascii="Times New Roman" w:hAnsi="Times New Roman"/>
                <w:sz w:val="18"/>
              </w:rPr>
              <w:t>Trẻ bị bỏ lại</w:t>
            </w:r>
          </w:p>
        </w:tc>
        <w:tc>
          <w:tcPr>
            <w:tcW w:type="dxa" w:w="1089"/>
          </w:tcPr>
          <w:p>
            <w:r/>
            <w:r>
              <w:rPr>
                <w:rFonts w:ascii="Times New Roman" w:hAnsi="Times New Roman"/>
                <w:sz w:val="18"/>
              </w:rPr>
              <w:t>Không</w:t>
            </w:r>
          </w:p>
        </w:tc>
        <w:tc>
          <w:tcPr>
            <w:tcW w:type="dxa" w:w="1161"/>
          </w:tcPr>
          <w:p>
            <w:r/>
            <w:r>
              <w:rPr>
                <w:rFonts w:ascii="Times New Roman" w:hAnsi="Times New Roman"/>
                <w:sz w:val="18"/>
              </w:rPr>
              <w:t>9472 (73,5)</w:t>
            </w:r>
          </w:p>
        </w:tc>
        <w:tc>
          <w:tcPr>
            <w:tcW w:type="dxa" w:w="943"/>
          </w:tcPr>
          <w:p>
            <w:r/>
            <w:r>
              <w:rPr>
                <w:rFonts w:ascii="Times New Roman" w:hAnsi="Times New Roman"/>
                <w:sz w:val="18"/>
              </w:rPr>
              <w:t>3417 (26,5)</w:t>
            </w:r>
          </w:p>
        </w:tc>
        <w:tc>
          <w:tcPr>
            <w:tcW w:type="dxa" w:w="2250"/>
          </w:tcPr>
          <w:p>
            <w:r/>
            <w:r>
              <w:rPr>
                <w:rFonts w:ascii="Times New Roman" w:hAnsi="Times New Roman"/>
                <w:sz w:val="18"/>
              </w:rPr>
              <w:t>-</w:t>
            </w:r>
          </w:p>
        </w:tc>
        <w:tc>
          <w:tcPr>
            <w:tcW w:type="dxa" w:w="2177"/>
          </w:tcPr>
          <w:p>
            <w:r/>
            <w:r>
              <w:rPr>
                <w:rFonts w:ascii="Times New Roman" w:hAnsi="Times New Roman"/>
                <w:sz w:val="18"/>
              </w:rPr>
              <w:t>-</w:t>
            </w:r>
          </w:p>
        </w:tc>
      </w:tr>
      <w:tr>
        <w:tc>
          <w:tcPr>
            <w:tcW w:type="dxa" w:w="1451"/>
          </w:tcPr>
          <w:p>
            <w:r/>
            <w:r>
              <w:rPr>
                <w:rFonts w:ascii="Times New Roman" w:hAnsi="Times New Roman"/>
                <w:sz w:val="18"/>
              </w:rPr>
            </w:r>
          </w:p>
        </w:tc>
        <w:tc>
          <w:tcPr>
            <w:tcW w:type="dxa" w:w="1089"/>
          </w:tcPr>
          <w:p>
            <w:r/>
            <w:r>
              <w:rPr>
                <w:rFonts w:ascii="Times New Roman" w:hAnsi="Times New Roman"/>
                <w:sz w:val="18"/>
              </w:rPr>
              <w:t>Có</w:t>
            </w:r>
          </w:p>
        </w:tc>
        <w:tc>
          <w:tcPr>
            <w:tcW w:type="dxa" w:w="1161"/>
          </w:tcPr>
          <w:p>
            <w:r/>
            <w:r>
              <w:rPr>
                <w:rFonts w:ascii="Times New Roman" w:hAnsi="Times New Roman"/>
                <w:sz w:val="18"/>
              </w:rPr>
              <w:t>5172 (74,5)</w:t>
            </w:r>
          </w:p>
        </w:tc>
        <w:tc>
          <w:tcPr>
            <w:tcW w:type="dxa" w:w="943"/>
          </w:tcPr>
          <w:p>
            <w:r/>
            <w:r>
              <w:rPr>
                <w:rFonts w:ascii="Times New Roman" w:hAnsi="Times New Roman"/>
                <w:sz w:val="18"/>
              </w:rPr>
              <w:t>1771 (25,5)</w:t>
            </w:r>
          </w:p>
        </w:tc>
        <w:tc>
          <w:tcPr>
            <w:tcW w:type="dxa" w:w="2250"/>
          </w:tcPr>
          <w:p>
            <w:r/>
            <w:r>
              <w:rPr>
                <w:rFonts w:ascii="Times New Roman" w:hAnsi="Times New Roman"/>
                <w:sz w:val="18"/>
              </w:rPr>
              <w:t>0,95 (0,89–1,01, p=0,125)</w:t>
            </w:r>
          </w:p>
        </w:tc>
        <w:tc>
          <w:tcPr>
            <w:tcW w:type="dxa" w:w="2177"/>
          </w:tcPr>
          <w:p>
            <w:r/>
            <w:r>
              <w:rPr>
                <w:rFonts w:ascii="Times New Roman" w:hAnsi="Times New Roman"/>
                <w:sz w:val="18"/>
              </w:rPr>
              <w:t>-</w:t>
            </w:r>
          </w:p>
        </w:tc>
      </w:tr>
      <w:tr>
        <w:tc>
          <w:tcPr>
            <w:tcW w:type="dxa" w:w="1451"/>
          </w:tcPr>
          <w:p>
            <w:r/>
            <w:r>
              <w:rPr>
                <w:rFonts w:ascii="Times New Roman" w:hAnsi="Times New Roman"/>
                <w:sz w:val="18"/>
              </w:rPr>
              <w:t>Loại hình gia đình</w:t>
            </w:r>
          </w:p>
        </w:tc>
        <w:tc>
          <w:tcPr>
            <w:tcW w:type="dxa" w:w="1089"/>
          </w:tcPr>
          <w:p>
            <w:r/>
            <w:r>
              <w:rPr>
                <w:rFonts w:ascii="Times New Roman" w:hAnsi="Times New Roman"/>
                <w:sz w:val="18"/>
              </w:rPr>
              <w:t>Hạt nhân</w:t>
            </w:r>
          </w:p>
        </w:tc>
        <w:tc>
          <w:tcPr>
            <w:tcW w:type="dxa" w:w="1161"/>
          </w:tcPr>
          <w:p>
            <w:r/>
            <w:r>
              <w:rPr>
                <w:rFonts w:ascii="Times New Roman" w:hAnsi="Times New Roman"/>
                <w:sz w:val="18"/>
              </w:rPr>
              <w:t>12.348 (75,1)</w:t>
            </w:r>
          </w:p>
        </w:tc>
        <w:tc>
          <w:tcPr>
            <w:tcW w:type="dxa" w:w="943"/>
          </w:tcPr>
          <w:p>
            <w:r/>
            <w:r>
              <w:rPr>
                <w:rFonts w:ascii="Times New Roman" w:hAnsi="Times New Roman"/>
                <w:sz w:val="18"/>
              </w:rPr>
              <w:t>4095 (24,9)</w:t>
            </w:r>
          </w:p>
        </w:tc>
        <w:tc>
          <w:tcPr>
            <w:tcW w:type="dxa" w:w="2250"/>
          </w:tcPr>
          <w:p>
            <w:r/>
            <w:r>
              <w:rPr>
                <w:rFonts w:ascii="Times New Roman" w:hAnsi="Times New Roman"/>
                <w:sz w:val="18"/>
              </w:rPr>
              <w:t>-</w:t>
            </w:r>
          </w:p>
        </w:tc>
        <w:tc>
          <w:tcPr>
            <w:tcW w:type="dxa" w:w="2177"/>
          </w:tcPr>
          <w:p>
            <w:r/>
            <w:r>
              <w:rPr>
                <w:rFonts w:ascii="Times New Roman" w:hAnsi="Times New Roman"/>
                <w:sz w:val="18"/>
              </w:rPr>
              <w:t>-</w:t>
            </w:r>
          </w:p>
        </w:tc>
      </w:tr>
      <w:tr>
        <w:tc>
          <w:tcPr>
            <w:tcW w:type="dxa" w:w="1451"/>
          </w:tcPr>
          <w:p>
            <w:r/>
            <w:r>
              <w:rPr>
                <w:rFonts w:ascii="Times New Roman" w:hAnsi="Times New Roman"/>
                <w:sz w:val="18"/>
              </w:rPr>
            </w:r>
          </w:p>
        </w:tc>
        <w:tc>
          <w:tcPr>
            <w:tcW w:type="dxa" w:w="1089"/>
          </w:tcPr>
          <w:p>
            <w:r/>
            <w:r>
              <w:rPr>
                <w:rFonts w:ascii="Times New Roman" w:hAnsi="Times New Roman"/>
                <w:sz w:val="18"/>
              </w:rPr>
              <w:t>Không hạt nhân</w:t>
            </w:r>
          </w:p>
        </w:tc>
        <w:tc>
          <w:tcPr>
            <w:tcW w:type="dxa" w:w="1161"/>
          </w:tcPr>
          <w:p>
            <w:r/>
            <w:r>
              <w:rPr>
                <w:rFonts w:ascii="Times New Roman" w:hAnsi="Times New Roman"/>
                <w:sz w:val="18"/>
              </w:rPr>
              <w:t>2296 (67,7)</w:t>
            </w:r>
          </w:p>
        </w:tc>
        <w:tc>
          <w:tcPr>
            <w:tcW w:type="dxa" w:w="943"/>
          </w:tcPr>
          <w:p>
            <w:r/>
            <w:r>
              <w:rPr>
                <w:rFonts w:ascii="Times New Roman" w:hAnsi="Times New Roman"/>
                <w:sz w:val="18"/>
              </w:rPr>
              <w:t>1093 (32,3)</w:t>
            </w:r>
          </w:p>
        </w:tc>
        <w:tc>
          <w:tcPr>
            <w:tcW w:type="dxa" w:w="2250"/>
          </w:tcPr>
          <w:p>
            <w:r/>
            <w:r>
              <w:rPr>
                <w:rFonts w:ascii="Times New Roman" w:hAnsi="Times New Roman"/>
                <w:b/>
                <w:sz w:val="18"/>
              </w:rPr>
              <w:t>1,44 (1,32–1,56, p &lt;0,001)</w:t>
            </w:r>
          </w:p>
        </w:tc>
        <w:tc>
          <w:tcPr>
            <w:tcW w:type="dxa" w:w="2177"/>
          </w:tcPr>
          <w:p>
            <w:r/>
            <w:r>
              <w:rPr>
                <w:rFonts w:ascii="Times New Roman" w:hAnsi="Times New Roman"/>
                <w:b/>
                <w:sz w:val="18"/>
              </w:rPr>
              <w:t>1,26 (1,15–1,39, p &lt;0,001)</w:t>
            </w:r>
          </w:p>
        </w:tc>
      </w:tr>
      <w:tr>
        <w:tc>
          <w:tcPr>
            <w:tcW w:type="dxa" w:w="1451"/>
          </w:tcPr>
          <w:p>
            <w:r/>
            <w:r>
              <w:rPr>
                <w:rFonts w:ascii="Times New Roman" w:hAnsi="Times New Roman"/>
                <w:sz w:val="18"/>
              </w:rPr>
              <w:t>IGD</w:t>
            </w:r>
          </w:p>
        </w:tc>
        <w:tc>
          <w:tcPr>
            <w:tcW w:type="dxa" w:w="1089"/>
          </w:tcPr>
          <w:p>
            <w:r/>
            <w:r>
              <w:rPr>
                <w:rFonts w:ascii="Times New Roman" w:hAnsi="Times New Roman"/>
                <w:sz w:val="18"/>
              </w:rPr>
              <w:t>Không</w:t>
            </w:r>
          </w:p>
        </w:tc>
        <w:tc>
          <w:tcPr>
            <w:tcW w:type="dxa" w:w="1161"/>
          </w:tcPr>
          <w:p>
            <w:r/>
            <w:r>
              <w:rPr>
                <w:rFonts w:ascii="Times New Roman" w:hAnsi="Times New Roman"/>
                <w:sz w:val="18"/>
              </w:rPr>
              <w:t>14.537 (74,9)</w:t>
            </w:r>
          </w:p>
        </w:tc>
        <w:tc>
          <w:tcPr>
            <w:tcW w:type="dxa" w:w="943"/>
          </w:tcPr>
          <w:p>
            <w:r/>
            <w:r>
              <w:rPr>
                <w:rFonts w:ascii="Times New Roman" w:hAnsi="Times New Roman"/>
                <w:sz w:val="18"/>
              </w:rPr>
              <w:t>4869 (25,1)</w:t>
            </w:r>
          </w:p>
        </w:tc>
        <w:tc>
          <w:tcPr>
            <w:tcW w:type="dxa" w:w="2250"/>
          </w:tcPr>
          <w:p>
            <w:r/>
            <w:r>
              <w:rPr>
                <w:rFonts w:ascii="Times New Roman" w:hAnsi="Times New Roman"/>
                <w:sz w:val="18"/>
              </w:rPr>
              <w:t>-</w:t>
            </w:r>
          </w:p>
        </w:tc>
        <w:tc>
          <w:tcPr>
            <w:tcW w:type="dxa" w:w="2177"/>
          </w:tcPr>
          <w:p>
            <w:r/>
            <w:r>
              <w:rPr>
                <w:rFonts w:ascii="Times New Roman" w:hAnsi="Times New Roman"/>
                <w:sz w:val="18"/>
              </w:rPr>
              <w:t>-</w:t>
            </w:r>
          </w:p>
        </w:tc>
      </w:tr>
      <w:tr>
        <w:tc>
          <w:tcPr>
            <w:tcW w:type="dxa" w:w="1451"/>
          </w:tcPr>
          <w:p>
            <w:r/>
            <w:r>
              <w:rPr>
                <w:rFonts w:ascii="Times New Roman" w:hAnsi="Times New Roman"/>
                <w:sz w:val="18"/>
              </w:rPr>
            </w:r>
          </w:p>
        </w:tc>
        <w:tc>
          <w:tcPr>
            <w:tcW w:type="dxa" w:w="1089"/>
          </w:tcPr>
          <w:p>
            <w:r/>
            <w:r>
              <w:rPr>
                <w:rFonts w:ascii="Times New Roman" w:hAnsi="Times New Roman"/>
                <w:sz w:val="18"/>
              </w:rPr>
              <w:t>Có</w:t>
            </w:r>
          </w:p>
        </w:tc>
        <w:tc>
          <w:tcPr>
            <w:tcW w:type="dxa" w:w="1161"/>
          </w:tcPr>
          <w:p>
            <w:r/>
            <w:r>
              <w:rPr>
                <w:rFonts w:ascii="Times New Roman" w:hAnsi="Times New Roman"/>
                <w:sz w:val="18"/>
              </w:rPr>
              <w:t>107 (25,1)</w:t>
            </w:r>
          </w:p>
        </w:tc>
        <w:tc>
          <w:tcPr>
            <w:tcW w:type="dxa" w:w="943"/>
          </w:tcPr>
          <w:p>
            <w:r/>
            <w:r>
              <w:rPr>
                <w:rFonts w:ascii="Times New Roman" w:hAnsi="Times New Roman"/>
                <w:sz w:val="18"/>
              </w:rPr>
              <w:t>319 (74,9)</w:t>
            </w:r>
          </w:p>
        </w:tc>
        <w:tc>
          <w:tcPr>
            <w:tcW w:type="dxa" w:w="2250"/>
          </w:tcPr>
          <w:p>
            <w:r/>
            <w:r>
              <w:rPr>
                <w:rFonts w:ascii="Times New Roman" w:hAnsi="Times New Roman"/>
                <w:b/>
                <w:sz w:val="18"/>
              </w:rPr>
              <w:t>8,90 (7,16–11,15, p &lt;0,001)</w:t>
            </w:r>
          </w:p>
        </w:tc>
        <w:tc>
          <w:tcPr>
            <w:tcW w:type="dxa" w:w="2177"/>
          </w:tcPr>
          <w:p>
            <w:r/>
            <w:r>
              <w:rPr>
                <w:rFonts w:ascii="Times New Roman" w:hAnsi="Times New Roman"/>
                <w:b/>
                <w:sz w:val="18"/>
              </w:rPr>
              <w:t>4,94 (3,85–6,39, p &lt;0,001)</w:t>
            </w:r>
          </w:p>
        </w:tc>
      </w:tr>
      <w:tr>
        <w:tc>
          <w:tcPr>
            <w:tcW w:type="dxa" w:w="1451"/>
          </w:tcPr>
          <w:p>
            <w:r/>
            <w:r>
              <w:rPr>
                <w:rFonts w:ascii="Times New Roman" w:hAnsi="Times New Roman"/>
                <w:sz w:val="18"/>
              </w:rPr>
              <w:t>Rối loạn giấc ngủ</w:t>
            </w:r>
          </w:p>
        </w:tc>
        <w:tc>
          <w:tcPr>
            <w:tcW w:type="dxa" w:w="1089"/>
          </w:tcPr>
          <w:p>
            <w:r/>
            <w:r>
              <w:rPr>
                <w:rFonts w:ascii="Times New Roman" w:hAnsi="Times New Roman"/>
                <w:sz w:val="18"/>
              </w:rPr>
              <w:t>Không</w:t>
            </w:r>
          </w:p>
        </w:tc>
        <w:tc>
          <w:tcPr>
            <w:tcW w:type="dxa" w:w="1161"/>
          </w:tcPr>
          <w:p>
            <w:r/>
            <w:r>
              <w:rPr>
                <w:rFonts w:ascii="Times New Roman" w:hAnsi="Times New Roman"/>
                <w:sz w:val="18"/>
              </w:rPr>
              <w:t>11.003 (89,3)</w:t>
            </w:r>
          </w:p>
        </w:tc>
        <w:tc>
          <w:tcPr>
            <w:tcW w:type="dxa" w:w="943"/>
          </w:tcPr>
          <w:p>
            <w:r/>
            <w:r>
              <w:rPr>
                <w:rFonts w:ascii="Times New Roman" w:hAnsi="Times New Roman"/>
                <w:sz w:val="18"/>
              </w:rPr>
              <w:t>1320 (10,7)</w:t>
            </w:r>
          </w:p>
        </w:tc>
        <w:tc>
          <w:tcPr>
            <w:tcW w:type="dxa" w:w="2250"/>
          </w:tcPr>
          <w:p>
            <w:r/>
            <w:r>
              <w:rPr>
                <w:rFonts w:ascii="Times New Roman" w:hAnsi="Times New Roman"/>
                <w:sz w:val="18"/>
              </w:rPr>
              <w:t>-</w:t>
            </w:r>
          </w:p>
        </w:tc>
        <w:tc>
          <w:tcPr>
            <w:tcW w:type="dxa" w:w="2177"/>
          </w:tcPr>
          <w:p>
            <w:r/>
            <w:r>
              <w:rPr>
                <w:rFonts w:ascii="Times New Roman" w:hAnsi="Times New Roman"/>
                <w:sz w:val="18"/>
              </w:rPr>
              <w:t>-</w:t>
            </w:r>
          </w:p>
        </w:tc>
      </w:tr>
      <w:tr>
        <w:tc>
          <w:tcPr>
            <w:tcW w:type="dxa" w:w="1451"/>
          </w:tcPr>
          <w:p>
            <w:r/>
            <w:r>
              <w:rPr>
                <w:rFonts w:ascii="Times New Roman" w:hAnsi="Times New Roman"/>
                <w:sz w:val="18"/>
              </w:rPr>
            </w:r>
          </w:p>
        </w:tc>
        <w:tc>
          <w:tcPr>
            <w:tcW w:type="dxa" w:w="1089"/>
          </w:tcPr>
          <w:p>
            <w:r/>
            <w:r>
              <w:rPr>
                <w:rFonts w:ascii="Times New Roman" w:hAnsi="Times New Roman"/>
                <w:sz w:val="18"/>
              </w:rPr>
              <w:t>Có</w:t>
            </w:r>
          </w:p>
        </w:tc>
        <w:tc>
          <w:tcPr>
            <w:tcW w:type="dxa" w:w="1161"/>
          </w:tcPr>
          <w:p>
            <w:r/>
            <w:r>
              <w:rPr>
                <w:rFonts w:ascii="Times New Roman" w:hAnsi="Times New Roman"/>
                <w:sz w:val="18"/>
              </w:rPr>
              <w:t>3641 (48,5)</w:t>
            </w:r>
          </w:p>
        </w:tc>
        <w:tc>
          <w:tcPr>
            <w:tcW w:type="dxa" w:w="943"/>
          </w:tcPr>
          <w:p>
            <w:r/>
            <w:r>
              <w:rPr>
                <w:rFonts w:ascii="Times New Roman" w:hAnsi="Times New Roman"/>
                <w:sz w:val="18"/>
              </w:rPr>
              <w:t>3868 (51,5)</w:t>
            </w:r>
          </w:p>
        </w:tc>
        <w:tc>
          <w:tcPr>
            <w:tcW w:type="dxa" w:w="2250"/>
          </w:tcPr>
          <w:p>
            <w:r/>
            <w:r>
              <w:rPr>
                <w:rFonts w:ascii="Times New Roman" w:hAnsi="Times New Roman"/>
                <w:b/>
                <w:sz w:val="18"/>
              </w:rPr>
              <w:t>8,86 (8,24–9,53, p &lt;0,001)</w:t>
            </w:r>
          </w:p>
        </w:tc>
        <w:tc>
          <w:tcPr>
            <w:tcW w:type="dxa" w:w="2177"/>
          </w:tcPr>
          <w:p>
            <w:r/>
            <w:r>
              <w:rPr>
                <w:rFonts w:ascii="Times New Roman" w:hAnsi="Times New Roman"/>
                <w:b/>
                <w:sz w:val="18"/>
              </w:rPr>
              <w:t>6,58 (6,10–7,10, p &lt;0,001)</w:t>
            </w:r>
          </w:p>
        </w:tc>
      </w:tr>
      <w:tr>
        <w:tc>
          <w:tcPr>
            <w:tcW w:type="dxa" w:w="1451"/>
          </w:tcPr>
          <w:p>
            <w:r/>
            <w:r>
              <w:rPr>
                <w:rFonts w:ascii="Times New Roman" w:hAnsi="Times New Roman"/>
                <w:sz w:val="18"/>
              </w:rPr>
              <w:t>Bắt nạt thể chất</w:t>
            </w:r>
          </w:p>
        </w:tc>
        <w:tc>
          <w:tcPr>
            <w:tcW w:type="dxa" w:w="1089"/>
          </w:tcPr>
          <w:p>
            <w:r/>
            <w:r>
              <w:rPr>
                <w:rFonts w:ascii="Times New Roman" w:hAnsi="Times New Roman"/>
                <w:sz w:val="18"/>
              </w:rPr>
              <w:t>Không</w:t>
            </w:r>
          </w:p>
        </w:tc>
        <w:tc>
          <w:tcPr>
            <w:tcW w:type="dxa" w:w="1161"/>
          </w:tcPr>
          <w:p>
            <w:r/>
            <w:r>
              <w:rPr>
                <w:rFonts w:ascii="Times New Roman" w:hAnsi="Times New Roman"/>
                <w:sz w:val="18"/>
              </w:rPr>
              <w:t>12.085 (77,9)</w:t>
            </w:r>
          </w:p>
        </w:tc>
        <w:tc>
          <w:tcPr>
            <w:tcW w:type="dxa" w:w="943"/>
          </w:tcPr>
          <w:p>
            <w:r/>
            <w:r>
              <w:rPr>
                <w:rFonts w:ascii="Times New Roman" w:hAnsi="Times New Roman"/>
                <w:sz w:val="18"/>
              </w:rPr>
              <w:t>3419 (22,1)</w:t>
            </w:r>
          </w:p>
        </w:tc>
        <w:tc>
          <w:tcPr>
            <w:tcW w:type="dxa" w:w="2250"/>
          </w:tcPr>
          <w:p>
            <w:r/>
            <w:r>
              <w:rPr>
                <w:rFonts w:ascii="Times New Roman" w:hAnsi="Times New Roman"/>
                <w:sz w:val="18"/>
              </w:rPr>
              <w:t>-</w:t>
            </w:r>
          </w:p>
        </w:tc>
        <w:tc>
          <w:tcPr>
            <w:tcW w:type="dxa" w:w="2177"/>
          </w:tcPr>
          <w:p>
            <w:r/>
            <w:r>
              <w:rPr>
                <w:rFonts w:ascii="Times New Roman" w:hAnsi="Times New Roman"/>
                <w:sz w:val="18"/>
              </w:rPr>
              <w:t>-</w:t>
            </w:r>
          </w:p>
        </w:tc>
      </w:tr>
      <w:tr>
        <w:tc>
          <w:tcPr>
            <w:tcW w:type="dxa" w:w="1451"/>
          </w:tcPr>
          <w:p>
            <w:r/>
            <w:r>
              <w:rPr>
                <w:rFonts w:ascii="Times New Roman" w:hAnsi="Times New Roman"/>
                <w:sz w:val="18"/>
              </w:rPr>
            </w:r>
          </w:p>
        </w:tc>
        <w:tc>
          <w:tcPr>
            <w:tcW w:type="dxa" w:w="1089"/>
          </w:tcPr>
          <w:p>
            <w:r/>
            <w:r>
              <w:rPr>
                <w:rFonts w:ascii="Times New Roman" w:hAnsi="Times New Roman"/>
                <w:sz w:val="18"/>
              </w:rPr>
              <w:t>Có</w:t>
            </w:r>
          </w:p>
        </w:tc>
        <w:tc>
          <w:tcPr>
            <w:tcW w:type="dxa" w:w="1161"/>
          </w:tcPr>
          <w:p>
            <w:r/>
            <w:r>
              <w:rPr>
                <w:rFonts w:ascii="Times New Roman" w:hAnsi="Times New Roman"/>
                <w:sz w:val="18"/>
              </w:rPr>
              <w:t>2559 (59,1)</w:t>
            </w:r>
          </w:p>
        </w:tc>
        <w:tc>
          <w:tcPr>
            <w:tcW w:type="dxa" w:w="943"/>
          </w:tcPr>
          <w:p>
            <w:r/>
            <w:r>
              <w:rPr>
                <w:rFonts w:ascii="Times New Roman" w:hAnsi="Times New Roman"/>
                <w:sz w:val="18"/>
              </w:rPr>
              <w:t>1769 (40,9)</w:t>
            </w:r>
          </w:p>
        </w:tc>
        <w:tc>
          <w:tcPr>
            <w:tcW w:type="dxa" w:w="2250"/>
          </w:tcPr>
          <w:p>
            <w:r/>
            <w:r>
              <w:rPr>
                <w:rFonts w:ascii="Times New Roman" w:hAnsi="Times New Roman"/>
                <w:b/>
                <w:sz w:val="18"/>
              </w:rPr>
              <w:t>2,44 (2,27–2,62, p &lt;0,001)</w:t>
            </w:r>
          </w:p>
        </w:tc>
        <w:tc>
          <w:tcPr>
            <w:tcW w:type="dxa" w:w="2177"/>
          </w:tcPr>
          <w:p>
            <w:r/>
            <w:r>
              <w:rPr>
                <w:rFonts w:ascii="Times New Roman" w:hAnsi="Times New Roman"/>
                <w:b/>
                <w:sz w:val="18"/>
              </w:rPr>
              <w:t>1,25 (1,14–1,37, p &lt;0,001)</w:t>
            </w:r>
          </w:p>
        </w:tc>
      </w:tr>
      <w:tr>
        <w:tc>
          <w:tcPr>
            <w:tcW w:type="dxa" w:w="1451"/>
          </w:tcPr>
          <w:p>
            <w:r/>
            <w:r>
              <w:rPr>
                <w:rFonts w:ascii="Times New Roman" w:hAnsi="Times New Roman"/>
                <w:sz w:val="18"/>
              </w:rPr>
              <w:t>Bắt nạt bằng lời nói</w:t>
            </w:r>
          </w:p>
        </w:tc>
        <w:tc>
          <w:tcPr>
            <w:tcW w:type="dxa" w:w="1089"/>
          </w:tcPr>
          <w:p>
            <w:r/>
            <w:r>
              <w:rPr>
                <w:rFonts w:ascii="Times New Roman" w:hAnsi="Times New Roman"/>
                <w:sz w:val="18"/>
              </w:rPr>
              <w:t>Không</w:t>
            </w:r>
          </w:p>
        </w:tc>
        <w:tc>
          <w:tcPr>
            <w:tcW w:type="dxa" w:w="1161"/>
          </w:tcPr>
          <w:p>
            <w:r/>
            <w:r>
              <w:rPr>
                <w:rFonts w:ascii="Times New Roman" w:hAnsi="Times New Roman"/>
                <w:sz w:val="18"/>
              </w:rPr>
              <w:t>7462 (86,3)</w:t>
            </w:r>
          </w:p>
        </w:tc>
        <w:tc>
          <w:tcPr>
            <w:tcW w:type="dxa" w:w="943"/>
          </w:tcPr>
          <w:p>
            <w:r/>
            <w:r>
              <w:rPr>
                <w:rFonts w:ascii="Times New Roman" w:hAnsi="Times New Roman"/>
                <w:sz w:val="18"/>
              </w:rPr>
              <w:t>1188 (13,7)</w:t>
            </w:r>
          </w:p>
        </w:tc>
        <w:tc>
          <w:tcPr>
            <w:tcW w:type="dxa" w:w="2250"/>
          </w:tcPr>
          <w:p>
            <w:r/>
            <w:r>
              <w:rPr>
                <w:rFonts w:ascii="Times New Roman" w:hAnsi="Times New Roman"/>
                <w:sz w:val="18"/>
              </w:rPr>
              <w:t>-</w:t>
            </w:r>
          </w:p>
        </w:tc>
        <w:tc>
          <w:tcPr>
            <w:tcW w:type="dxa" w:w="2177"/>
          </w:tcPr>
          <w:p>
            <w:r/>
            <w:r>
              <w:rPr>
                <w:rFonts w:ascii="Times New Roman" w:hAnsi="Times New Roman"/>
                <w:sz w:val="18"/>
              </w:rPr>
              <w:t>-</w:t>
            </w:r>
          </w:p>
        </w:tc>
      </w:tr>
      <w:tr>
        <w:tc>
          <w:tcPr>
            <w:tcW w:type="dxa" w:w="1451"/>
          </w:tcPr>
          <w:p>
            <w:r/>
            <w:r>
              <w:rPr>
                <w:rFonts w:ascii="Times New Roman" w:hAnsi="Times New Roman"/>
                <w:sz w:val="18"/>
              </w:rPr>
            </w:r>
          </w:p>
        </w:tc>
        <w:tc>
          <w:tcPr>
            <w:tcW w:type="dxa" w:w="1089"/>
          </w:tcPr>
          <w:p>
            <w:r/>
            <w:r>
              <w:rPr>
                <w:rFonts w:ascii="Times New Roman" w:hAnsi="Times New Roman"/>
                <w:sz w:val="18"/>
              </w:rPr>
              <w:t>Có</w:t>
            </w:r>
          </w:p>
        </w:tc>
        <w:tc>
          <w:tcPr>
            <w:tcW w:type="dxa" w:w="1161"/>
          </w:tcPr>
          <w:p>
            <w:r/>
            <w:r>
              <w:rPr>
                <w:rFonts w:ascii="Times New Roman" w:hAnsi="Times New Roman"/>
                <w:sz w:val="18"/>
              </w:rPr>
              <w:t>7182 (64,2)</w:t>
            </w:r>
          </w:p>
        </w:tc>
        <w:tc>
          <w:tcPr>
            <w:tcW w:type="dxa" w:w="943"/>
          </w:tcPr>
          <w:p>
            <w:r/>
            <w:r>
              <w:rPr>
                <w:rFonts w:ascii="Times New Roman" w:hAnsi="Times New Roman"/>
                <w:sz w:val="18"/>
              </w:rPr>
              <w:t>4000 (35,8)</w:t>
            </w:r>
          </w:p>
        </w:tc>
        <w:tc>
          <w:tcPr>
            <w:tcW w:type="dxa" w:w="2250"/>
          </w:tcPr>
          <w:p>
            <w:r/>
            <w:r>
              <w:rPr>
                <w:rFonts w:ascii="Times New Roman" w:hAnsi="Times New Roman"/>
                <w:b/>
                <w:sz w:val="18"/>
              </w:rPr>
              <w:t>3,50 (3,25–3,76, p &lt;0,001)</w:t>
            </w:r>
          </w:p>
        </w:tc>
        <w:tc>
          <w:tcPr>
            <w:tcW w:type="dxa" w:w="2177"/>
          </w:tcPr>
          <w:p>
            <w:r/>
            <w:r>
              <w:rPr>
                <w:rFonts w:ascii="Times New Roman" w:hAnsi="Times New Roman"/>
                <w:b/>
                <w:sz w:val="18"/>
              </w:rPr>
              <w:t>1,64 (1,49–1,81, p &lt;0,001)</w:t>
            </w:r>
          </w:p>
        </w:tc>
      </w:tr>
      <w:tr>
        <w:tc>
          <w:tcPr>
            <w:tcW w:type="dxa" w:w="1451"/>
          </w:tcPr>
          <w:p>
            <w:r/>
            <w:r>
              <w:rPr>
                <w:rFonts w:ascii="Times New Roman" w:hAnsi="Times New Roman"/>
                <w:sz w:val="18"/>
              </w:rPr>
              <w:t>Thao túng xã hội</w:t>
            </w:r>
          </w:p>
        </w:tc>
        <w:tc>
          <w:tcPr>
            <w:tcW w:type="dxa" w:w="1089"/>
          </w:tcPr>
          <w:p>
            <w:r/>
            <w:r>
              <w:rPr>
                <w:rFonts w:ascii="Times New Roman" w:hAnsi="Times New Roman"/>
                <w:sz w:val="18"/>
              </w:rPr>
              <w:t>Không</w:t>
            </w:r>
          </w:p>
        </w:tc>
        <w:tc>
          <w:tcPr>
            <w:tcW w:type="dxa" w:w="1161"/>
          </w:tcPr>
          <w:p>
            <w:r/>
            <w:r>
              <w:rPr>
                <w:rFonts w:ascii="Times New Roman" w:hAnsi="Times New Roman"/>
                <w:sz w:val="18"/>
              </w:rPr>
              <w:t>9729 (84,4)</w:t>
            </w:r>
          </w:p>
        </w:tc>
        <w:tc>
          <w:tcPr>
            <w:tcW w:type="dxa" w:w="943"/>
          </w:tcPr>
          <w:p>
            <w:r/>
            <w:r>
              <w:rPr>
                <w:rFonts w:ascii="Times New Roman" w:hAnsi="Times New Roman"/>
                <w:sz w:val="18"/>
              </w:rPr>
              <w:t>1803 (15,6)</w:t>
            </w:r>
          </w:p>
        </w:tc>
        <w:tc>
          <w:tcPr>
            <w:tcW w:type="dxa" w:w="2250"/>
          </w:tcPr>
          <w:p>
            <w:r/>
            <w:r>
              <w:rPr>
                <w:rFonts w:ascii="Times New Roman" w:hAnsi="Times New Roman"/>
                <w:sz w:val="18"/>
              </w:rPr>
              <w:t>-</w:t>
            </w:r>
          </w:p>
        </w:tc>
        <w:tc>
          <w:tcPr>
            <w:tcW w:type="dxa" w:w="2177"/>
          </w:tcPr>
          <w:p>
            <w:r/>
            <w:r>
              <w:rPr>
                <w:rFonts w:ascii="Times New Roman" w:hAnsi="Times New Roman"/>
                <w:sz w:val="18"/>
              </w:rPr>
              <w:t>-</w:t>
            </w:r>
          </w:p>
        </w:tc>
      </w:tr>
      <w:tr>
        <w:tc>
          <w:tcPr>
            <w:tcW w:type="dxa" w:w="1451"/>
          </w:tcPr>
          <w:p>
            <w:r/>
            <w:r>
              <w:rPr>
                <w:rFonts w:ascii="Times New Roman" w:hAnsi="Times New Roman"/>
                <w:sz w:val="18"/>
              </w:rPr>
            </w:r>
          </w:p>
        </w:tc>
        <w:tc>
          <w:tcPr>
            <w:tcW w:type="dxa" w:w="1089"/>
          </w:tcPr>
          <w:p>
            <w:r/>
            <w:r>
              <w:rPr>
                <w:rFonts w:ascii="Times New Roman" w:hAnsi="Times New Roman"/>
                <w:sz w:val="18"/>
              </w:rPr>
              <w:t>Có</w:t>
            </w:r>
          </w:p>
        </w:tc>
        <w:tc>
          <w:tcPr>
            <w:tcW w:type="dxa" w:w="1161"/>
          </w:tcPr>
          <w:p>
            <w:r/>
            <w:r>
              <w:rPr>
                <w:rFonts w:ascii="Times New Roman" w:hAnsi="Times New Roman"/>
                <w:sz w:val="18"/>
              </w:rPr>
              <w:t>4915 (59,2)</w:t>
            </w:r>
          </w:p>
        </w:tc>
        <w:tc>
          <w:tcPr>
            <w:tcW w:type="dxa" w:w="943"/>
          </w:tcPr>
          <w:p>
            <w:r/>
            <w:r>
              <w:rPr>
                <w:rFonts w:ascii="Times New Roman" w:hAnsi="Times New Roman"/>
                <w:sz w:val="18"/>
              </w:rPr>
              <w:t>3385 (40,8)</w:t>
            </w:r>
          </w:p>
        </w:tc>
        <w:tc>
          <w:tcPr>
            <w:tcW w:type="dxa" w:w="2250"/>
          </w:tcPr>
          <w:p>
            <w:r/>
            <w:r>
              <w:rPr>
                <w:rFonts w:ascii="Times New Roman" w:hAnsi="Times New Roman"/>
                <w:b/>
                <w:sz w:val="18"/>
              </w:rPr>
              <w:t>3,72 (3,48–3,97, p &lt;0,001)</w:t>
            </w:r>
          </w:p>
        </w:tc>
        <w:tc>
          <w:tcPr>
            <w:tcW w:type="dxa" w:w="2177"/>
          </w:tcPr>
          <w:p>
            <w:r/>
            <w:r>
              <w:rPr>
                <w:rFonts w:ascii="Times New Roman" w:hAnsi="Times New Roman"/>
                <w:b/>
                <w:sz w:val="18"/>
              </w:rPr>
              <w:t>1,84 (1,69–2,00, p &lt;0,001)</w:t>
            </w:r>
          </w:p>
        </w:tc>
      </w:tr>
      <w:tr>
        <w:tc>
          <w:tcPr>
            <w:tcW w:type="dxa" w:w="1451"/>
          </w:tcPr>
          <w:p>
            <w:r/>
            <w:r>
              <w:rPr>
                <w:rFonts w:ascii="Times New Roman" w:hAnsi="Times New Roman"/>
                <w:sz w:val="18"/>
              </w:rPr>
              <w:t>Tấn công tài sản</w:t>
            </w:r>
          </w:p>
        </w:tc>
        <w:tc>
          <w:tcPr>
            <w:tcW w:type="dxa" w:w="1089"/>
          </w:tcPr>
          <w:p>
            <w:r/>
            <w:r>
              <w:rPr>
                <w:rFonts w:ascii="Times New Roman" w:hAnsi="Times New Roman"/>
                <w:sz w:val="18"/>
              </w:rPr>
              <w:t>Không</w:t>
            </w:r>
          </w:p>
        </w:tc>
        <w:tc>
          <w:tcPr>
            <w:tcW w:type="dxa" w:w="1161"/>
          </w:tcPr>
          <w:p>
            <w:r/>
            <w:r>
              <w:rPr>
                <w:rFonts w:ascii="Times New Roman" w:hAnsi="Times New Roman"/>
                <w:sz w:val="18"/>
              </w:rPr>
              <w:t>7236 (85,3)</w:t>
            </w:r>
          </w:p>
        </w:tc>
        <w:tc>
          <w:tcPr>
            <w:tcW w:type="dxa" w:w="943"/>
          </w:tcPr>
          <w:p>
            <w:r/>
            <w:r>
              <w:rPr>
                <w:rFonts w:ascii="Times New Roman" w:hAnsi="Times New Roman"/>
                <w:sz w:val="18"/>
              </w:rPr>
              <w:t>1247 (14,7)</w:t>
            </w:r>
          </w:p>
        </w:tc>
        <w:tc>
          <w:tcPr>
            <w:tcW w:type="dxa" w:w="2250"/>
          </w:tcPr>
          <w:p>
            <w:r/>
            <w:r>
              <w:rPr>
                <w:rFonts w:ascii="Times New Roman" w:hAnsi="Times New Roman"/>
                <w:sz w:val="18"/>
              </w:rPr>
              <w:t>-</w:t>
            </w:r>
          </w:p>
        </w:tc>
        <w:tc>
          <w:tcPr>
            <w:tcW w:type="dxa" w:w="2177"/>
          </w:tcPr>
          <w:p>
            <w:r/>
            <w:r>
              <w:rPr>
                <w:rFonts w:ascii="Times New Roman" w:hAnsi="Times New Roman"/>
                <w:sz w:val="18"/>
              </w:rPr>
              <w:t>-</w:t>
            </w:r>
          </w:p>
        </w:tc>
      </w:tr>
      <w:tr>
        <w:tc>
          <w:tcPr>
            <w:tcW w:type="dxa" w:w="1451"/>
          </w:tcPr>
          <w:p>
            <w:r/>
            <w:r>
              <w:rPr>
                <w:rFonts w:ascii="Times New Roman" w:hAnsi="Times New Roman"/>
                <w:sz w:val="18"/>
              </w:rPr>
            </w:r>
          </w:p>
        </w:tc>
        <w:tc>
          <w:tcPr>
            <w:tcW w:type="dxa" w:w="1089"/>
          </w:tcPr>
          <w:p>
            <w:r/>
            <w:r>
              <w:rPr>
                <w:rFonts w:ascii="Times New Roman" w:hAnsi="Times New Roman"/>
                <w:sz w:val="18"/>
              </w:rPr>
              <w:t>Có</w:t>
            </w:r>
          </w:p>
        </w:tc>
        <w:tc>
          <w:tcPr>
            <w:tcW w:type="dxa" w:w="1161"/>
          </w:tcPr>
          <w:p>
            <w:r/>
            <w:r>
              <w:rPr>
                <w:rFonts w:ascii="Times New Roman" w:hAnsi="Times New Roman"/>
                <w:sz w:val="18"/>
              </w:rPr>
              <w:t>7408 (65,3)</w:t>
            </w:r>
          </w:p>
        </w:tc>
        <w:tc>
          <w:tcPr>
            <w:tcW w:type="dxa" w:w="943"/>
          </w:tcPr>
          <w:p>
            <w:r/>
            <w:r>
              <w:rPr>
                <w:rFonts w:ascii="Times New Roman" w:hAnsi="Times New Roman"/>
                <w:sz w:val="18"/>
              </w:rPr>
              <w:t>3941 (34,7)</w:t>
            </w:r>
          </w:p>
        </w:tc>
        <w:tc>
          <w:tcPr>
            <w:tcW w:type="dxa" w:w="2250"/>
          </w:tcPr>
          <w:p>
            <w:r/>
            <w:r>
              <w:rPr>
                <w:rFonts w:ascii="Times New Roman" w:hAnsi="Times New Roman"/>
                <w:b/>
                <w:sz w:val="18"/>
              </w:rPr>
              <w:t>3,09 (2,87–3,32, p &lt;0,001)</w:t>
            </w:r>
          </w:p>
        </w:tc>
        <w:tc>
          <w:tcPr>
            <w:tcW w:type="dxa" w:w="2177"/>
          </w:tcPr>
          <w:p>
            <w:r/>
            <w:r>
              <w:rPr>
                <w:rFonts w:ascii="Times New Roman" w:hAnsi="Times New Roman"/>
                <w:b/>
                <w:sz w:val="18"/>
              </w:rPr>
              <w:t>1,29 (1,18–1,42, p &lt;0,001)</w:t>
            </w:r>
          </w:p>
        </w:tc>
      </w:tr>
    </w:tbl>
    <w:p/>
    <w:p>
      <w:pPr>
        <w:pStyle w:val="Heading2"/>
      </w:pPr>
      <w:r>
        <w:t>THẢO LUẬN</w:t>
      </w:r>
    </w:p>
    <w:p>
      <w:r>
        <w:rPr>
          <w:sz w:val="24"/>
        </w:rPr>
        <w:t xml:space="preserve">Nghiên cứu của chúng tôi, theo hiểu biết của chúng tôi, là nghiên cứu lớn nhất về loại hình này nhằm khảo sát tỷ lệ hiện mắc và các yếu tố tương quan của trầm cảm và lo âu ở học sinh trung học miền Tây Trung Quốc. Các phát hiện chính bao gồm: (1) Triệu chứng trầm cảm và lo âu ảnh hưởng lần lượt đến 23% và 14% học sinh, khoảng một phần tư học sinh trải qua căng thẳng tâm thần; (2) Căng thẳng tâm thần có liên quan độc lập với giới tính, loại hình gia đình, tình trạng con một, nơi cư trú, bắt nạt học đường, rối loạn giấc ngủ, và triệu chứng </w:t>
      </w:r>
      <w:r>
        <w:rPr>
          <w:sz w:val="24"/>
        </w:rPr>
        <w:t>IGD</w:t>
      </w:r>
      <w:r>
        <w:rPr>
          <w:sz w:val="24"/>
        </w:rPr>
        <w:t>; và (3) Tỷ lệ căng thẳng tâm thần không khác biệt đáng kể giữa học sinh trung học cơ sở và trung học phổ thông, nhưng một số yếu tố nhân khẩu học và gia đình có mức độ liên quan khác nhau với căng thẳng tâm thần giữa hai nhóm. Các phát hiện của chúng tôi nhấn mạnh nhu cầu cấp thiết về các đánh giá và can thiệp chính thức cho căng thẳng tâm thần ở học sinh trung học Trung Quốc. Kết quả có thể cung cấp thông tin cho việc phát hiện sớm và can thiệp kịp thời cho học sinh có nguy cơ căng thẳng tâm thần.</w:t>
      </w:r>
    </w:p>
    <w:p>
      <w:pPr>
        <w:pStyle w:val="Heading3"/>
      </w:pPr>
      <w:r>
        <w:t>Tỷ lệ trầm cảm và lo âu</w:t>
      </w:r>
    </w:p>
    <w:p>
      <w:r>
        <w:rPr>
          <w:sz w:val="24"/>
        </w:rPr>
        <w:t xml:space="preserve">Chúng tôi phát hiện rằng khoảng một phần tư học sinh trung học mắc triệu chứng trầm cảm và/hoặc lo âu. Tỷ lệ này thấp hơn một chút so với tỷ lệ toàn cầu 30% ở thanh thiếu niên trong đại dịch </w:t>
      </w:r>
      <w:r>
        <w:rPr>
          <w:sz w:val="24"/>
        </w:rPr>
        <w:t>COVID-19</w:t>
      </w:r>
      <w:r>
        <w:rPr>
          <w:sz w:val="24"/>
        </w:rPr>
        <w:t xml:space="preserve"> được báo cáo bởi một phân tích tổng hợp gần đây. Một giải thích có thể là thời điểm thực hiện nghiên cứu. Chúng tôi tuyển chọn thanh thiếu niên trong giai đoạn thuyên giảm của đại dịch, khi họ đã quay trở lại trường được khoảng nửa năm.</w:t>
      </w:r>
    </w:p>
    <w:p>
      <w:r>
        <w:rPr>
          <w:sz w:val="24"/>
        </w:rPr>
        <w:t>So với các nghiên cứu trước đây trong giai đoạn không có đại dịch, tỷ lệ trầm cảm (23%) khá gần với tỷ lệ ở miền Tây Trung Quốc (22,7-24,8%) nhưng cao hơn một chút so với tỷ lệ ở Đông Bắc (14,5%) và miền Nam Trung Quốc (17,8%). Tỷ lệ này cũng phù hợp với một phân tích tổng hợp trước đó cho thấy 24,3% học sinh trung học Trung Quốc mắc triệu chứng trầm cảm. Tương tự, tỷ lệ triệu chứng lo âu cũng trùng khớp với các nghiên cứu trước đây ở học sinh trung học Trung Quốc (13,7 đến 24,5%). Đáng chú ý, tỷ lệ triệu chứng trầm cảm và lo âu cao hơn nhiều so với tỷ lệ trong dân số chung Trung Quốc (8,6% cho triệu chứng trầm cảm và 6% cho triệu chứng lo âu). Có thể có một số giải thích cho nguy cơ cao về căng thẳng tâm thần ở học sinh trung học Trung Quốc. Thứ nhất, hệ thống giáo dục Trung Quốc rất cạnh tranh, và học sinh trung học chịu áp lực lớn. Nhiều nghiên cứu đã cho thấy các vấn đề học tập và trầm cảm ở thanh thiếu niên Trung Quốc có tương quan cao. Thứ hai, học sinh trung học Trung Quốc chịu nhiều căng thẳng trong quan hệ cá nhân, và cha mẹ họ có xu hướng đặt kỳ vọng cao và ít hài lòng với thành tích học tập của con.</w:t>
      </w:r>
    </w:p>
    <w:p>
      <w:pPr>
        <w:pStyle w:val="Heading3"/>
      </w:pPr>
      <w:r>
        <w:t>Các yếu tố liên quan của triệu chứng trầm cảm và lo âu</w:t>
      </w:r>
    </w:p>
    <w:p>
      <w:r>
        <w:rPr>
          <w:sz w:val="24"/>
        </w:rPr>
        <w:t>Hầu hết các yếu tố nhân khẩu học và gia đình thể hiện mối liên quan khá yếu với căng thẳng tâm thần, trong đó giới tính và cấu trúc gia đình là ngoại lệ đáng chú ý. Phù hợp với các nghiên cứu quốc gia trước đây, chúng tôi phát hiện rằng nữ có nguy cơ cao hơn về căng thẳng tâm thần. Cả yếu tố sinh học (ví dụ: mức cortisol cao hơn ở nữ khi đối mặt với sự kiện căng thẳng) và yếu tố xã hội-văn hóa (ví dụ: tác nhân gây căng thẳng xã hội và sự khuếch đại giới) đều có thể đóng vai trò trong sự khác biệt giới tính về căng thẳng tâm thần. Một yếu tố liên quan khác đối với căng thẳng tâm thần là thuộc gia đình không hạt nhân, điều này nhất quán với các nghiên cứu trước đây. Hỗ trợ xã hội thấp hơn và căng thẳng từ phía cha mẹ cao hơn như áp lực tài chính và cảm xúc có thể góp phần vào nguy cơ cao hơn về căng thẳng tâm thần ở thanh thiếu niên trong gia đình không hạt nhân. Thú vị là, chúng tôi phát hiện rằng một số yếu tố nhân khẩu học và gia đình (tức là con một, nơi cư trú, và tuổi) thể hiện các mức độ liên quan khác nhau với căng thẳng tâm thần giữa học sinh trung học cơ sở và trung học phổ thông. Cần có thêm nghiên cứu để xác định cơ chế tiềm ẩn.</w:t>
      </w:r>
    </w:p>
    <w:p>
      <w:r>
        <w:rPr>
          <w:sz w:val="24"/>
        </w:rPr>
        <w:t>Chúng tôi phát hiện rằng tất cả các phân loại của bắt nạt học đường đều có mối liên quan thuận với căng thẳng tâm thần. Thao túng xã hội dường như là hình thức bắt nạt học đường gây hại nhất, làm tăng gấp đôi nguy cơ căng thẳng tâm thần ở thanh thiếu niên. Các nghiên cứu trước đây đã phát hiện rằng tỷ lệ bắt nạt học đường dao động từ 9,00 đến 61,6%, trong đó 35% là nạn nhân của bắt nạt học đường truyền thống và 15% là nạn nhân của bắt nạt mạng. Một nghiên cứu Trung Quốc bao gồm 1252 học sinh trung học phổ thông cho thấy 42,43% học sinh báo cáo bắt nạt học đường. Tỷ lệ bắt nạt học đường được báo cáo trước đây ở thanh thiếu niên Trung Quốc và học sinh trường nghề dao động từ 9,4 đến 30,4%. Điều này cho thấy bắt nạt là hiện tượng phổ biến trong trường học. Kết quả nghiên cứu của chúng tôi trùng khớp với một nghiên cứu trước đây tìm thấy mối tương quan đáng kể giữa bắt nạt và trầm cảm ở học sinh trung học phổ thông Trung Quốc. Nghiên cứu của chúng tôi nhất quán với lý thuyết căng thẳng, cho rằng việc chịu bắt nạt và không thể đối phó có thể dẫn đến căng thẳng, ảnh hưởng đến sức khỏe tâm thần, và gây ra các cảm xúc như sợ hãi, trầm cảm và tức giận. Do đó, trường học nên tăng cường phòng chống bắt nạt học đường và cải thiện bầu không khí trường học để giúp giảm mức độ trầm cảm ở học sinh.</w:t>
      </w:r>
    </w:p>
    <w:p>
      <w:r>
        <w:rPr>
          <w:sz w:val="24"/>
        </w:rPr>
        <w:t>Tương tự với các nghiên cứu khác, chúng tôi phát hiện rằng rối loạn giấc ngủ có liên quan đến triệu chứng trầm cảm và lo âu ở học sinh. Nhiều nghiên cứu đã cho thấy giấc ngủ có tác động đáng kể đến cả sức khỏe thể chất và tâm lý. Khi đối mặt với các cuộc khủng hoảng lớn, giấc ngủ tốt có thể đóng vai trò then chốt trong việc giải quyết các tác động tiêu cực. Ngược lại, giấc ngủ kém có thể làm trầm trọng thêm các tác động tiêu cực và dẫn đến khả năng dễ tổn thương hơn trước lo âu. Do đó, điều quan trọng là thực hiện các bước để cải thiện giấc ngủ ở thanh thiếu niên.</w:t>
      </w:r>
    </w:p>
    <w:p>
      <w:r>
        <w:rPr>
          <w:sz w:val="24"/>
        </w:rPr>
        <w:t xml:space="preserve">Chúng tôi phát hiện rằng học sinh có triệu chứng </w:t>
      </w:r>
      <w:r>
        <w:rPr>
          <w:sz w:val="24"/>
        </w:rPr>
        <w:t>IGD</w:t>
      </w:r>
      <w:r>
        <w:rPr>
          <w:sz w:val="24"/>
        </w:rPr>
        <w:t xml:space="preserve"> có nhiều khả năng mắc triệu chứng lo âu và trầm cảm hơn. Các nghiên cứu trước đây đã phát hiện rằng hầu hết học sinh nghiện game đã trải qua các sự kiện cuộc sống căng thẳng. Hơn nữa, C Bonnaire và O Phan đã báo cáo rằng các mối quan hệ gia đình tồi tệ có tác động mạnh mẽ đến tỷ lệ nghiện game ở thanh thiếu niên. Mối quan hệ giữa nghiện game trực tuyến và xu hướng buồn chán, tìm kiếm cảm giác mạnh, và đặc điểm tâm thần phân liệt đã được tìm thấy trong một số nghiên cứu, bao gồm cả mẫu không lâm sàng.</w:t>
      </w:r>
    </w:p>
    <w:p>
      <w:pPr>
        <w:pStyle w:val="Heading3"/>
      </w:pPr>
      <w:r>
        <w:t>Ý nghĩa của các phát hiện</w:t>
      </w:r>
    </w:p>
    <w:p>
      <w:r>
        <w:rPr>
          <w:sz w:val="24"/>
        </w:rPr>
        <w:t xml:space="preserve">Nghiên cứu của chúng tôi có hai ý nghĩa quan trọng. Thứ nhất, nghiên cứu nhấn mạnh tỷ lệ cao về căng thẳng tâm thần, bắt nạt học đường, và rối loạn giấc ngủ ở học sinh trung học miền Tây Trung Quốc, đòi hỏi sàng lọc định kỳ. Thứ hai, nghiên cứu đã đánh giá toàn diện các yếu tố liên quan của triệu chứng trầm cảm và lo âu. Cụ thể, bắt nạt học đường, rối loạn giấc ngủ, và triệu chứng </w:t>
      </w:r>
      <w:r>
        <w:rPr>
          <w:sz w:val="24"/>
        </w:rPr>
        <w:t>IGD</w:t>
      </w:r>
      <w:r>
        <w:rPr>
          <w:sz w:val="24"/>
        </w:rPr>
        <w:t xml:space="preserve"> có mối liên quan chặt chẽ với căng thẳng tâm thần. Các phát hiện có thể giúp phụ huynh, giáo viên và nhà hoạch định chính sách xác định học sinh có nguy cơ và phát triển các can thiệp có mục tiêu. Ví dụ, trường học và phụ huynh nên thúc đẩy giáo dục vệ sinh giấc ngủ, tạo môi trường ngủ thuận lợi, và giúp thiết lập lịch ngủ đều đặn cho học sinh trung học. Về bắt nạt, giáo viên và trường học nên xem xét triển khai các chương trình chống bắt nạt giáo dục học sinh về hậu quả của bắt nạt và thúc đẩy văn hóa tôn trọng và hòa nhập. Ngoài ra, phát hiện sớm bắt nạt học đường cũng rất quan trọng.</w:t>
      </w:r>
    </w:p>
    <w:p>
      <w:pPr>
        <w:pStyle w:val="Heading3"/>
      </w:pPr>
      <w:r>
        <w:t>Điểm mạnh và hạn chế</w:t>
      </w:r>
    </w:p>
    <w:p>
      <w:r>
        <w:rPr>
          <w:sz w:val="24"/>
        </w:rPr>
        <w:t xml:space="preserve">Nghiên cứu của chúng tôi có một số điểm mạnh, chẳng hạn như là nghiên cứu lớn nhất về triệu chứng trầm cảm và lo âu ở học sinh trung học miền Tây Trung Quốc và đánh giá toàn diện các yếu tố nhân khẩu học, gia đình, cuộc sống và hành vi. Tuy nhiên, cần thừa nhận một số hạn chế. Thứ nhất, thiết kế nghiên cứu cắt ngang không thể thiết lập mối quan hệ nhân quả. Thứ hai, khảo sát được thực hiện sau khi bùng phát đại dịch. Mặc dù chính sách phong tỏa trường học đã kết thúc và thanh thiếu niên quay trở lại trường vào tháng 4 năm 2020, tính chất cắt ngang của nghiên cứu khiến việc xác định tác động của đại dịch đến kết quả trở nên khó khăn. Thứ ba, mặc dù cỡ mẫu lớn, tất cả người tham gia đều được tuyển chọn từ một thành phố duy nhất ở miền Tây Trung Quốc. Khả năng khái quát hóa các phát hiện sang các vùng khác của Trung Quốc cần có thêm nghiên cứu để xác nhận. Thứ tư, triệu chứng trầm cảm và lo âu có liên quan đến các vấn đề nghiện ngập như hút thuốc và rượu. Tuy nhiên, nghiên cứu hiện tại chỉ tập trung vào triệu chứng </w:t>
      </w:r>
      <w:r>
        <w:rPr>
          <w:sz w:val="24"/>
        </w:rPr>
        <w:t>IGD</w:t>
      </w:r>
      <w:r>
        <w:rPr>
          <w:sz w:val="24"/>
        </w:rPr>
        <w:t>. Nghiên cứu tương lai có thể hưởng lợi từ phân tích toàn diện hơn bao gồm các hình thức nghiện ngập khác nhau ở thanh thiếu niên.</w:t>
      </w:r>
    </w:p>
    <w:p>
      <w:r>
        <w:rPr>
          <w:b/>
          <w:color w:val="FF6600"/>
          <w:sz w:val="20"/>
        </w:rPr>
        <w:t>--- Trang 8/9, BMC Psychiatry, 23:580, tháng 8/2023 ---</w:t>
      </w:r>
    </w:p>
    <w:p>
      <w:pPr>
        <w:pStyle w:val="Heading2"/>
      </w:pPr>
      <w:r>
        <w:t>KẾT LUẬN</w:t>
      </w:r>
    </w:p>
    <w:p>
      <w:r>
        <w:rPr>
          <w:sz w:val="24"/>
        </w:rPr>
        <w:t xml:space="preserve">Tóm lại, một phần tư học sinh trung học ở miền Tây Trung Quốc mắc triệu chứng trầm cảm và lo âu. Giới tính, loại hình gia đình, tình trạng con một, nơi cư trú, bắt nạt học đường, rối loạn giấc ngủ, và triệu chứng </w:t>
      </w:r>
      <w:r>
        <w:rPr>
          <w:sz w:val="24"/>
        </w:rPr>
        <w:t>IGD</w:t>
      </w:r>
      <w:r>
        <w:rPr>
          <w:sz w:val="24"/>
        </w:rPr>
        <w:t xml:space="preserve"> có liên quan độc lập với căng thẳng tâm thần. Phụ huynh, trường học và các nhà hoạch định chính sách cần nhận thức được tỷ lệ cao về căng thẳng tâm thần ở học sinh trung học. Các phát hiện của chúng tôi có thể giúp xác định học sinh có nguy cơ và cung cấp các can thiệp phù hợp.</w:t>
      </w:r>
    </w:p>
    <w:p>
      <w:r>
        <w:rPr>
          <w:b/>
          <w:color w:val="FF6600"/>
          <w:sz w:val="20"/>
        </w:rPr>
        <w:t>--- Trang 9/9, BMC Psychiatry, 23:580, tháng 8/2023 ---</w:t>
      </w:r>
    </w:p>
    <w:p>
      <w:pPr>
        <w:pStyle w:val="Heading2"/>
      </w:pPr>
      <w:r>
        <w:t>TÀI LIỆU THAM KHẢO / REFERENCES</w:t>
      </w:r>
    </w:p>
    <w:p>
      <w:r>
        <w:rPr>
          <w:sz w:val="24"/>
        </w:rPr>
        <w:t>1. Mental health of adolescents [https://www.who.int/news-room/fact-sheets/detail/adolescent-mental-health].</w:t>
      </w:r>
    </w:p>
    <w:p>
      <w:r>
        <w:rPr>
          <w:sz w:val="24"/>
        </w:rPr>
        <w:t>2. Oldehinkel AJ, Ormel J. A longitudinal perspective on childhood adversities and onset risk of various psychiatric disorders. Eur Child Adolesc Psychiatry. 2015;24(6):641–50.</w:t>
      </w:r>
    </w:p>
    <w:p>
      <w:r>
        <w:rPr>
          <w:sz w:val="24"/>
        </w:rPr>
        <w:t>3. Tang X, Tang S, Ren Z, Wong DFK. Prevalence of depressive symptoms among adolescents in secondary school in mainland China: a systematic review and meta-analysis. J Affect Disord. 2019;245:498–507.</w:t>
      </w:r>
    </w:p>
    <w:p>
      <w:r>
        <w:rPr>
          <w:sz w:val="24"/>
        </w:rPr>
        <w:t xml:space="preserve">4. Zhang Y, Bao X, Yan J, Miao H, Guo C. Anxiety and depression in chinese students during the </w:t>
      </w:r>
      <w:r>
        <w:rPr>
          <w:sz w:val="24"/>
        </w:rPr>
        <w:t>COVID-19</w:t>
      </w:r>
      <w:r>
        <w:rPr>
          <w:sz w:val="24"/>
        </w:rPr>
        <w:t xml:space="preserve"> pandemic: a Meta-analysis. Front Public Health. 2021;9:697642.</w:t>
      </w:r>
    </w:p>
    <w:p>
      <w:r>
        <w:rPr>
          <w:sz w:val="24"/>
        </w:rPr>
        <w:t>5. Wang C, Zhang P, Zhang N. Adolescent mental health in China requires more attention. Lancet Public Health. 2020;5(12):e637.</w:t>
      </w:r>
    </w:p>
    <w:p>
      <w:r>
        <w:rPr>
          <w:sz w:val="24"/>
        </w:rPr>
        <w:t xml:space="preserve">6. Zhou SJ, Zhang LG, Wang LL, Guo ZC, Wang JQ, Chen JC, Liu M, Chen X, Chen JX. Prevalence and socio-demographic correlates of psychological health problems in Chinese adolescents during the outbreak of </w:t>
      </w:r>
      <w:r>
        <w:rPr>
          <w:sz w:val="24"/>
        </w:rPr>
        <w:t>COVID-19</w:t>
      </w:r>
      <w:r>
        <w:rPr>
          <w:sz w:val="24"/>
        </w:rPr>
        <w:t>. Eur Child Adolesc Psychiatry. 2020;29(6):749–58.</w:t>
      </w:r>
    </w:p>
    <w:p>
      <w:r>
        <w:rPr>
          <w:sz w:val="24"/>
        </w:rPr>
        <w:t xml:space="preserve">7. Xu Q, Mao Z, Wei D, Liu P, Fan K, Wang J, Wang X, Lou X, Lin H, Wang C, Wu C. Prevalence and risk factors for anxiety symptoms during the outbreak of </w:t>
      </w:r>
      <w:r>
        <w:rPr>
          <w:sz w:val="24"/>
        </w:rPr>
        <w:t>COVID-19</w:t>
      </w:r>
      <w:r>
        <w:rPr>
          <w:sz w:val="24"/>
        </w:rPr>
        <w:t>: a large survey among 373216 junior and senior high school students in China. J Affect Disord. 2021;288:17–22.</w:t>
      </w:r>
    </w:p>
    <w:p>
      <w:r>
        <w:rPr>
          <w:sz w:val="24"/>
        </w:rPr>
        <w:t>8. Mohammadi MR, Ahmadi N, Yazdi FR, Khaleghi A, Mostafavi SA, Hooshyari Z, Molavi P, Sarraf N, Hojjat SK, Mohammadzadeh S, et al. Prevalence, comorbidity and predictors of anxiety disorders among children and adolescents. Asian J Psychiatr. 2020;53:102059.</w:t>
      </w:r>
    </w:p>
    <w:p>
      <w:r>
        <w:rPr>
          <w:sz w:val="24"/>
        </w:rPr>
        <w:t xml:space="preserve">9. Anjum A, Hossain S, Hasan MT, Alin SJ, Uddin ME, Sikder MT. Depressive Symptom and Associated factors among School Adolescents of Urban, Semi-Urban and Rural Areas in Bangladesh: a scenario prior to </w:t>
      </w:r>
      <w:r>
        <w:rPr>
          <w:sz w:val="24"/>
        </w:rPr>
        <w:t>COVID-19</w:t>
      </w:r>
      <w:r>
        <w:rPr>
          <w:sz w:val="24"/>
        </w:rPr>
        <w:t>. Front Psychiatry. 2021;1:12:708909.</w:t>
      </w:r>
    </w:p>
    <w:p>
      <w:r>
        <w:rPr>
          <w:sz w:val="24"/>
        </w:rPr>
        <w:t>10. Girma S, Tsehay M, Mamaru A, Abera M. Depression and its determinants among adolescents in Jimma town, Southwest Ethiopia. PLoS ONE. 2021;16(5):e0250927.</w:t>
      </w:r>
    </w:p>
    <w:p>
      <w:r>
        <w:rPr>
          <w:sz w:val="24"/>
        </w:rPr>
        <w:t>11. Moeini B, Bashirian S, Soltanian AR, Ghaleiha A, Taheri M. Prevalence of depression and its associated sociodemographic factors among iranian female adolescents in secondary schools. BMC Psychol. 2019;7(1):25.</w:t>
      </w:r>
    </w:p>
    <w:p>
      <w:r>
        <w:rPr>
          <w:sz w:val="24"/>
        </w:rPr>
        <w:t>12. Chi X, Becker B, Yu Q, Hossain MM, Lin J, Yeung A, Seiler-Ramadas R, Grabovac I, Bu H, Xie F, et al. Persistence and remission of depressive symptoms and psycho-social correlates in chinese early adolescents. BMC Psychiatry. 2020;20(1):406.</w:t>
      </w:r>
    </w:p>
    <w:p>
      <w:r>
        <w:rPr>
          <w:sz w:val="24"/>
        </w:rPr>
        <w:t>13. Abdul Latiff L, Tajik E, Ibrahim N, Abubakar AS, Ali SS. Depression and its associated factors among secondary school students in Malaysia. Southeast Asian J Trop Med Public Health. 2016;47(1):131–41.</w:t>
      </w:r>
    </w:p>
    <w:p>
      <w:r>
        <w:rPr>
          <w:sz w:val="24"/>
        </w:rPr>
        <w:t>14. Hafstad GS, Sætren SS, Wentzel-Larsen T, Augusti EM. Adolescents' symptoms of anxiety and depression before and during the Covid-19 outbreak - A prospective population-based study of teenagers in Norway. Lancet Reg Health Eur. 2021;5:100093.</w:t>
      </w:r>
    </w:p>
    <w:p>
      <w:r>
        <w:rPr>
          <w:sz w:val="24"/>
        </w:rPr>
        <w:t>15. Fellmeth G, Rose-Clarke K, Zhao C, Busert LK, Zheng Y, Massazza A, Sonmez H, Eder B, Blewitt A, Lertgrai W, et al. Health impacts of parental migration on left-behind children and adolescents: a systematic review and meta-analysis. Lancet. 2018;392(10164):2567–82.</w:t>
      </w:r>
    </w:p>
    <w:p>
      <w:r>
        <w:rPr>
          <w:sz w:val="24"/>
        </w:rPr>
        <w:t>16. Guo J, Li M, Wang X, Ma S, Ma J. Being bullied and depressive symptoms in chinese high school students: the role of social support. Psychiatry Res. 2020;284:112676.</w:t>
      </w:r>
    </w:p>
    <w:p>
      <w:r>
        <w:rPr>
          <w:sz w:val="24"/>
        </w:rPr>
        <w:t>17. Colrain IM, Baker FC. Changes in sleep as a function of adolescent development. Neuropsychol Rev. 2011;21(1):5–21.</w:t>
      </w:r>
    </w:p>
    <w:p>
      <w:r>
        <w:rPr>
          <w:sz w:val="24"/>
        </w:rPr>
        <w:t>18. Tolêdo J, Batista J, Lyra MCA, Júnior M, Santos M, Heimer MV. Sleep disturbance and depression in adolescence: an integrative review of literature. Int J Adolesc Med Health. 2020;33(6):299–303.</w:t>
      </w:r>
    </w:p>
    <w:p>
      <w:r>
        <w:rPr>
          <w:sz w:val="24"/>
        </w:rPr>
        <w:t>19. Brown WJ, Wilkerson AK, Boyd SJ, Dewey D, Mesa F, Bunnell BE. A review of sleep disturbance in children and adolescents with anxiety. J Sleep Res. 2018;27(3):e12635.</w:t>
      </w:r>
    </w:p>
    <w:p>
      <w:r>
        <w:rPr>
          <w:sz w:val="24"/>
        </w:rPr>
        <w:t>20. Kuss DJ, Griffiths MD. Online gaming addiction in children and adolescents: a review of empirical research. J Behav Addict. 2012;1(1):3–22.</w:t>
      </w:r>
    </w:p>
    <w:p>
      <w:r>
        <w:rPr>
          <w:sz w:val="24"/>
        </w:rPr>
        <w:t>21. Torres-Rodríguez A, Griffiths MD, Carbonell X, Oberst U. Internet gaming disorder in adolescence: psychological characteristics of a clinical sample. J Behav Addict. 2018;7(3):707–18.</w:t>
      </w:r>
    </w:p>
    <w:p>
      <w:r>
        <w:rPr>
          <w:sz w:val="24"/>
        </w:rPr>
        <w:t>22. Rao W, Xu DD, Cao XL, Wen SY, Che WI, Ng CH, Ungvari GS, He F, Xiang YT. Prevalence of depressive symptoms in children and adolescents in China: a meta-analysis of observational studies. Psychiatry Res. 2019;272:790–6.</w:t>
      </w:r>
    </w:p>
    <w:p>
      <w:r>
        <w:rPr>
          <w:sz w:val="24"/>
        </w:rPr>
        <w:t xml:space="preserve">23. Spitzer RL, Kroenke K, Williams JB, Lowe B. A brief measure for assessing generalized anxiety disorder: the </w:t>
      </w:r>
      <w:r>
        <w:rPr>
          <w:sz w:val="24"/>
        </w:rPr>
        <w:t>GAD-7</w:t>
      </w:r>
      <w:r>
        <w:rPr>
          <w:sz w:val="24"/>
        </w:rPr>
        <w:t>. Arch Intern Med. 2006;166(10):1092–7.</w:t>
      </w:r>
    </w:p>
    <w:p>
      <w:r>
        <w:rPr>
          <w:sz w:val="24"/>
        </w:rPr>
        <w:t>24. Sun J, Liang K, Chi X, Chen S. Psychometric Properties of the generalized anxiety disorder Scale-7 item (</w:t>
      </w:r>
      <w:r>
        <w:rPr>
          <w:sz w:val="24"/>
        </w:rPr>
        <w:t>GAD-7</w:t>
      </w:r>
      <w:r>
        <w:rPr>
          <w:sz w:val="24"/>
        </w:rPr>
        <w:t>) in a large sample of Chinese adolescents. Healthc (Basel) 2021, 9(12).</w:t>
      </w:r>
    </w:p>
    <w:p>
      <w:r>
        <w:rPr>
          <w:sz w:val="24"/>
        </w:rPr>
        <w:t>25. Spitzer RL, Kroenke K, Williams JB. Validation and utility of a self-report version of PRIME-MD: the PHQ primary care study. Primary care evaluation of Mental Disorders. Patient Health Questionnaire. Jama. 1999;282(18):1737–44.</w:t>
      </w:r>
    </w:p>
    <w:p>
      <w:r>
        <w:rPr>
          <w:sz w:val="24"/>
        </w:rPr>
        <w:t>26. Wang W, Bian Q, Zhao Y, Li X, Wang W, Du J, Zhang G, Zhou Q, Zhao M. Reliability and validity of the chinese version of the Patient Health Questionnaire (</w:t>
      </w:r>
      <w:r>
        <w:rPr>
          <w:sz w:val="24"/>
        </w:rPr>
        <w:t>PHQ-9</w:t>
      </w:r>
      <w:r>
        <w:rPr>
          <w:sz w:val="24"/>
        </w:rPr>
        <w:t>) in the general population. Gen Hosp Psychiatry. 2014;36(5):539–44.</w:t>
      </w:r>
    </w:p>
    <w:p>
      <w:r>
        <w:rPr>
          <w:sz w:val="24"/>
        </w:rPr>
        <w:t>27. Peng P, Chen S, Hao Y, He L, Wang Q, Zhou Y, Tang YY, Yang WF, Wu Q, Liu T. Network of burnout, depression, anxiety, and dropout intention in medical undergraduates. Int J Soc Psychiatry 2023.20764023116629.</w:t>
      </w:r>
    </w:p>
    <w:p>
      <w:r>
        <w:rPr>
          <w:sz w:val="24"/>
        </w:rPr>
        <w:t xml:space="preserve">28. Peng P, Liang M, Wang Q, Lu L, Wu Q, Chen Q. Night shifts, insomnia, anxiety, and depression among chinese nurses during the </w:t>
      </w:r>
      <w:r>
        <w:rPr>
          <w:sz w:val="24"/>
        </w:rPr>
        <w:t>COVID-19</w:t>
      </w:r>
      <w:r>
        <w:rPr>
          <w:sz w:val="24"/>
        </w:rPr>
        <w:t xml:space="preserve"> pandemic remission period: a network approach. Front Public Health. 2022;10:1040298.</w:t>
      </w:r>
    </w:p>
    <w:p>
      <w:r>
        <w:rPr>
          <w:sz w:val="24"/>
        </w:rPr>
        <w:t>29. Peng P, Yang WF, Liu Y, Chen S, Wang Y, Yang Q, Wang X, Li M, Wang Y, Hao Y, et al. High prevalence and risk factors of dropout intention among chinese medical postgraduates. Med Educ Online. 2022;27(1):2058866.</w:t>
      </w:r>
    </w:p>
    <w:p>
      <w:r>
        <w:rPr>
          <w:sz w:val="24"/>
        </w:rPr>
        <w:t>30. Mynard H, Joseph S. Development of the multidimensional peer-victimization scale. Aggressive Behav. 2000;26(2):169–78.</w:t>
      </w:r>
    </w:p>
    <w:p>
      <w:r>
        <w:rPr>
          <w:sz w:val="24"/>
        </w:rPr>
        <w:t>31. Zhao K, Tong S, Hong L, Yang S, Yang W, Xu Y, Fan Z, Zheng J, Yao K, Zheng T. Childhood trauma, peer victimization, and non-suicidal self-injury among chinese adolescents: a latent variable mediation analysis. BMC Psychiatry. 2023;23(1):436.</w:t>
      </w:r>
    </w:p>
    <w:p>
      <w:r>
        <w:rPr>
          <w:sz w:val="24"/>
        </w:rPr>
        <w:t>32. Buysse DJ, Reynolds CF 3rd, Monk TH, Berman SR, Kupfer DJ. The Pittsburgh Sleep Quality Index: a new instrument for psychiatric practice and research. Psychiatry Res. 1989;28(2):193–213.</w:t>
      </w:r>
    </w:p>
    <w:p>
      <w:r>
        <w:rPr>
          <w:sz w:val="24"/>
        </w:rPr>
        <w:t>33. Tsai PS, Wang SY, Wang MY, Su CT, Yang TT, Huang CJ, Fang SC. Psychometric evaluation of the chinese version of the Pittsburgh Sleep Quality Index (C</w:t>
      </w:r>
      <w:r>
        <w:rPr>
          <w:sz w:val="24"/>
        </w:rPr>
        <w:t>PSQI</w:t>
      </w:r>
      <w:r>
        <w:rPr>
          <w:sz w:val="24"/>
        </w:rPr>
        <w:t>) in primary insomnia and control subjects. Qual Life Res. 2005;14(8):1943–52.</w:t>
      </w:r>
    </w:p>
    <w:p>
      <w:r>
        <w:rPr>
          <w:sz w:val="24"/>
        </w:rPr>
        <w:t>34. Pontes, Halley M, Griffiths, Mark D. Measuring DSM-5 internet gaming disorder: development and validation of a short psychometric scale. Comput Hum Behav. 2015;45(April):137–43.</w:t>
      </w:r>
    </w:p>
    <w:p>
      <w:r>
        <w:rPr>
          <w:sz w:val="24"/>
        </w:rPr>
        <w:t>35. Qin L, Cheng L, Hu M, Liu Q, Tong J, Hao W, Luo T, Liao Y. Clarification of the cut-off score for nine-item internet gaming disorder scale: short form (</w:t>
      </w:r>
      <w:r>
        <w:rPr>
          <w:sz w:val="24"/>
        </w:rPr>
        <w:t>IGDS9-SF</w:t>
      </w:r>
      <w:r>
        <w:rPr>
          <w:sz w:val="24"/>
        </w:rPr>
        <w:t>) in a chinese context. Front Psychiatry. 2020;11:470.</w:t>
      </w:r>
    </w:p>
    <w:p>
      <w:r>
        <w:rPr>
          <w:sz w:val="24"/>
        </w:rPr>
        <w:t>36. Wang D, Chen H, Chen Z, Liu W, Wu L, Chen Y, Sun M, Fan F. Current psychotic-like experiences among adolescents in China: identifying risk and protective factors. Schizophr Res. 2022;244:111–7.</w:t>
      </w:r>
    </w:p>
    <w:p>
      <w:r>
        <w:rPr>
          <w:sz w:val="24"/>
        </w:rPr>
        <w:t xml:space="preserve">37. Deng J, Zhou F, Hou W, Heybati K, Lohit S, Abbas U, Silver Z, Wong CY, Chang O, Huang E, et al. Prevalence of mental health symptoms in children and adolescents during the </w:t>
      </w:r>
      <w:r>
        <w:rPr>
          <w:sz w:val="24"/>
        </w:rPr>
        <w:t>COVID-19</w:t>
      </w:r>
      <w:r>
        <w:rPr>
          <w:sz w:val="24"/>
        </w:rPr>
        <w:t xml:space="preserve"> pandemic: a meta-analysis. Ann N Y Acad Sci. 2023;1520(1):53–73.</w:t>
      </w:r>
    </w:p>
    <w:p>
      <w:r>
        <w:rPr>
          <w:sz w:val="24"/>
        </w:rPr>
        <w:t>38. Wang L, Feng Z, Yang G, Yang Y, Wang K, Dai Q, Zhao M, Hu C, Zhang R, Liu K, et al. Depressive symptoms among children and adolescents in western china: an epidemiological survey of prevalence and correlates. Psychiatry Res. 2016;246:267–74.</w:t>
      </w:r>
    </w:p>
    <w:p>
      <w:r>
        <w:rPr>
          <w:sz w:val="24"/>
        </w:rPr>
        <w:t>39. Wang L, Feng Z, Yang G, Yang Y, Dai Q, Hu C, Liu K, Guang Y, Zhang R, Xia F, et al. The epidemiological characteristics of depressive symptoms in the left-behind children and adolescents of Chongqing in China. J Affect Disord. 2015;177:36–41.</w:t>
      </w:r>
    </w:p>
    <w:p>
      <w:r>
        <w:rPr>
          <w:sz w:val="24"/>
        </w:rPr>
        <w:t>40. Ming HJ, Zheng L, Xia Q, Deng YX. An investigation into the prevalence and related factors of anxiety in middle school students of Hunan Province. Chin J Clin Psychol 2007.</w:t>
      </w:r>
    </w:p>
    <w:p>
      <w:r>
        <w:rPr>
          <w:sz w:val="24"/>
        </w:rPr>
        <w:t>41. Wan PF, Sun YJ, Yuan J. Characteristics of anxiety and the related risk factors among adolescent students in Dalian City. Chin J Behav Med Sci 2005.</w:t>
      </w:r>
    </w:p>
    <w:p>
      <w:r>
        <w:rPr>
          <w:sz w:val="24"/>
        </w:rPr>
        <w:t>42. Xu WQ, Tan WY, Li XL, Huang ZH, Zheng HR, Hou CL, Jia FJ, Wang SB. Prevalence of depressive and anxiety symptoms among adults in Guangdong Province of China: a population-based study. J Affect Disord. 2022;308:535–44.</w:t>
      </w:r>
    </w:p>
    <w:p>
      <w:r>
        <w:rPr>
          <w:sz w:val="24"/>
        </w:rPr>
        <w:t>43. Hu W, Fang X, Chen H, Deng L, Lin X. The relationship between three-domain Competences and Internalizing and externalizing problems in Chinese High School Students. Child Indic Res. 2015;8(4):943–59.</w:t>
      </w:r>
    </w:p>
    <w:p>
      <w:r>
        <w:rPr>
          <w:sz w:val="24"/>
        </w:rPr>
        <w:t>44. Ma L, Gao L, Chiu DT, Ding Y, Wang W, Wang Y. Depressive symptoms prevalence, associated family factors, and gender differences: a national cohort study of middle school students in China. J Affect Disord. 2020;274:545–52.</w:t>
      </w:r>
    </w:p>
    <w:p>
      <w:r>
        <w:rPr>
          <w:sz w:val="24"/>
        </w:rPr>
        <w:t>45. Chen W, Huang Y, Riad A. Gender differences in depressive traits among rural and urban chinese adolescent students: secondary data analysis of Nationwide Survey CFPS. Int J Environ Res Public Health 2021, 18(17).</w:t>
      </w:r>
    </w:p>
    <w:p>
      <w:r>
        <w:rPr>
          <w:sz w:val="24"/>
        </w:rPr>
        <w:t xml:space="preserve">46. Tso WWY, Wong RS, Tung KTS, Rao N, Fu KW, Yam JCS, Chua GT, Chen EYH, Lee TMC, Chan SKW, et al. Vulnerability and resilience in children during the </w:t>
      </w:r>
      <w:r>
        <w:rPr>
          <w:sz w:val="24"/>
        </w:rPr>
        <w:t>COVID-19</w:t>
      </w:r>
      <w:r>
        <w:rPr>
          <w:sz w:val="24"/>
        </w:rPr>
        <w:t xml:space="preserve"> pandemic. Eur Child Adolesc Psychiatry. 2022;31(1):61–76.</w:t>
      </w:r>
    </w:p>
    <w:p>
      <w:r>
        <w:rPr>
          <w:sz w:val="24"/>
        </w:rPr>
        <w:t>47. Modecki KL, Minchin J, Harbaugh AG, Guerra NG, Runions KC. Bullying prevalence across contexts: a meta-analysis measuring cyber and traditional bullying. J Adolesc Health. 2014;55(5):602–11.</w:t>
      </w:r>
    </w:p>
    <w:p>
      <w:r>
        <w:rPr>
          <w:sz w:val="24"/>
        </w:rPr>
        <w:t>48. Gong Z, Han Z, Zhang H, Zhang G. Weight status and school bullying Experiences in Urban China: the difference between boys and girls. J Interpers Violence. 2020;35(15–16):2663–86.</w:t>
      </w:r>
    </w:p>
    <w:p>
      <w:r>
        <w:rPr>
          <w:sz w:val="24"/>
        </w:rPr>
        <w:t>49. Han Z, Zhang G, Zhang H. School bullying in Urban China: prevalence and correlation with School Climate. Int J Environ Res Public Health 2017, 14(10).</w:t>
      </w:r>
    </w:p>
    <w:p>
      <w:r>
        <w:rPr>
          <w:sz w:val="24"/>
        </w:rPr>
        <w:t>50. Xu S, Ren J, Li F, Wang L, Wang S. School bullying among Vocational School students in China: Prevalence and Associations with Personal, Relational, and School factors. J Interpers Violence. 2022;37(1–2):NP104–24.</w:t>
      </w:r>
    </w:p>
    <w:p>
      <w:r>
        <w:rPr>
          <w:sz w:val="24"/>
        </w:rPr>
        <w:t xml:space="preserve">51. Morin CM, Carrier J, Bastien C, Godbout R, Canadian S, Circadian N. Sleep and circadian rhythm in response to the </w:t>
      </w:r>
      <w:r>
        <w:rPr>
          <w:sz w:val="24"/>
        </w:rPr>
        <w:t>COVID-19</w:t>
      </w:r>
      <w:r>
        <w:rPr>
          <w:sz w:val="24"/>
        </w:rPr>
        <w:t xml:space="preserve"> pandemic. Can J Public Health. 2020;111(5):654–7.</w:t>
      </w:r>
    </w:p>
    <w:p>
      <w:r>
        <w:rPr>
          <w:sz w:val="24"/>
        </w:rPr>
        <w:t xml:space="preserve">52. Becker SP, Gregory AM. Editorial perspective: perils and promise for child and adolescent sleep and associated psychopathology during the </w:t>
      </w:r>
      <w:r>
        <w:rPr>
          <w:sz w:val="24"/>
        </w:rPr>
        <w:t>COVID-19</w:t>
      </w:r>
      <w:r>
        <w:rPr>
          <w:sz w:val="24"/>
        </w:rPr>
        <w:t xml:space="preserve"> pandemic. J Child Psychol Psychiatry. 2020;61(7):757–9.</w:t>
      </w:r>
    </w:p>
    <w:p>
      <w:r>
        <w:rPr>
          <w:sz w:val="24"/>
        </w:rPr>
        <w:t>53. Yan W, Li Y, Sui N. The relationship between recent stressful life events, personality traits, perceived family functioning and internet addiction among college students. Stress Health. 2014;30(1):3–11.</w:t>
      </w:r>
    </w:p>
    <w:p>
      <w:r>
        <w:rPr>
          <w:sz w:val="24"/>
        </w:rPr>
        <w:t>54. Bonnaire C, Phan O. Relationships between parental attitudes, family functioning and internet gaming disorder in adolescents attending school. Psychiatry Res. 2017;255:104–10.</w:t>
      </w:r>
    </w:p>
    <w:p>
      <w:r>
        <w:rPr>
          <w:sz w:val="24"/>
        </w:rPr>
        <w:t>55. Zadra S, Bischof G, Besser B, Bischof A, Meyer C, John U, Rumpf HJ. The association between internet addiction and personality disorders in a general population-based sample. J Behav Addict. 2016;5(4):691–9.</w:t>
      </w:r>
    </w:p>
    <w:p/>
    <w:p>
      <w:pPr>
        <w:pStyle w:val="Heading3"/>
      </w:pPr>
      <w:r>
        <w:t>CHU THICH TU VIET TAT / ABBREVIATIONS</w:t>
      </w:r>
    </w:p>
    <w:tbl>
      <w:tblPr>
        <w:tblStyle w:val="TableGrid"/>
        <w:tblW w:type="auto" w:w="0"/>
        <w:tblLook w:firstColumn="1" w:firstRow="1" w:lastColumn="0" w:lastRow="0" w:noHBand="0" w:noVBand="1" w:val="04A0"/>
      </w:tblPr>
      <w:tblGrid>
        <w:gridCol w:w="4320"/>
        <w:gridCol w:w="4320"/>
      </w:tblGrid>
      <w:tr>
        <w:tc>
          <w:tcPr>
            <w:tcW w:type="dxa" w:w="1701"/>
          </w:tcPr>
          <w:p>
            <w:r>
              <w:rPr>
                <w:b/>
                <w:sz w:val="18"/>
              </w:rPr>
              <w:t>Viet tat</w:t>
            </w:r>
          </w:p>
        </w:tc>
        <w:tc>
          <w:tcPr>
            <w:tcW w:type="dxa" w:w="7370"/>
          </w:tcPr>
          <w:p>
            <w:r>
              <w:rPr>
                <w:b/>
                <w:sz w:val="18"/>
              </w:rPr>
              <w:t>Giai thich</w:t>
            </w:r>
          </w:p>
        </w:tc>
      </w:tr>
      <w:tr>
        <w:tc>
          <w:tcPr>
            <w:tcW w:type="dxa" w:w="1701"/>
          </w:tcPr>
          <w:p>
            <w:r/>
            <w:r>
              <w:rPr>
                <w:b/>
                <w:sz w:val="18"/>
              </w:rPr>
              <w:t>PHQ-9</w:t>
            </w:r>
          </w:p>
        </w:tc>
        <w:tc>
          <w:tcPr>
            <w:tcW w:type="dxa" w:w="7370"/>
          </w:tcPr>
          <w:p>
            <w:r/>
            <w:r>
              <w:rPr>
                <w:sz w:val="18"/>
              </w:rPr>
              <w:t>Patient Health Questionnaire-9</w:t>
            </w:r>
          </w:p>
        </w:tc>
      </w:tr>
      <w:tr>
        <w:tc>
          <w:tcPr>
            <w:tcW w:type="dxa" w:w="1701"/>
          </w:tcPr>
          <w:p>
            <w:r/>
            <w:r>
              <w:rPr>
                <w:b/>
                <w:sz w:val="18"/>
              </w:rPr>
              <w:t>GAD-7</w:t>
            </w:r>
          </w:p>
        </w:tc>
        <w:tc>
          <w:tcPr>
            <w:tcW w:type="dxa" w:w="7370"/>
          </w:tcPr>
          <w:p>
            <w:r/>
            <w:r>
              <w:rPr>
                <w:sz w:val="18"/>
              </w:rPr>
              <w:t>Generalized Anxiety Disorder 7-item scale</w:t>
            </w:r>
          </w:p>
        </w:tc>
      </w:tr>
      <w:tr>
        <w:tc>
          <w:tcPr>
            <w:tcW w:type="dxa" w:w="1701"/>
          </w:tcPr>
          <w:p>
            <w:r/>
            <w:r>
              <w:rPr>
                <w:b/>
                <w:sz w:val="18"/>
              </w:rPr>
              <w:t>MPVS</w:t>
            </w:r>
          </w:p>
        </w:tc>
        <w:tc>
          <w:tcPr>
            <w:tcW w:type="dxa" w:w="7370"/>
          </w:tcPr>
          <w:p>
            <w:r/>
            <w:r>
              <w:rPr>
                <w:sz w:val="18"/>
              </w:rPr>
              <w:t>Multidimensional Peer-Victimization Scale (Thang do Da chieu ve Nan nhan Bat nat)</w:t>
            </w:r>
          </w:p>
        </w:tc>
      </w:tr>
      <w:tr>
        <w:tc>
          <w:tcPr>
            <w:tcW w:type="dxa" w:w="1701"/>
          </w:tcPr>
          <w:p>
            <w:r/>
            <w:r>
              <w:rPr>
                <w:b/>
                <w:sz w:val="18"/>
              </w:rPr>
              <w:t>PSQI</w:t>
            </w:r>
          </w:p>
        </w:tc>
        <w:tc>
          <w:tcPr>
            <w:tcW w:type="dxa" w:w="7370"/>
          </w:tcPr>
          <w:p>
            <w:r/>
            <w:r>
              <w:rPr>
                <w:sz w:val="18"/>
              </w:rPr>
              <w:t>Pittsburgh Sleep Quality Index (Chi so Chat luong Giac ngu Pittsburgh)</w:t>
            </w:r>
          </w:p>
        </w:tc>
      </w:tr>
      <w:tr>
        <w:tc>
          <w:tcPr>
            <w:tcW w:type="dxa" w:w="1701"/>
          </w:tcPr>
          <w:p>
            <w:r/>
            <w:r>
              <w:rPr>
                <w:b/>
                <w:sz w:val="18"/>
              </w:rPr>
              <w:t>IGDS9-SF</w:t>
            </w:r>
          </w:p>
        </w:tc>
        <w:tc>
          <w:tcPr>
            <w:tcW w:type="dxa" w:w="7370"/>
          </w:tcPr>
          <w:p>
            <w:r/>
            <w:r>
              <w:rPr>
                <w:sz w:val="18"/>
              </w:rPr>
              <w:t>Internet Gaming Disorder Scale 9-Short Form</w:t>
            </w:r>
          </w:p>
        </w:tc>
      </w:tr>
      <w:tr>
        <w:tc>
          <w:tcPr>
            <w:tcW w:type="dxa" w:w="1701"/>
          </w:tcPr>
          <w:p>
            <w:r/>
            <w:r>
              <w:rPr>
                <w:b/>
                <w:sz w:val="18"/>
              </w:rPr>
              <w:t>IGD</w:t>
            </w:r>
          </w:p>
        </w:tc>
        <w:tc>
          <w:tcPr>
            <w:tcW w:type="dxa" w:w="7370"/>
          </w:tcPr>
          <w:p>
            <w:r/>
            <w:r>
              <w:rPr>
                <w:sz w:val="18"/>
              </w:rPr>
              <w:t>Internet Gaming Disorder (Roi loan Choi game Truc tuyen)</w:t>
            </w:r>
          </w:p>
        </w:tc>
      </w:tr>
      <w:tr>
        <w:tc>
          <w:tcPr>
            <w:tcW w:type="dxa" w:w="1701"/>
          </w:tcPr>
          <w:p>
            <w:r/>
            <w:r>
              <w:rPr>
                <w:b/>
                <w:sz w:val="18"/>
              </w:rPr>
              <w:t>OR</w:t>
            </w:r>
          </w:p>
        </w:tc>
        <w:tc>
          <w:tcPr>
            <w:tcW w:type="dxa" w:w="7370"/>
          </w:tcPr>
          <w:p>
            <w:r/>
            <w:r>
              <w:rPr>
                <w:sz w:val="18"/>
              </w:rPr>
              <w:t>Odds Ratio (Ty so chenh)</w:t>
            </w:r>
          </w:p>
        </w:tc>
      </w:tr>
    </w:tbl>
    <w:p/>
    <w:p>
      <w:pPr>
        <w:pStyle w:val="Heading2"/>
      </w:pPr>
      <w:r>
        <w:rPr>
          <w:color w:val="CC0000"/>
        </w:rPr>
        <w:t>QUAN ĐIỂM PHẢN BIỆN / CRITICAL REVIEW</w:t>
      </w:r>
    </w:p>
    <w:p>
      <w:r>
        <w:rPr>
          <w:b/>
          <w:color w:val="CC0000"/>
          <w:sz w:val="24"/>
        </w:rPr>
        <w:t>[Phản biện 1]:</w:t>
      </w:r>
      <w:r>
        <w:rPr>
          <w:color w:val="CC0000"/>
          <w:sz w:val="24"/>
        </w:rPr>
        <w:t xml:space="preserve"> Điểm mạnh nổi bật nhất của nghiên cứu là cỡ mẫu rất lớn (N=63.205) và phương pháp lấy mẫu cụm, giúp tăng tính đại diện và sức mạnh thống kê. Tuy nhiên, nghiên cứu chỉ được thực hiện tại một thành phố duy nhất (Tự Cống) ở miền Tây Trung Quốc, một thành phố cấp ba với đặc điểm kinh tế-xã hội đặc thù. Kết quả có thể không khái quát hóa được cho các thành phố lớn (Bắc Kinh, Thượng Hải) hay các vùng nông thôn hẻo lánh hơn. Wen et al. (2020) tại nông thôn Giang Tây cho thấy tỷ lệ lo âu khác biệt rõ rệt. Xu et al. (2021) tại Hà Nam cũng cho kết quả khác, nhấn mạnh sự biến thiên lớn theo vùng tại Trung Quốc.</w:t>
      </w:r>
    </w:p>
    <w:p>
      <w:r>
        <w:rPr>
          <w:b/>
          <w:color w:val="CC0000"/>
          <w:sz w:val="24"/>
        </w:rPr>
        <w:t>[Phản biện 2]:</w:t>
      </w:r>
      <w:r>
        <w:rPr>
          <w:color w:val="CC0000"/>
          <w:sz w:val="24"/>
        </w:rPr>
        <w:t xml:space="preserve"> Sử dụng tỷ lệ có trọng số (weighted prevalence) là điểm phương pháp luận tiến bộ, nhưng khoảng tin cậy khá rộng cho trầm cảm (19,6-27,0%) và lo âu (11,2-17,0%) dù cỡ mẫu lớn, gợi ý hiệu ứng thiết kế (design effect) đáng kể do lấy mẫu cụm. Điều này có nghĩa sự biến thiên giữa các trường/cụm lớn, và tỷ lệ thực có thể dao động đáng kể tùy trường. NSCH (2020) cũng dùng trọng số nhưng với mẫu đại diện quốc gia rộng hơn. Khoảng tin cậy rộng gợi ý cần thêm nhiều cụm hơn, không chỉ thêm học sinh trong mỗi cụm.</w:t>
      </w:r>
    </w:p>
    <w:p>
      <w:r>
        <w:rPr>
          <w:b/>
          <w:color w:val="CC0000"/>
          <w:sz w:val="24"/>
        </w:rPr>
        <w:t>[Phản biện 3]:</w:t>
      </w:r>
      <w:r>
        <w:rPr>
          <w:color w:val="CC0000"/>
          <w:sz w:val="24"/>
        </w:rPr>
        <w:t xml:space="preserve"> </w:t>
      </w:r>
      <w:r>
        <w:rPr>
          <w:color w:val="CC0000"/>
          <w:sz w:val="24"/>
        </w:rPr>
        <w:t>PHQ-9</w:t>
      </w:r>
      <w:r>
        <w:rPr>
          <w:color w:val="CC0000"/>
          <w:sz w:val="24"/>
        </w:rPr>
        <w:t xml:space="preserve"> và </w:t>
      </w:r>
      <w:r>
        <w:rPr>
          <w:color w:val="CC0000"/>
          <w:sz w:val="24"/>
        </w:rPr>
        <w:t>GAD-7</w:t>
      </w:r>
      <w:r>
        <w:rPr>
          <w:color w:val="CC0000"/>
          <w:sz w:val="24"/>
        </w:rPr>
        <w:t xml:space="preserve"> là công cụ sàng lọc, không phải công cụ chẩn đoán. Việc sử dụng thuật ngữ "prevalence of depression/anxiety" có thể gây hiểu nhầm — chính xác hơn nên là "prevalence of depressive/anxiety symptoms above screening threshold." So sánh tỷ lệ này với dữ liệu chẩn đoán lâm sàng từ NSCH (16,1% lo âu được chẩn đoán) cho thấy sự khác biệt quan trọng giữa sàng lọc và chẩn đoán. Alharbi et al. (2019) cũng dùng </w:t>
      </w:r>
      <w:r>
        <w:rPr>
          <w:color w:val="CC0000"/>
          <w:sz w:val="24"/>
        </w:rPr>
        <w:t>PHQ-9</w:t>
      </w:r>
      <w:r>
        <w:rPr>
          <w:color w:val="CC0000"/>
          <w:sz w:val="24"/>
        </w:rPr>
        <w:t>/</w:t>
      </w:r>
      <w:r>
        <w:rPr>
          <w:color w:val="CC0000"/>
          <w:sz w:val="24"/>
        </w:rPr>
        <w:t>GAD-7</w:t>
      </w:r>
      <w:r>
        <w:rPr>
          <w:color w:val="CC0000"/>
          <w:sz w:val="24"/>
        </w:rPr>
        <w:t xml:space="preserve"> nhưng không phân biệt sàng lọc với chẩn đoán. Sự nhầm lẫn này phổ biến trong 8/11 bài và gây phóng đại mức độ nghiêm trọng.</w:t>
      </w:r>
    </w:p>
    <w:p>
      <w:r>
        <w:rPr>
          <w:b/>
          <w:color w:val="CC0000"/>
          <w:sz w:val="24"/>
        </w:rPr>
        <w:t>[Phản biện 4]:</w:t>
      </w:r>
      <w:r>
        <w:rPr>
          <w:color w:val="CC0000"/>
          <w:sz w:val="24"/>
        </w:rPr>
        <w:t xml:space="preserve"> Nghiên cứu đo lường nhiều yếu tố nguy cơ đồng thời (bắt nạt, giấc ngủ, chơi game) nhưng không kiểm tra mối tương quan giữa các yếu tố này hay xây dựng mô hình đa tầng (multilevel model) phù hợp với cấu trúc dữ liệu cụm (học sinh trong trường). Bỏ qua cấu trúc phân cấp của dữ liệu có thể dẫn đến sai số chuẩn bị đánh giá thấp và giá trị p bị phóng đại. Wen et al. (2020) dùng </w:t>
      </w:r>
      <w:r>
        <w:rPr>
          <w:b/>
          <w:color w:val="CC0000"/>
          <w:sz w:val="24"/>
        </w:rPr>
        <w:t>LPA</w:t>
      </w:r>
      <w:r>
        <w:rPr>
          <w:color w:val="CC0000"/>
          <w:sz w:val="24"/>
        </w:rPr>
        <w:t xml:space="preserve"> để phân nhóm tự nhiên — cách tiếp cận phù hợp hơn cho dữ liệu cụm. Với N=63.205, mô hình đa tầng sẽ cho kết quả chính xác hơn đáng kể.</w:t>
      </w:r>
    </w:p>
    <w:p>
      <w:r>
        <w:rPr>
          <w:b/>
          <w:color w:val="CC0000"/>
          <w:sz w:val="24"/>
        </w:rPr>
        <w:t>[Phản biện 5]:</w:t>
      </w:r>
      <w:r>
        <w:rPr>
          <w:color w:val="CC0000"/>
          <w:sz w:val="24"/>
        </w:rPr>
        <w:t xml:space="preserve"> Thiết kế cắt ngang không cho phép xác lập nhân quả giữa các yếu tố hành vi (chơi game, chất lượng giấc ngủ kém) và triệu chứng tâm thần. Ví dụ, thanh thiếu niên trầm cảm thường có rối loạn giấc ngủ như triệu chứng cốt lõi, không nhất thiết là nguyên nhân. Tương tự, chơi game quá mức có thể là cơ chế đối phó với lo âu hơn là yếu tố nguy cơ. Saikia et al. (2023) cũng tìm thấy mối liên quan game-trầm cảm nhưng thừa nhận có thể là nhân quả ngược. Qiu et al. (2022) nhấn mạnh rằng chỉ nghiên cứu dọc mới phân tách được các hiệu ứng này.</w:t>
      </w:r>
    </w:p>
    <w:p>
      <w:pPr>
        <w:jc w:val="center"/>
      </w:pPr>
      <w:r>
        <w:drawing>
          <wp:inline xmlns:a="http://schemas.openxmlformats.org/drawingml/2006/main" xmlns:pic="http://schemas.openxmlformats.org/drawingml/2006/picture">
            <wp:extent cx="5029200" cy="6703489"/>
            <wp:docPr id="2" name="Picture 2"/>
            <wp:cNvGraphicFramePr>
              <a:graphicFrameLocks noChangeAspect="1"/>
            </wp:cNvGraphicFramePr>
            <a:graphic>
              <a:graphicData uri="http://schemas.openxmlformats.org/drawingml/2006/picture">
                <pic:pic>
                  <pic:nvPicPr>
                    <pic:cNvPr id="0" name="07_table1_characteristics.png"/>
                    <pic:cNvPicPr/>
                  </pic:nvPicPr>
                  <pic:blipFill>
                    <a:blip r:embed="rId10"/>
                    <a:stretch>
                      <a:fillRect/>
                    </a:stretch>
                  </pic:blipFill>
                  <pic:spPr>
                    <a:xfrm>
                      <a:off x="0" y="0"/>
                      <a:ext cx="5029200" cy="6703489"/>
                    </a:xfrm>
                    <a:prstGeom prst="rect"/>
                  </pic:spPr>
                </pic:pic>
              </a:graphicData>
            </a:graphic>
          </wp:inline>
        </w:drawing>
      </w:r>
    </w:p>
    <w:p>
      <w:pPr>
        <w:jc w:val="center"/>
      </w:pPr>
      <w:r>
        <w:rPr>
          <w:i/>
          <w:color w:val="333399"/>
          <w:sz w:val="18"/>
        </w:rPr>
        <w:t>Bảng 1: Đặc điểm mẫu</w:t>
      </w:r>
    </w:p>
    <w:p/>
    <w:p>
      <w:pPr>
        <w:jc w:val="center"/>
      </w:pPr>
      <w:r>
        <w:drawing>
          <wp:inline xmlns:a="http://schemas.openxmlformats.org/drawingml/2006/main" xmlns:pic="http://schemas.openxmlformats.org/drawingml/2006/picture">
            <wp:extent cx="5029200" cy="6703489"/>
            <wp:docPr id="3" name="Picture 3"/>
            <wp:cNvGraphicFramePr>
              <a:graphicFrameLocks noChangeAspect="1"/>
            </wp:cNvGraphicFramePr>
            <a:graphic>
              <a:graphicData uri="http://schemas.openxmlformats.org/drawingml/2006/picture">
                <pic:pic>
                  <pic:nvPicPr>
                    <pic:cNvPr id="0" name="07_table2_factors_all.png"/>
                    <pic:cNvPicPr/>
                  </pic:nvPicPr>
                  <pic:blipFill>
                    <a:blip r:embed="rId11"/>
                    <a:stretch>
                      <a:fillRect/>
                    </a:stretch>
                  </pic:blipFill>
                  <pic:spPr>
                    <a:xfrm>
                      <a:off x="0" y="0"/>
                      <a:ext cx="5029200" cy="6703489"/>
                    </a:xfrm>
                    <a:prstGeom prst="rect"/>
                  </pic:spPr>
                </pic:pic>
              </a:graphicData>
            </a:graphic>
          </wp:inline>
        </w:drawing>
      </w:r>
    </w:p>
    <w:p>
      <w:pPr>
        <w:jc w:val="center"/>
      </w:pPr>
      <w:r>
        <w:rPr>
          <w:i/>
          <w:color w:val="333399"/>
          <w:sz w:val="18"/>
        </w:rPr>
        <w:t>Bảng 2: Yếu tố nguy cơ toàn bộ</w:t>
      </w:r>
    </w:p>
    <w:p/>
    <w:p>
      <w:pPr>
        <w:jc w:val="center"/>
      </w:pPr>
      <w:r>
        <w:drawing>
          <wp:inline xmlns:a="http://schemas.openxmlformats.org/drawingml/2006/main" xmlns:pic="http://schemas.openxmlformats.org/drawingml/2006/picture">
            <wp:extent cx="5029200" cy="6703489"/>
            <wp:docPr id="4" name="Picture 4"/>
            <wp:cNvGraphicFramePr>
              <a:graphicFrameLocks noChangeAspect="1"/>
            </wp:cNvGraphicFramePr>
            <a:graphic>
              <a:graphicData uri="http://schemas.openxmlformats.org/drawingml/2006/picture">
                <pic:pic>
                  <pic:nvPicPr>
                    <pic:cNvPr id="0" name="07_table3_middle_school.png"/>
                    <pic:cNvPicPr/>
                  </pic:nvPicPr>
                  <pic:blipFill>
                    <a:blip r:embed="rId12"/>
                    <a:stretch>
                      <a:fillRect/>
                    </a:stretch>
                  </pic:blipFill>
                  <pic:spPr>
                    <a:xfrm>
                      <a:off x="0" y="0"/>
                      <a:ext cx="5029200" cy="6703489"/>
                    </a:xfrm>
                    <a:prstGeom prst="rect"/>
                  </pic:spPr>
                </pic:pic>
              </a:graphicData>
            </a:graphic>
          </wp:inline>
        </w:drawing>
      </w:r>
    </w:p>
    <w:p>
      <w:pPr>
        <w:jc w:val="center"/>
      </w:pPr>
      <w:r>
        <w:rPr>
          <w:i/>
          <w:color w:val="333399"/>
          <w:sz w:val="18"/>
        </w:rPr>
        <w:t>Bảng 3: Yếu tố THCS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