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0"/>
        </w:rPr>
        <w:t xml:space="preserve">Link bai bao goc: </w:t>
      </w:r>
      <w:r>
        <w:rPr>
          <w:color w:val="0000CC"/>
          <w:sz w:val="20"/>
          <w:u w:val="single"/>
        </w:rPr>
        <w:t>https://doi.org/10.3390/ijerph17114079</w:t>
      </w:r>
    </w:p>
    <w:p>
      <w:r>
        <w:rPr>
          <w:i/>
          <w:color w:val="666666"/>
          <w:sz w:val="18"/>
        </w:rPr>
        <w:t>* Day la tap chi truc tuyen (online/open access). Bai bao duoc xuat ban dang dien tu, khong co so trang tap chi truyen thong. So trang trong ban dich nay la so thu tu trang cua bai bao (Page X of Y).</w:t>
      </w:r>
    </w:p>
    <w:p>
      <w:pPr>
        <w:jc w:val="left"/>
      </w:pPr>
      <w:r>
        <w:drawing>
          <wp:inline xmlns:a="http://schemas.openxmlformats.org/drawingml/2006/main" xmlns:pic="http://schemas.openxmlformats.org/drawingml/2006/picture">
            <wp:extent cx="1097280" cy="1097280"/>
            <wp:docPr id="1" name="Picture 1"/>
            <wp:cNvGraphicFramePr>
              <a:graphicFrameLocks noChangeAspect="1"/>
            </wp:cNvGraphicFramePr>
            <a:graphic>
              <a:graphicData uri="http://schemas.openxmlformats.org/drawingml/2006/picture">
                <pic:pic>
                  <pic:nvPicPr>
                    <pic:cNvPr id="0" name="08_qr.png"/>
                    <pic:cNvPicPr/>
                  </pic:nvPicPr>
                  <pic:blipFill>
                    <a:blip r:embed="rId9"/>
                    <a:stretch>
                      <a:fillRect/>
                    </a:stretch>
                  </pic:blipFill>
                  <pic:spPr>
                    <a:xfrm>
                      <a:off x="0" y="0"/>
                      <a:ext cx="1097280" cy="1097280"/>
                    </a:xfrm>
                    <a:prstGeom prst="rect"/>
                  </pic:spPr>
                </pic:pic>
              </a:graphicData>
            </a:graphic>
          </wp:inline>
        </w:drawing>
      </w:r>
    </w:p>
    <w:p>
      <w:r>
        <w:rPr>
          <w:i/>
          <w:sz w:val="16"/>
        </w:rPr>
        <w:t>Quet QR de truy cap bai bao goc</w:t>
      </w:r>
    </w:p>
    <w:p/>
    <w:p>
      <w:pPr>
        <w:pStyle w:val="Heading1"/>
      </w:pPr>
      <w:r>
        <w:t>BÀI BÁO 8: Phân tích hồ sơ tiềm ẩn về lo âu ở học sinh trung học cơ sở tại các vùng nông thôn kém phát triển của Trung Quốc</w:t>
      </w:r>
    </w:p>
    <w:p>
      <w:pPr>
        <w:pStyle w:val="Heading2"/>
      </w:pPr>
      <w:r>
        <w:t>THÔNG TIN THƯ MỤC / BIBLIOGRAPHIC INFORMATION</w:t>
      </w:r>
    </w:p>
    <w:p>
      <w:pPr>
        <w:pStyle w:val="ListBullet"/>
      </w:pPr>
      <w:r>
        <w:rPr>
          <w:b/>
          <w:sz w:val="22"/>
        </w:rPr>
        <w:t>Tiêu đề gốc (English):</w:t>
      </w:r>
      <w:r>
        <w:rPr>
          <w:sz w:val="22"/>
        </w:rPr>
        <w:t xml:space="preserve"> A Latent Profile Analysis of Anxiety among Junior High School Students in Less Developed Rural Regions of China</w:t>
      </w:r>
    </w:p>
    <w:p>
      <w:pPr>
        <w:pStyle w:val="ListBullet"/>
      </w:pPr>
      <w:r>
        <w:rPr>
          <w:b/>
          <w:sz w:val="22"/>
        </w:rPr>
        <w:t>Tiêu đề dịch (Vietnamese):</w:t>
      </w:r>
      <w:r>
        <w:rPr>
          <w:sz w:val="22"/>
        </w:rPr>
        <w:t xml:space="preserve"> Phân tích hồ sơ tiềm ẩn về lo âu ở học sinh trung học cơ sở tại các vùng nông thôn kém phát triển của Trung Quốc</w:t>
      </w:r>
    </w:p>
    <w:p>
      <w:pPr>
        <w:pStyle w:val="ListBullet"/>
      </w:pPr>
      <w:r>
        <w:rPr>
          <w:b/>
          <w:sz w:val="22"/>
        </w:rPr>
        <w:t>Tác giả:</w:t>
      </w:r>
      <w:r>
        <w:rPr>
          <w:sz w:val="22"/>
        </w:rPr>
        <w:t xml:space="preserve"> Xiaotong Wen, Yixiang Lin, Yuchen Liu, Katie Starcevich, Fang Yuan, Xiuzhu Wang, Xiaoxu Xie, Zhaokang Yuan</w:t>
      </w:r>
    </w:p>
    <w:p>
      <w:pPr>
        <w:pStyle w:val="ListBullet"/>
      </w:pPr>
      <w:r>
        <w:rPr>
          <w:b/>
          <w:sz w:val="22"/>
        </w:rPr>
        <w:t>Cơ quan:</w:t>
      </w:r>
      <w:r>
        <w:rPr>
          <w:sz w:val="22"/>
        </w:rPr>
        <w:t xml:space="preserve"> Trường Y tế Công cộng, Đại học Nam Xương, tỉnh Giang Tây; Đại học Carnegie Mellon; Đại học Nevada, Reno; Đại học Hawaii tại Mānoa; Đại học Y khoa Phúc Kiến</w:t>
      </w:r>
    </w:p>
    <w:p>
      <w:pPr>
        <w:pStyle w:val="ListBullet"/>
      </w:pPr>
      <w:r>
        <w:rPr>
          <w:b/>
          <w:sz w:val="22"/>
        </w:rPr>
        <w:t>Tạp chí:</w:t>
      </w:r>
      <w:r>
        <w:rPr>
          <w:sz w:val="22"/>
        </w:rPr>
        <w:t xml:space="preserve"> International Journal of Environmental Research and Public Health, 2020, 17(11):4079</w:t>
      </w:r>
    </w:p>
    <w:p>
      <w:pPr>
        <w:pStyle w:val="ListBullet"/>
      </w:pPr>
      <w:r>
        <w:rPr>
          <w:b/>
          <w:sz w:val="22"/>
        </w:rPr>
        <w:t>DOI:</w:t>
      </w:r>
      <w:r>
        <w:rPr>
          <w:sz w:val="22"/>
        </w:rPr>
        <w:t xml:space="preserve"> 10.3390/ijerph17114079</w:t>
      </w:r>
    </w:p>
    <w:p>
      <w:pPr>
        <w:pStyle w:val="ListBullet"/>
      </w:pPr>
      <w:r>
        <w:rPr>
          <w:b/>
          <w:sz w:val="22"/>
        </w:rPr>
        <w:t>PMID:</w:t>
      </w:r>
      <w:r>
        <w:rPr>
          <w:sz w:val="22"/>
        </w:rPr>
        <w:t xml:space="preserve"> 32521646 | </w:t>
      </w:r>
      <w:r>
        <w:rPr>
          <w:b/>
          <w:sz w:val="22"/>
        </w:rPr>
        <w:t>PMCID:</w:t>
      </w:r>
      <w:r>
        <w:rPr>
          <w:sz w:val="22"/>
        </w:rPr>
        <w:t xml:space="preserve"> PMC7312008</w:t>
      </w:r>
    </w:p>
    <w:p>
      <w:r>
        <w:rPr>
          <w:b/>
          <w:color w:val="FF6600"/>
          <w:sz w:val="20"/>
        </w:rPr>
        <w:t>--- Trang 1/14, Int J Environ Res Public Health, 17(11):4079, tháng 6/2020 ---</w:t>
      </w:r>
    </w:p>
    <w:p>
      <w:pPr>
        <w:pStyle w:val="Heading2"/>
      </w:pPr>
      <w:r>
        <w:t>TÓM TẮT</w:t>
      </w:r>
    </w:p>
    <w:p>
      <w:r>
        <w:rPr>
          <w:sz w:val="24"/>
        </w:rPr>
        <w:t>Mục đích của nghiên cứu này là tìm hiểu các loại lo âu tiềm ẩn ở học sinh trung học cơ sở bằng cách phân tích tình trạng lo âu hiện tại của học sinh trung học cơ sở và các yếu tố ảnh hưởng của nó. Nghiên cứu này sử dụng phương pháp lấy mẫu cụm ngẫu nhiên phân tầng nhiều giai đoạn để khảo sát học sinh từ lớp 9 đến lớp 12. Phần mềm Mplus 7.4 được sử dụng cho phân tích hồ sơ tiềm ẩn. Tổng cộng 900 học sinh trung học cơ sở được khảo sát. Các học sinh trung học cơ sở được chia thành ba phân nhóm bằng phân tích hồ sơ tiềm ẩn. Tổng cộng 223 học sinh trung học cơ sở trải qua lo âu nặng, chiếm 24,78%. Phân tích hồi quy logistic đa biến cho thấy học sinh nam có nhiều khả năng phát triển lo âu trung bình và nặng hơn. Khả năng phát triển lo âu nặng (</w:t>
      </w:r>
      <w:r>
        <w:rPr>
          <w:b/>
          <w:color w:val="CC0000"/>
          <w:sz w:val="24"/>
        </w:rPr>
        <w:t>OR</w:t>
      </w:r>
      <w:r>
        <w:rPr>
          <w:sz w:val="24"/>
        </w:rPr>
        <w:t xml:space="preserve"> (Tỷ số chênh - Odds Ratio) = 0,562, *p* &lt; 0,05) thấp hơn ở học sinh tại các trường có hỗ trợ sức khỏe tâm thần đầy đủ. Học sinh tự tin với kết quả học tập của mình ít có khả năng phát triển lo âu trung bình (</w:t>
      </w:r>
      <w:r>
        <w:rPr>
          <w:sz w:val="24"/>
        </w:rPr>
        <w:t>OR</w:t>
      </w:r>
      <w:r>
        <w:rPr>
          <w:sz w:val="24"/>
        </w:rPr>
        <w:t xml:space="preserve"> = 0,377, *p* &lt; 0,05). Học sinh có áp lực học tập cực kỳ lớn có nhiều khả năng phát triển lo âu trung bình (</w:t>
      </w:r>
      <w:r>
        <w:rPr>
          <w:sz w:val="24"/>
        </w:rPr>
        <w:t>OR</w:t>
      </w:r>
      <w:r>
        <w:rPr>
          <w:sz w:val="24"/>
        </w:rPr>
        <w:t xml:space="preserve"> = 6,523, *p* &lt; 0,05) và lo âu nặng (</w:t>
      </w:r>
      <w:r>
        <w:rPr>
          <w:sz w:val="24"/>
        </w:rPr>
        <w:t>OR</w:t>
      </w:r>
      <w:r>
        <w:rPr>
          <w:sz w:val="24"/>
        </w:rPr>
        <w:t xml:space="preserve"> = 11,579, *p* &lt; 0,05). Nghiên cứu khuyến nghị thiết lập dịch vụ tư vấn sức khỏe tâm thần tại trường học và cung cấp các nhà tư vấn chuyên nghiệp để phòng ngừa lo âu nghiêm trọng cho học sinh. Bài báo này cũng cho thấy sự cần thiết phải giảm áp lực học tập của học sinh.</w:t>
      </w:r>
    </w:p>
    <w:p>
      <w:r>
        <w:rPr>
          <w:b/>
          <w:sz w:val="24"/>
        </w:rPr>
        <w:t>Từ khóa:</w:t>
      </w:r>
      <w:r>
        <w:rPr>
          <w:sz w:val="24"/>
        </w:rPr>
        <w:t xml:space="preserve"> nông thôn; học sinh trung học cơ sở; lo âu; phân tích hồ sơ tiềm ẩn; áp lực học tập</w:t>
      </w:r>
    </w:p>
    <w:p>
      <w:pPr>
        <w:pStyle w:val="Heading2"/>
      </w:pPr>
      <w:r>
        <w:t>1. GIỚI THIỆU</w:t>
      </w:r>
    </w:p>
    <w:p>
      <w:r>
        <w:rPr>
          <w:sz w:val="24"/>
        </w:rPr>
        <w:t>Trung học cơ sở là giai đoạn quan trọng cho sự trưởng thành và phát triển của cá nhân, đồng thời cũng là giai đoạn quan trọng cho việc hình thành nhân cách và giá trị cá nhân. Tuy nhiên, gia đình và nhà trường chủ yếu tập trung vào sự phát triển thể chất, thành tích học tập và hành vi liên quan đến sức khỏe của học sinh trung học cơ sở. Sức khỏe tâm thần và cảm xúc của học sinh bị bỏ qua nghiêm trọng khi so sánh, dẫn đến việc các em phải đối mặt với sự bối rối tâm lý và các vấn đề sức khỏe tâm thần. Nhiều học sinh tự gánh chịu gánh nặng một mình và không thể đối phó đúng cách, dẫn đến lo âu nghiêm trọng hơn [1]. Mặc dù khái niệm giáo dục toàn diện đã được thúc đẩy liên tục, áp lực học tập đối với học sinh vẫn tiếp tục gia tăng. Các gia đình có xu hướng đặt kỳ vọng cao lên con cái, khiến các em phải chịu căng thẳng cả ở trường lẫn ngoài xã hội. Hệ thống giáo dục Trung Quốc bị chính các nhà giáo dục, học giả và phụ huynh của mình chỉ trích rộng rãi vì tập trung vào học thuật hơn các mục tiêu khác, tạo ra mức độ căng thẳng độc hại, bỏ qua sức khỏe cảm xúc của học sinh, điều này có thể tạo ra những người tốt nghiệp với điểm số cao nhưng sức khỏe kém [2]. Một hậu quả tiềm tàng là tỷ lệ lo âu cao ở học sinh [3]. Học sinh trung học cơ sở được quan sát có nguy cơ lo âu cao, ít nhất một phần là do bản chất của hệ thống trường học Trung Quốc [4]. Do đó, các vấn đề cảm xúc và tâm lý của học sinh ngày càng trở nên tồi tệ hơn, đặc biệt là các vấn đề lo âu của các em, cần được gia đình, nhà trường và xã hội quan tâm nghiêm túc.</w:t>
      </w:r>
    </w:p>
    <w:p>
      <w:r>
        <w:rPr>
          <w:b/>
          <w:color w:val="FF6600"/>
          <w:sz w:val="20"/>
        </w:rPr>
        <w:t>--- Trang 2/14, Int J Environ Res Public Health, 17(11):4079, tháng 6/2020 ---</w:t>
      </w:r>
    </w:p>
    <w:p>
      <w:r>
        <w:rPr>
          <w:sz w:val="24"/>
        </w:rPr>
        <w:t>Lo âu là một dạng kích thích biểu hiện qua sợ hãi, bồn chồn, và lo lắng quá mức về những điều sẽ có hậu quả tiêu cực hoặc những mối đe dọa mơ hồ [5,6]. Lo âu nhẹ có thể là động lực để thích ứng với môi trường, nhưng lo âu nặng có thể ảnh hưởng nghiêm trọng đến sức khỏe thể chất và tâm thần [7]. Các nghiên cứu đã chỉ ra rằng lo âu là yếu tố dự báo tốt cho xu hướng tự tử [8]. Hiện nay, lo âu phổ biến trên toàn thế giới và là vấn đề sức khỏe tâm thần phổ biến nhất. Một tổng quan hệ thống các nghiên cứu dịch tễ học tại 44 quốc gia cho thấy tỷ lệ lo âu nặng toàn cầu ước tính là 7,3%, cho thấy cứ 14 người trên thế giới thì có một người mắc lo âu nặng [9]. Tỷ lệ lo âu nặng tại Hoa Kỳ đạt 31,0%, và tại châu Âu là 14,0% [10,11]. Một khảo sát cắt ngang tại Tanzania cho thấy tỷ lệ lo âu ở 3013 thanh thiếu niên là 31,0% [12]. Hiện nay, lo âu ở thanh thiếu niên đang trở thành mối quan ngại sức khỏe công cộng nghiêm trọng và cần được công chúng quan tâm hơn nữa.</w:t>
      </w:r>
    </w:p>
    <w:p>
      <w:r>
        <w:rPr>
          <w:sz w:val="24"/>
        </w:rPr>
        <w:t>Việc hiểu các yếu tố ảnh hưởng đến lo âu ở học sinh trung học cơ sở có thể hướng dẫn các em chủ động phòng ngừa và đối phó với lo âu. Các yếu tố ảnh hưởng đến lo âu có thể đến từ các vấn đề cá nhân, gia đình, trường học, v.v. Yao Shuqiao [13] đã khảo sát các triệu chứng lo âu ở thanh thiếu niên Trung Quốc và phát hiện rằng nữ sinh có nhiều triệu chứng lo âu hơn nam sinh. Phân tích của Petermann cũng cho thấy nữ giới có nguy cơ lo âu cao hơn [14]. Nghiên cứu gần đây của Cheung cho thấy lối sống có liên quan đáng kể đến lo âu, với kết quả gợi ý rằng những cá nhân ngủ ít hơn 7-8 giờ, có ít sở thích, hiếm khi dành thời gian cho giải trí, có nhiều khả năng phát triển lo âu hơn [15]. Ngoài ra, một nghiên cứu đối chứng ngẫu nhiên trên các cá nhân có lo âu và trầm cảm áp dụng thay đổi lối sống đã chỉ ra rằng chế độ ăn uống lành mạnh và tập thể dục có thể giảm mức lo âu ở bệnh nhân [16,17]. Một nghiên cứu theo dõi của Tochigi cho thấy thói quen ngủ có liên quan đáng kể đến lo âu ở thanh thiếu niên, chỉ ra rằng việc đi ngủ muộn làm trầm trọng thêm lo âu ở học sinh trung học cơ sở, và việc cải thiện thói quen ngủ của thanh thiếu niên có vai trò quan trọng trong việc cải thiện sức khỏe tâm thần của các em [18]. Một số nghiên cứu cũng cho thấy cấu trúc gia đình không đầy đủ là yếu tố nguy cơ của lo âu. Kết quả cho thấy nữ giới có cha/mẹ đơn thân hoặc không có cha mẹ có nhiều khả năng phát triển lo âu hơn [19]. Nghiên cứu hiện tại chỉ ra rằng các yếu tố cá nhân liên quan đến lo âu ở thanh thiếu niên bao gồm giới tính, tuổi, lối sống và tình trạng giấc ngủ, và các yếu tố gia đình bao gồm cấu trúc gia đình, môi trường và tình trạng kinh tế xã hội. Bài báo này sẽ chủ yếu khám phá tác động của các yếu tố liên quan đến trường học lên mức độ lo âu của học sinh trung học cơ sở. Bằng chứng cho thấy mức độ lo âu cao phổ biến bất thường ở học sinh Trung Quốc. Cuộc khảo sát điều tra 1576 học sinh trung học cơ sở tại Trung Quốc cho thấy một tỷ lệ lớn học sinh có các triệu chứng lo âu nghiêm trọng, như khó ngủ (chiếm 27%) và các vấn đề cảm xúc (chiếm 48%) [20]. Các nghiên cứu trước đây đã chỉ ra rằng tỷ lệ lo âu cao hơn ở học sinh nông thôn so với học sinh thành thị [20,21]. Nhiều học sinh ở bậc trung học cơ sở có thể bắt đầu nhận thức được sự lo âu trong sự nghiệp và cuộc sống tương lai của mình. Học sinh trung học cơ sở cần đạt điểm cắt để được vào các trường trung học phổ thông có chất lượng học thuật cao.</w:t>
      </w:r>
    </w:p>
    <w:p>
      <w:r>
        <w:rPr>
          <w:sz w:val="24"/>
        </w:rPr>
        <w:t>Vấn đề lo âu ở thanh thiếu niên Trung Quốc đang leo thang. Hầu hết các nghiên cứu trong nước về lo âu đều tập trung vào khu vực thành thị, và thiếu sự chú ý đến lo âu ở học sinh trung học cơ sở nông thôn. Thanh thiếu niên ở vùng nông thôn cần được quan tâm nhiều hơn. Dự án này tiến hành khảo sát trên học sinh trung học cơ sở tại vùng nông thôn Giang Tây để tìm hiểu tình trạng hiện tại của các vấn đề lo âu ở các em. Nghiên cứu cũng khám phá mối liên quan giữa lo âu trung bình/nặng với thông tin nhân khẩu học cơ bản và các yếu tố liên quan đến trường học. Phân tích hồ sơ tiềm ẩn khám phá được đề xuất nhằm nghiên cứu sâu hơn các đặc điểm lo âu của học sinh trung học cơ sở nông thôn tỉnh Giang Tây. Bằng cách sử dụng các biến liên tục tiềm ẩn để giải thích mối quan hệ giữa các biến liên tục hiển thị, phương pháp này có thể tận dụng tối đa toàn bộ dữ liệu mẫu và ước tính nhóm nào mà một cá nhân thuộc về, từ đó khám phá các phân loại không đồng nhất trong các nhóm. Dựa trên dữ liệu kết quả, chúng tôi hướng đến việc tìm ra phân loại tiềm ẩn của lo âu, mô tả mức độ lo âu tổng thể ở học sinh nông thôn, khám phá các yếu tố ảnh hưởng đến lo âu giữa các nhóm khác nhau, và từ đó cung cấp cơ sở và biện pháp cho can thiệp hiệu quả.</w:t>
      </w:r>
    </w:p>
    <w:p>
      <w:r>
        <w:rPr>
          <w:b/>
          <w:color w:val="FF6600"/>
          <w:sz w:val="20"/>
        </w:rPr>
        <w:t>--- Trang 3/14, Int J Environ Res Public Health, 17(11):4079, tháng 6/2020 ---</w:t>
      </w:r>
    </w:p>
    <w:p>
      <w:r>
        <w:rPr>
          <w:sz w:val="24"/>
        </w:rPr>
        <w:t>Theo đó, chúng tôi đặt ra bốn giả thuyết. Thứ nhất, chúng tôi giả thuyết rằng trong nghiên cứu cắt ngang này, số lượng phân loại tiềm ẩn của lo âu ở học sinh trung học cơ sở sẽ là ba. Thứ hai, chúng tôi giả thuyết rằng học sinh sẽ có mức lo âu thấp khi công tác sức khỏe tâm thần tại trường đầy đủ. Thứ ba, chúng tôi giả thuyết rằng học sinh có thành tích học tập xuất sắc sẽ lo âu hơn so với học sinh có thành tích học tập kém. Cuối cùng, chúng tôi giả thuyết rằng học sinh có áp lực học tập cao sẽ lo âu hơn.</w:t>
      </w:r>
    </w:p>
    <w:p>
      <w:pPr>
        <w:pStyle w:val="Heading2"/>
      </w:pPr>
      <w:r>
        <w:t>2. VẬT LIỆU VÀ PHƯƠNG PHÁP</w:t>
      </w:r>
    </w:p>
    <w:p>
      <w:pPr>
        <w:pStyle w:val="Heading3"/>
      </w:pPr>
      <w:r>
        <w:t>2.1. Đối tượng nghiên cứu và phương pháp lấy mẫu</w:t>
      </w:r>
    </w:p>
    <w:p>
      <w:r>
        <w:rPr>
          <w:sz w:val="24"/>
        </w:rPr>
        <w:t>Cuộc khảo sát nhắm đến học sinh từ lớp 9 đến lớp 12 tại tổng cộng sáu huyện: Vu Đô (Yudu), Thượng Nhiêu (Shangrao), Đô Xương (Duchang), Phong Thành (Fengcheng), quận Đông Hương (Dongxiang) ở Phủ Châu, và Toại Xuyên (Suichuan) (Hình 1). Trong cuộc khảo sát này, Văn phòng Quản lý dân số lưu động của Ủy ban Y tế tỉnh Giang Tây đã xác định các huyện mẫu cho cuộc khảo sát, và các huyện mẫu sau đó xác định một xã/thị trấn mẫu. Một trường trung học cơ sở trong thị trấn được chọn làm trường mẫu, và các lớp mẫu ở mỗi khối lớp được xác định bằng phương pháp lấy mẫu ngẫu nhiên đơn giản.</w:t>
      </w:r>
    </w:p>
    <w:p>
      <w:r>
        <w:rPr>
          <w:sz w:val="24"/>
        </w:rPr>
        <w:t>Phương pháp lấy mẫu ngẫu nhiên đơn giản được sử dụng để xác định lớp mẫu ở mỗi khối lớp của trường mẫu. Đầu tiên, số lượng học sinh trong mỗi lớp của trường mẫu được thu thập, và tổng số học sinh ở mỗi khối lớp được tính toán. Nếu có hàng trăm học sinh trong khối lớp đó, một số ngẫu nhiên ba chữ số sẽ được chọn. Nếu có hàng chục học sinh trong khối lớp đó, một số ngẫu nhiên hai chữ số sẽ được chọn. Thứ hai, chúng tôi chọn một hàng và cột ngẫu nhiên trong bảng số ngẫu nhiên và xác định một số ngẫu nhiên. Cuối cùng, các học sinh được cộng dồn từng người một cho đến khi số lượng học sinh trong lớp của khối lớp đó vượt quá số ngẫu nhiên; việc chọn lớp ở mỗi khối lớp sau đó được xác định. Tất cả học sinh trong nghiên cứu này đều được tuyển vào các lớp được chọn ngẫu nhiên.</w:t>
      </w:r>
    </w:p>
    <w:p>
      <w:r>
        <w:rPr>
          <w:sz w:val="24"/>
        </w:rPr>
        <w:t>Có 900 học sinh trung học cơ sở tại vùng nông thôn tỉnh Giang Tây được chọn trong cuộc khảo sát này. Độ tuổi trung bình của học sinh mẫu là 14,14 ± 1,32 tuổi.</w:t>
      </w:r>
    </w:p>
    <w:p>
      <w:r>
        <w:rPr>
          <w:b/>
          <w:color w:val="FF6600"/>
          <w:sz w:val="20"/>
        </w:rPr>
        <w:t>--- Trang 4/14, Int J Environ Res Public Health, 17(11):4079, tháng 6/2020 ---</w:t>
      </w:r>
    </w:p>
    <w:p>
      <w:pPr>
        <w:pStyle w:val="Heading3"/>
      </w:pPr>
      <w:r>
        <w:t>2.2. Phương pháp nghiên cứu</w:t>
      </w:r>
    </w:p>
    <w:p>
      <w:r>
        <w:rPr>
          <w:sz w:val="24"/>
        </w:rPr>
        <w:t>Cuộc khảo sát áp dụng phương pháp lấy mẫu cụm ngẫu nhiên phân tầng nhiều giai đoạn và tiến hành khảo sát bằng bảng hỏi thông qua điều tra thực địa tại các trường. Ủy ban Y tế địa phương, Trung tâm Kiểm soát và Phòng ngừa Dịch bệnh, Bộ Giáo dục và các ban ngành khác đã hỗ trợ phối hợp trong việc tiến hành điều tra thực địa. Người điều tra, với sự hỗ trợ của giáo viên chủ nhiệm, tổ chức học sinh trong lớp tham gia nghiên cứu. Người điều tra chỉ dẫn cách trả lời câu hỏi đúng trên bảng cho học sinh. Học sinh được thông báo rằng các bảng hỏi là ẩn danh, kết quả bảng hỏi sẽ không được sử dụng làm cơ sở đánh giá thành tích học tập, và không có câu trả lời đúng hay sai. Các em được yêu cầu hoàn thành khảo sát một cách trung thực và độc lập, không thảo luận hay trao đổi. Người điều tra kiểm tra tính hoàn chỉnh của bảng hỏi ngay sau khi học sinh hoàn thành. Nếu có câu hỏi bị bỏ sót, học sinh được yêu cầu điền bổ sung để đảm bảo tính toàn vẹn của cuộc khảo sát. Học sinh trung học cơ sở được thông báo rằng việc tham gia là ẩn danh và tự nguyện. Phụ huynh đã đồng ý cho con tham gia khảo sát tại buổi họp phụ huynh giữa kỳ. Nói cách khác, sự đồng ý của phụ huynh cho việc tham gia khảo sát đã được thu thập trước. Phê duyệt đạo đức của nghiên cứu này đã được Hội đồng Đánh giá Thể chế của Đại học Nam Xương cấp.</w:t>
      </w:r>
    </w:p>
    <w:p>
      <w:r>
        <w:rPr>
          <w:b/>
          <w:color w:val="FF6600"/>
          <w:sz w:val="20"/>
        </w:rPr>
        <w:t>--- Trang 5/14, Int J Environ Res Public Health, 17(11):4079, tháng 6/2020 ---</w:t>
      </w:r>
    </w:p>
    <w:p>
      <w:pPr>
        <w:pStyle w:val="Heading3"/>
      </w:pPr>
      <w:r>
        <w:t>2.3. Nội dung bảng hỏi</w:t>
      </w:r>
    </w:p>
    <w:p>
      <w:r>
        <w:rPr>
          <w:sz w:val="24"/>
        </w:rPr>
        <w:t>Bảng hỏi bao gồm hai phần: phần thứ nhất là các đặc điểm nhân khẩu học cơ bản (bao gồm giới tính, tuổi, khối lớp, trẻ em bị bỏ lại) và các yếu tố liên quan đến trường học của học sinh trung học cơ sở nông thôn; phần thứ hai là Trắc nghiệm Sức khỏe Tâm thần (</w:t>
      </w:r>
      <w:r>
        <w:rPr>
          <w:b/>
          <w:color w:val="CC0000"/>
          <w:sz w:val="24"/>
        </w:rPr>
        <w:t>MHT</w:t>
      </w:r>
      <w:r>
        <w:rPr>
          <w:sz w:val="24"/>
        </w:rPr>
        <w:t xml:space="preserve">) [22,23]. Theo Trắc nghiệm Chẩn đoán Xu hướng Lo âu do nhà nghiên cứu Nhật Bản Kiyoshi Suzuki biên soạn, Giáo sư Bucheng Zhou và các nhà nghiên cứu tâm lý học khác thuộc Khoa Tâm lý học, Đại học Sư phạm Hoa Đông đã chuyển thể bảng hỏi để lập phiên bản tiếng Trung vào năm 1991, và bảng hỏi này được đặt tên là Trắc nghiệm Sức khỏe Tâm thần, là thang chẩn đoán lo âu tiêu chuẩn hóa dành cho học sinh tiểu học và trung học cơ sở tại Trung Quốc. </w:t>
      </w:r>
      <w:r>
        <w:rPr>
          <w:sz w:val="24"/>
        </w:rPr>
        <w:t>MHT</w:t>
      </w:r>
      <w:r>
        <w:rPr>
          <w:sz w:val="24"/>
        </w:rPr>
        <w:t xml:space="preserve"> là trắc nghiệm tiêu chuẩn hóa quốc tế về lo âu ở trẻ em đã được áp dụng rộng rãi tại Trung Quốc [24]. </w:t>
      </w:r>
      <w:r>
        <w:rPr>
          <w:sz w:val="24"/>
        </w:rPr>
        <w:t>MHT</w:t>
      </w:r>
      <w:r>
        <w:rPr>
          <w:sz w:val="24"/>
        </w:rPr>
        <w:t xml:space="preserve"> có tổng cộng 100 câu hỏi, gồm 8 thang nội dung và 1 thang hiệu lực. </w:t>
      </w:r>
      <w:r>
        <w:rPr>
          <w:sz w:val="24"/>
        </w:rPr>
        <w:t>MHT</w:t>
      </w:r>
      <w:r>
        <w:rPr>
          <w:sz w:val="24"/>
        </w:rPr>
        <w:t xml:space="preserve"> đo lo âu từ hai khía cạnh: đối tượng lo âu và hành vi lo âu. Đối tượng lo âu bao gồm lo âu học tập và lo âu trong quan hệ giữa các cá nhân. Hành vi lo âu bao gồm xu hướng cô đơn, xu hướng tự trách, xu hướng dị ứng, triệu chứng thể chất, xu hướng sợ hãi và xu hướng bốc đồng.</w:t>
      </w:r>
    </w:p>
    <w:p>
      <w:r>
        <w:rPr>
          <w:sz w:val="24"/>
        </w:rPr>
        <w:t xml:space="preserve">Theo thang </w:t>
      </w:r>
      <w:r>
        <w:rPr>
          <w:sz w:val="24"/>
        </w:rPr>
        <w:t>MHT</w:t>
      </w:r>
      <w:r>
        <w:rPr>
          <w:sz w:val="24"/>
        </w:rPr>
        <w:t>, lo âu học tập đề cập đến nỗi sợ thi cử hoặc lo lắng quá mức về điểm số của học sinh. Điều này bao gồm lo lắng về việc vượt qua kỳ thi thành công, cảm thấy không vui khi điểm thi không tốt, học sinh cảm thấy lo lắng khi không thể nhớ những gì đã học trong kỳ thi, và lo lắng về việc đạt điểm kém khi làm bài kiểm tra. Lo âu trong quan hệ giữa các cá nhân đề cập đến việc học sinh gặp khó khăn trong giao tiếp với người khác, như sợ người lạ, đỏ mặt khi nói chuyện với người khác, luôn bị giáo viên hoặc phụ huynh khiển trách. Xu hướng cô đơn đề cập đến việc học sinh cảm thấy chơi một mình tốt hơn là chơi với người khác, sợ thất bại khi tham gia nhóm. Xu hướng tự trách đề cập đến việc học sinh mất tự tin vào những gì mình làm, thường lo lắng về điều này khiến hành động bị cản trở. Xu hướng dị ứng đề cập đến những học sinh quá nhạy cảm, chẳng hạn như đặc biệt nhạy cảm với tiếng ồn xung quanh, lo lắng rằng một số thành viên trong gia đình bị thương, ốm hoặc qua đời. Triệu chứng thể chất đề cập đến sự lo lắng quá mức của học sinh về cơ thể mình, như luôn lo lắng liệu có điều gì bất ổn với cơ thể, khó thở, đổ mồ hôi, chóng mặt và nhận thức bất thường, bồn chồn, nhịp tim bất thường, mạch đập rối loạn, nôn mửa, chán ăn, đau bụng hoặc mất ngủ. Xu hướng sợ hãi đề cập đến những học sinh luôn trong trạng thái sợ hãi mà không có lý do. Xu hướng bốc đồng đề cập đến mong muốn của học sinh làm những điều nguy hiểm hoặc ngớ ngẩn mà không có lý do, điều này xuất phát từ xu hướng lo âu nội tại.</w:t>
      </w:r>
    </w:p>
    <w:p>
      <w:r>
        <w:rPr>
          <w:sz w:val="24"/>
        </w:rPr>
        <w:t>MHT</w:t>
      </w:r>
      <w:r>
        <w:rPr>
          <w:sz w:val="24"/>
        </w:rPr>
        <w:t xml:space="preserve"> là thang tự đánh giá dễ thực hiện và dễ tiếp nhận cũng như làm chủ cho đối tượng nghiên cứu. Mỗi mục có hai lựa chọn (Có = 1 và Không = 0). Trắc nghiệm này có độ tin cậy và giá trị tốt. Trắc nghiệm có độ tin cậy từ 0,84-0,88 và độ tin cậy kiểm tra lại từ 0,78-0,86 [24]. Sau phân tích nhân tố khẳng định, chỉ số phù hợp tổng thể của thang như sau: χ² = 19239,961, df = 4950, CFI = 0,913, GFI = 0,931, NFI = 0,905, RMSEA = 0,048, và độ nhất quán nội tại được biểu thị bằng hệ số α Cronbach là 0,878. Phân tích nhân tố khẳng định cho thấy hệ số tin cậy của tám thang nội dung là lo âu học tập (0,847), lo âu giữa các cá nhân (0,757), xu hướng cô đơn (0,789), xu hướng tự trách (0,777), xu hướng dị ứng (0,770), triệu chứng thể chất (0,794), xu hướng sợ hãi (0,840) và xu hướng bốc đồng (0,839).</w:t>
      </w:r>
    </w:p>
    <w:p>
      <w:pPr>
        <w:pStyle w:val="Heading3"/>
      </w:pPr>
      <w:r>
        <w:t>2.4. Định nghĩa chỉ số</w:t>
      </w:r>
    </w:p>
    <w:p>
      <w:pPr>
        <w:pStyle w:val="Heading4"/>
      </w:pPr>
      <w:r>
        <w:t>2.4.1. Trẻ em bị bỏ lại (LBC)</w:t>
      </w:r>
    </w:p>
    <w:p>
      <w:r>
        <w:rPr>
          <w:sz w:val="24"/>
        </w:rPr>
        <w:t>Trẻ em bị bỏ lại được định nghĩa là những trẻ dưới 16 tuổi ở lại nhà khi cả cha và mẹ đều di cư đến vùng thành thị để làm việc hơn 6 tháng mỗi năm, hoặc khi một trong hai người di cư đến vùng thành thị để làm việc hơn 6 tháng mỗi năm và người còn lại không có khả năng nuôi dưỡng và giám sát trẻ [25,26].</w:t>
      </w:r>
    </w:p>
    <w:p>
      <w:pPr>
        <w:pStyle w:val="Heading4"/>
      </w:pPr>
      <w:r>
        <w:t>2.4.2. Các yếu tố liên quan đến trường học</w:t>
      </w:r>
    </w:p>
    <w:p>
      <w:r>
        <w:rPr>
          <w:sz w:val="24"/>
        </w:rPr>
        <w:t>Khóa học giáo dục sức khỏe được đánh giá bằng cách hỏi học sinh: "Trường bạn có cung cấp khóa học giáo dục sức khỏe không?" Các câu trả lời được chia thành "Có" và "Không". Việc công tác sức khỏe tâm thần tại trường có đầy đủ hay không được đánh giá bằng cách hỏi học sinh: "Bạn có nghĩ rằng công tác sức khỏe tâm thần tại trường có đầy đủ không?" Các câu trả lời được chia thành "Có", "Không" và "Không chắc chắn". Hai câu hỏi này tham chiếu đến dự án sức khỏe tâm thần thanh thiếu niên của Trung tâm Kiểm soát và Phòng ngừa Dịch bệnh Trung Quốc. Tự đánh giá thành tích học tập của học sinh trung học cơ sở được chia thành bốn mức: "Xuất sắc", "Tốt", "Đạt" và "Không đạt". Tự đánh giá áp lực học tập của học sinh trung học cơ sở được chia thành năm mức: "Rất cao", "Cao", "Bình thường", "Thấp" và "Rất thấp". Hai câu hỏi này tham chiếu đến bảng hỏi Hệ thống Giám sát Hành vi Nguy cơ ở Thanh niên (YRBSS) của Trung tâm Kiểm soát và Phòng ngừa Dịch bệnh Hoa Kỳ.</w:t>
      </w:r>
    </w:p>
    <w:p>
      <w:r>
        <w:rPr>
          <w:b/>
          <w:color w:val="FF6600"/>
          <w:sz w:val="20"/>
        </w:rPr>
        <w:t>--- Trang 6/14, Int J Environ Res Public Health, 17(11):4079, tháng 6/2020 ---</w:t>
      </w:r>
    </w:p>
    <w:p>
      <w:pPr>
        <w:pStyle w:val="Heading3"/>
      </w:pPr>
      <w:r>
        <w:t>2.5. Phương pháp phân tích dữ liệu</w:t>
      </w:r>
    </w:p>
    <w:p>
      <w:r>
        <w:rPr>
          <w:sz w:val="24"/>
        </w:rPr>
        <w:t xml:space="preserve">Phần mềm Epidata 3.1 (Hiệp hội EpiData, Odense, Đan Mạch) được sử dụng để nhập dữ liệu. Cơ sở dữ liệu được nhập vào bảng tính Excel (Microsoft Office 2003, Microsoft, Redmond, DC, USA) và chuyển sang phần mềm thống kê </w:t>
      </w:r>
      <w:r>
        <w:rPr>
          <w:b/>
          <w:color w:val="CC0000"/>
          <w:sz w:val="24"/>
        </w:rPr>
        <w:t>SPSS</w:t>
      </w:r>
      <w:r>
        <w:rPr>
          <w:sz w:val="24"/>
        </w:rPr>
        <w:t xml:space="preserve"> (Phần mềm Thống kê cho Khoa học Xã hội - Statistical Package for Social Sciences) 24.0 (IBM Corporation, Armonk, NY, USA) để phân tích cơ bản. Phương pháp phân tích hồ sơ tiềm ẩn (</w:t>
      </w:r>
      <w:r>
        <w:rPr>
          <w:b/>
          <w:color w:val="CC0000"/>
          <w:sz w:val="24"/>
        </w:rPr>
        <w:t>LPA</w:t>
      </w:r>
      <w:r>
        <w:rPr>
          <w:sz w:val="24"/>
        </w:rPr>
        <w:t>) được thực hiện trong Mplus 7.4 (Linda Muthen &amp; Bengt Muthen) nhằm khám phá phân loại tiềm ẩn của lo âu ở học sinh trung học cơ sở. Sự khác biệt giữa các biến được so sánh bằng phương pháp thống kê χ². Hồi quy logistic được sử dụng trong phân tích đa yếu tố với tiêu chuẩn kiểm định α = 0,05.</w:t>
      </w:r>
    </w:p>
    <w:p>
      <w:r>
        <w:rPr>
          <w:sz w:val="24"/>
        </w:rPr>
        <w:t>Trong những năm gần đây, việc sử dụng các kỹ thuật thống kê tập trung vào cá nhân trong lĩnh vực tâm lý học ngày càng tăng, bao gồm phân tích lớp tiềm ẩn (LCA) và phân tích hồ sơ tiềm ẩn (</w:t>
      </w:r>
      <w:r>
        <w:rPr>
          <w:sz w:val="24"/>
        </w:rPr>
        <w:t>LPA</w:t>
      </w:r>
      <w:r>
        <w:rPr>
          <w:sz w:val="24"/>
        </w:rPr>
        <w:t xml:space="preserve">) [27]. LCA và </w:t>
      </w:r>
      <w:r>
        <w:rPr>
          <w:sz w:val="24"/>
        </w:rPr>
        <w:t>LPA</w:t>
      </w:r>
      <w:r>
        <w:rPr>
          <w:sz w:val="24"/>
        </w:rPr>
        <w:t>, thay vì tập trung vào mối tương quan giữa các biến nghiên cứu, xác định các kiểu loại cá nhân bằng cách xem xét cấu hình các đặc điểm trong các cá nhân đó [28].</w:t>
      </w:r>
    </w:p>
    <w:p>
      <w:r>
        <w:rPr>
          <w:sz w:val="24"/>
        </w:rPr>
        <w:t>LPA</w:t>
      </w:r>
      <w:r>
        <w:rPr>
          <w:sz w:val="24"/>
        </w:rPr>
        <w:t xml:space="preserve"> là phương pháp tiếp cận "từ trên xuống" đòi hỏi nhà nghiên cứu xác định trước số lượng hồ sơ giả thuyết trong dữ liệu. Với mỗi người tham gia, xác suất thuộc về một hồ sơ nhất định được ước tính, và việc phân loại vào một trong các hồ sơ được xác định bởi xác suất hồ sơ cao nhất của cá nhân đó [29]. </w:t>
      </w:r>
      <w:r>
        <w:rPr>
          <w:sz w:val="24"/>
        </w:rPr>
        <w:t>LPA</w:t>
      </w:r>
      <w:r>
        <w:rPr>
          <w:sz w:val="24"/>
        </w:rPr>
        <w:t xml:space="preserve"> được sử dụng để phát hiện các nhóm đồng nhất (lớp tiềm ẩn) sử dụng tám yếu tố của lo âu, bao gồm lo âu học tập, lo âu giữa các cá nhân, xu hướng cô đơn, xu hướng tự trách, xu hướng dị ứng, triệu chứng thể chất, xu hướng sợ hãi và xu hướng bốc đồng. Bằng cách sử dụng hồi quy logistic đa thức, chúng tôi đánh giá mối liên quan giữa các lớp tiềm ẩn của lo âu và các yếu tố liên quan đến trường học. Các mối liên quan này được đánh giá bằng tỷ số chênh (</w:t>
      </w:r>
      <w:r>
        <w:rPr>
          <w:sz w:val="24"/>
        </w:rPr>
        <w:t>OR</w:t>
      </w:r>
      <w:r>
        <w:rPr>
          <w:sz w:val="24"/>
        </w:rPr>
        <w:t>), kèm theo khoảng tin cậy (</w:t>
      </w:r>
      <w:r>
        <w:rPr>
          <w:b/>
          <w:color w:val="CC0000"/>
          <w:sz w:val="24"/>
        </w:rPr>
        <w:t>CI</w:t>
      </w:r>
      <w:r>
        <w:rPr>
          <w:sz w:val="24"/>
        </w:rPr>
        <w:t>) tương ứng.</w:t>
      </w:r>
    </w:p>
    <w:p>
      <w:r>
        <w:rPr>
          <w:sz w:val="24"/>
        </w:rPr>
        <w:t>Một số chỉ số thông tin được sử dụng để đánh giá sự phù hợp của mô hình hồ sơ tiềm ẩn: tiêu chí thông tin Akaike (</w:t>
      </w:r>
      <w:r>
        <w:rPr>
          <w:b/>
          <w:color w:val="CC0000"/>
          <w:sz w:val="24"/>
        </w:rPr>
        <w:t>AIC</w:t>
      </w:r>
      <w:r>
        <w:rPr>
          <w:sz w:val="24"/>
        </w:rPr>
        <w:t>), tiêu chí thông tin Bayes (</w:t>
      </w:r>
      <w:r>
        <w:rPr>
          <w:b/>
          <w:color w:val="CC0000"/>
          <w:sz w:val="24"/>
        </w:rPr>
        <w:t>BIC</w:t>
      </w:r>
      <w:r>
        <w:rPr>
          <w:sz w:val="24"/>
        </w:rPr>
        <w:t>), và tiêu chí thông tin Bayes điều chỉnh theo cỡ mẫu (A</w:t>
      </w:r>
      <w:r>
        <w:rPr>
          <w:sz w:val="24"/>
        </w:rPr>
        <w:t>BIC</w:t>
      </w:r>
      <w:r>
        <w:rPr>
          <w:sz w:val="24"/>
        </w:rPr>
        <w:t xml:space="preserve">) [30-32]. Mô hình có giá trị thấp hơn cho thấy giải pháp hồ sơ tiềm ẩn tốt hơn. Chúng tôi có xu hướng chọn các mô hình đơn giản và hiệu quả khi sử dụng </w:t>
      </w:r>
      <w:r>
        <w:rPr>
          <w:sz w:val="24"/>
        </w:rPr>
        <w:t>AIC</w:t>
      </w:r>
      <w:r>
        <w:rPr>
          <w:sz w:val="24"/>
        </w:rPr>
        <w:t xml:space="preserve"> làm tiêu chuẩn thích ứng mô hình. </w:t>
      </w:r>
      <w:r>
        <w:rPr>
          <w:sz w:val="24"/>
        </w:rPr>
        <w:t>BIC</w:t>
      </w:r>
      <w:r>
        <w:rPr>
          <w:sz w:val="24"/>
        </w:rPr>
        <w:t xml:space="preserve"> phù hợp cho các nghiên cứu có cỡ mẫu lớn hơn 1000 hoặc có ít tham số mô hình, trong khi A</w:t>
      </w:r>
      <w:r>
        <w:rPr>
          <w:sz w:val="24"/>
        </w:rPr>
        <w:t>BIC</w:t>
      </w:r>
      <w:r>
        <w:rPr>
          <w:sz w:val="24"/>
        </w:rPr>
        <w:t xml:space="preserve"> yêu cầu ít nhất 50 đối tượng trong mỗi danh mục để đảm bảo độ chính xác của mô hình đánh giá [33]. Chúng tôi cũng tính toán giá trị entropy cho biết độ chính xác phân loại của mô hình, với giá trị entropy cao hơn cho thấy phân loại chính xác hơn. Giá trị entropy dao động từ 0 đến 1. Khi giá trị entropy bằng 0,8, độ chính xác phân loại của mô hình đạt hơn 90%. Kiểm định tỷ số khả dĩ Lo-Mendell-Rubin (LMRT), kiểm định tỷ số khả dĩ Vuong-Lo-Mendell-Rubin (VLMR), và kiểm định tỷ số khả dĩ bootstrap (</w:t>
      </w:r>
      <w:r>
        <w:rPr>
          <w:b/>
          <w:color w:val="CC0000"/>
          <w:sz w:val="24"/>
        </w:rPr>
        <w:t>BLRT</w:t>
      </w:r>
      <w:r>
        <w:rPr>
          <w:sz w:val="24"/>
        </w:rPr>
        <w:t xml:space="preserve">) được sử dụng để so sánh các mô hình với số lượng lớp tiềm ẩn tăng dần [34-36]. Giá trị có ý nghĩa (*p* &lt; 0,05) cho thấy mô hình có thêm một lớp là lựa chọn tốt hơn. Chúng tôi ưu tiên </w:t>
      </w:r>
      <w:r>
        <w:rPr>
          <w:sz w:val="24"/>
        </w:rPr>
        <w:t>BIC</w:t>
      </w:r>
      <w:r>
        <w:rPr>
          <w:sz w:val="24"/>
        </w:rPr>
        <w:t xml:space="preserve"> là lựa chọn tốt nhất trong số các chỉ số thông tin. Chúng tôi ưu tiên </w:t>
      </w:r>
      <w:r>
        <w:rPr>
          <w:sz w:val="24"/>
        </w:rPr>
        <w:t>BLRT</w:t>
      </w:r>
      <w:r>
        <w:rPr>
          <w:sz w:val="24"/>
        </w:rPr>
        <w:t xml:space="preserve"> là lựa chọn tốt nhất khi so sánh các mô hình với số lượng lớp tiềm ẩn khác nhau [37]. Hơn nữa, mô hình tiết kiệm nhất nên được chọn, và lớp nhỏ nhất của bất kỳ giải pháp lớp nào không nên chứa ít hơn 5% mẫu [38].</w:t>
      </w:r>
    </w:p>
    <w:p>
      <w:r>
        <w:rPr>
          <w:sz w:val="24"/>
        </w:rPr>
        <w:t>Sau khi số lượng và bản chất của các hồ sơ được xác định, các cá nhân được phân bổ vào hồ sơ có khả năng nhất dựa trên xác suất hậu nghiệm (tức là tập hợp các giá trị mô tả khả năng được phân bổ vào hồ sơ đó, cho trước dữ liệu) [39].</w:t>
      </w:r>
    </w:p>
    <w:p>
      <w:r>
        <w:rPr>
          <w:sz w:val="24"/>
        </w:rPr>
        <w:t>Trong nghiên cứu này, dữ liệu khảo sát được thu thập từ các bảng hỏi mà học sinh hoàn thành trong lớp. Dữ liệu được phân tích để phát hiện các nhóm lo âu đồng nhất ở học sinh trung học cơ sở bằng phân tích lớp tiềm ẩn và khám phá mối liên quan giữa các lớp tiềm ẩn của lo âu và các yếu tố liên quan đến trường học.</w:t>
      </w:r>
    </w:p>
    <w:p>
      <w:r>
        <w:rPr>
          <w:b/>
          <w:color w:val="FF6600"/>
          <w:sz w:val="20"/>
        </w:rPr>
        <w:t>--- Trang 7/14, Int J Environ Res Public Health, 17(11):4079, tháng 6/2020 ---</w:t>
      </w:r>
    </w:p>
    <w:p>
      <w:pPr>
        <w:pStyle w:val="Heading2"/>
      </w:pPr>
      <w:r>
        <w:t>3. KẾT QUẢ</w:t>
      </w:r>
    </w:p>
    <w:p>
      <w:pPr>
        <w:pStyle w:val="Heading3"/>
      </w:pPr>
      <w:r>
        <w:t>3.1. Phân tích hồ sơ tiềm ẩn (LPA) về lo âu của học sinh trung học cơ sở tại vùng nông thôn tỉnh Giang Tây</w:t>
      </w:r>
    </w:p>
    <w:p>
      <w:r>
        <w:rPr>
          <w:sz w:val="24"/>
        </w:rPr>
        <w:t>LPA</w:t>
      </w:r>
      <w:r>
        <w:rPr>
          <w:sz w:val="24"/>
        </w:rPr>
        <w:t xml:space="preserve"> được thực hiện trên toàn bộ mẫu. Bảng 1 trình bày các thống kê phù hợp thường dùng cho giải pháp từ 1 đến 5 lớp cho các mẫu phân tích. Như thể hiện trong Bảng 1, giá trị thấp hơn của các chỉ số thông tin mô hình, bao gồm </w:t>
      </w:r>
      <w:r>
        <w:rPr>
          <w:sz w:val="24"/>
        </w:rPr>
        <w:t>AIC</w:t>
      </w:r>
      <w:r>
        <w:rPr>
          <w:sz w:val="24"/>
        </w:rPr>
        <w:t xml:space="preserve">, </w:t>
      </w:r>
      <w:r>
        <w:rPr>
          <w:sz w:val="24"/>
        </w:rPr>
        <w:t>BIC</w:t>
      </w:r>
      <w:r>
        <w:rPr>
          <w:sz w:val="24"/>
        </w:rPr>
        <w:t xml:space="preserve"> và A</w:t>
      </w:r>
      <w:r>
        <w:rPr>
          <w:sz w:val="24"/>
        </w:rPr>
        <w:t>BIC</w:t>
      </w:r>
      <w:r>
        <w:rPr>
          <w:sz w:val="24"/>
        </w:rPr>
        <w:t xml:space="preserve">, cho thấy giải pháp hồ sơ tiềm ẩn tốt hơn khi số lượng lớp tiềm ẩn tăng lên. Ngoài ra, lớp nhỏ nhất của mỗi mô hình không chứa mẫu ít hơn 5%. Giá trị entropy cao hơn khi mô hình thay đổi từ hai đến ba lớp tiềm ẩn. Nói cách khác, giá trị entropy xác nhận tính ưu việt của giải pháp ba lớp so với các giải pháp thay thế. Các giá trị có ý nghĩa (*p* &lt; 0,001) cho LMRT, VLMR và </w:t>
      </w:r>
      <w:r>
        <w:rPr>
          <w:sz w:val="24"/>
        </w:rPr>
        <w:t>BLRT</w:t>
      </w:r>
      <w:r>
        <w:rPr>
          <w:sz w:val="24"/>
        </w:rPr>
        <w:t xml:space="preserve"> cho thấy mô hình ba lớp tiềm ẩn là lựa chọn tốt hơn. Trên cơ sở các thống kê này, giải pháp ba lớp được coi là mô hình phù hợp nhất.</w:t>
      </w:r>
    </w:p>
    <w:p>
      <w:r>
        <w:rPr>
          <w:b/>
          <w:sz w:val="24"/>
        </w:rPr>
        <w:t>Bảng 1.</w:t>
      </w:r>
      <w:r>
        <w:rPr>
          <w:sz w:val="24"/>
        </w:rPr>
        <w:t xml:space="preserve"> Các tham số phù hợp cho giải pháp 1-5 hồ sơ về lo âu của học sinh trung học cơ sở tại vùng nông thôn tỉnh Giang Tây.</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1649"/>
          </w:tcPr>
          <w:p>
            <w:r>
              <w:rPr>
                <w:b/>
              </w:rPr>
            </w:r>
            <w:r>
              <w:rPr>
                <w:rFonts w:ascii="Times New Roman" w:hAnsi="Times New Roman"/>
                <w:b/>
                <w:sz w:val="18"/>
              </w:rPr>
              <w:t>Số lượng hồ sơ</w:t>
            </w:r>
          </w:p>
        </w:tc>
        <w:tc>
          <w:tcPr>
            <w:tcW w:type="dxa" w:w="1178"/>
          </w:tcPr>
          <w:p>
            <w:r>
              <w:rPr>
                <w:b/>
              </w:rPr>
            </w:r>
            <w:r>
              <w:rPr>
                <w:rFonts w:ascii="Times New Roman" w:hAnsi="Times New Roman"/>
                <w:b/>
                <w:sz w:val="18"/>
              </w:rPr>
              <w:t>AIC</w:t>
            </w:r>
          </w:p>
        </w:tc>
        <w:tc>
          <w:tcPr>
            <w:tcW w:type="dxa" w:w="1178"/>
          </w:tcPr>
          <w:p>
            <w:r>
              <w:rPr>
                <w:b/>
              </w:rPr>
            </w:r>
            <w:r>
              <w:rPr>
                <w:rFonts w:ascii="Times New Roman" w:hAnsi="Times New Roman"/>
                <w:b/>
                <w:sz w:val="18"/>
              </w:rPr>
              <w:t>BIC</w:t>
            </w:r>
          </w:p>
        </w:tc>
        <w:tc>
          <w:tcPr>
            <w:tcW w:type="dxa" w:w="1178"/>
          </w:tcPr>
          <w:p>
            <w:r>
              <w:rPr>
                <w:b/>
              </w:rPr>
            </w:r>
            <w:r>
              <w:rPr>
                <w:rFonts w:ascii="Times New Roman" w:hAnsi="Times New Roman"/>
                <w:b/>
                <w:sz w:val="18"/>
              </w:rPr>
              <w:t>ABIC</w:t>
            </w:r>
          </w:p>
        </w:tc>
        <w:tc>
          <w:tcPr>
            <w:tcW w:type="dxa" w:w="850"/>
          </w:tcPr>
          <w:p>
            <w:r>
              <w:rPr>
                <w:b/>
              </w:rPr>
            </w:r>
            <w:r>
              <w:rPr>
                <w:rFonts w:ascii="Times New Roman" w:hAnsi="Times New Roman"/>
                <w:b/>
                <w:sz w:val="18"/>
              </w:rPr>
              <w:t>Entropy</w:t>
            </w:r>
          </w:p>
        </w:tc>
        <w:tc>
          <w:tcPr>
            <w:tcW w:type="dxa" w:w="850"/>
          </w:tcPr>
          <w:p>
            <w:r>
              <w:rPr>
                <w:b/>
              </w:rPr>
            </w:r>
            <w:r>
              <w:rPr>
                <w:rFonts w:ascii="Times New Roman" w:hAnsi="Times New Roman"/>
                <w:b/>
                <w:sz w:val="18"/>
              </w:rPr>
              <w:t>LMRT_p</w:t>
            </w:r>
          </w:p>
        </w:tc>
        <w:tc>
          <w:tcPr>
            <w:tcW w:type="dxa" w:w="850"/>
          </w:tcPr>
          <w:p>
            <w:r>
              <w:rPr>
                <w:b/>
              </w:rPr>
            </w:r>
            <w:r>
              <w:rPr>
                <w:rFonts w:ascii="Times New Roman" w:hAnsi="Times New Roman"/>
                <w:b/>
                <w:sz w:val="18"/>
              </w:rPr>
              <w:t>VLMR_p</w:t>
            </w:r>
          </w:p>
        </w:tc>
        <w:tc>
          <w:tcPr>
            <w:tcW w:type="dxa" w:w="850"/>
          </w:tcPr>
          <w:p>
            <w:r>
              <w:rPr>
                <w:b/>
              </w:rPr>
            </w:r>
            <w:r>
              <w:rPr>
                <w:rFonts w:ascii="Times New Roman" w:hAnsi="Times New Roman"/>
                <w:b/>
                <w:sz w:val="18"/>
              </w:rPr>
              <w:t>BLRT_p</w:t>
            </w:r>
          </w:p>
        </w:tc>
        <w:tc>
          <w:tcPr>
            <w:tcW w:type="dxa" w:w="942"/>
          </w:tcPr>
          <w:p>
            <w:r>
              <w:rPr>
                <w:b/>
              </w:rPr>
            </w:r>
            <w:r>
              <w:rPr>
                <w:rFonts w:ascii="Times New Roman" w:hAnsi="Times New Roman"/>
                <w:b/>
                <w:sz w:val="18"/>
              </w:rPr>
              <w:t>Mẫu &lt; 5%</w:t>
            </w:r>
          </w:p>
        </w:tc>
      </w:tr>
      <w:tr>
        <w:tc>
          <w:tcPr>
            <w:tcW w:type="dxa" w:w="1649"/>
          </w:tcPr>
          <w:p>
            <w:r/>
            <w:r>
              <w:rPr>
                <w:rFonts w:ascii="Times New Roman" w:hAnsi="Times New Roman"/>
                <w:sz w:val="18"/>
              </w:rPr>
              <w:t>1</w:t>
            </w:r>
          </w:p>
        </w:tc>
        <w:tc>
          <w:tcPr>
            <w:tcW w:type="dxa" w:w="1178"/>
          </w:tcPr>
          <w:p>
            <w:r/>
            <w:r>
              <w:rPr>
                <w:rFonts w:ascii="Times New Roman" w:hAnsi="Times New Roman"/>
                <w:sz w:val="18"/>
              </w:rPr>
              <w:t>33.703,032</w:t>
            </w:r>
          </w:p>
        </w:tc>
        <w:tc>
          <w:tcPr>
            <w:tcW w:type="dxa" w:w="1178"/>
          </w:tcPr>
          <w:p>
            <w:r/>
            <w:r>
              <w:rPr>
                <w:rFonts w:ascii="Times New Roman" w:hAnsi="Times New Roman"/>
                <w:sz w:val="18"/>
              </w:rPr>
              <w:t>33.779,800</w:t>
            </w:r>
          </w:p>
        </w:tc>
        <w:tc>
          <w:tcPr>
            <w:tcW w:type="dxa" w:w="1178"/>
          </w:tcPr>
          <w:p>
            <w:r/>
            <w:r>
              <w:rPr>
                <w:rFonts w:ascii="Times New Roman" w:hAnsi="Times New Roman"/>
                <w:sz w:val="18"/>
              </w:rPr>
              <w:t>33.729,057</w:t>
            </w:r>
          </w:p>
        </w:tc>
        <w:tc>
          <w:tcPr>
            <w:tcW w:type="dxa" w:w="850"/>
          </w:tcPr>
          <w:p>
            <w:r/>
            <w:r>
              <w:rPr>
                <w:rFonts w:ascii="Times New Roman" w:hAnsi="Times New Roman"/>
                <w:sz w:val="18"/>
              </w:rPr>
              <w:t>—</w:t>
            </w:r>
          </w:p>
        </w:tc>
        <w:tc>
          <w:tcPr>
            <w:tcW w:type="dxa" w:w="850"/>
          </w:tcPr>
          <w:p>
            <w:r/>
            <w:r>
              <w:rPr>
                <w:rFonts w:ascii="Times New Roman" w:hAnsi="Times New Roman"/>
                <w:sz w:val="18"/>
              </w:rPr>
              <w:t>—</w:t>
            </w:r>
          </w:p>
        </w:tc>
        <w:tc>
          <w:tcPr>
            <w:tcW w:type="dxa" w:w="850"/>
          </w:tcPr>
          <w:p>
            <w:r/>
            <w:r>
              <w:rPr>
                <w:rFonts w:ascii="Times New Roman" w:hAnsi="Times New Roman"/>
                <w:sz w:val="18"/>
              </w:rPr>
              <w:t>—</w:t>
            </w:r>
          </w:p>
        </w:tc>
        <w:tc>
          <w:tcPr>
            <w:tcW w:type="dxa" w:w="850"/>
          </w:tcPr>
          <w:p>
            <w:r/>
            <w:r>
              <w:rPr>
                <w:rFonts w:ascii="Times New Roman" w:hAnsi="Times New Roman"/>
                <w:sz w:val="18"/>
              </w:rPr>
              <w:t>—</w:t>
            </w:r>
          </w:p>
        </w:tc>
        <w:tc>
          <w:tcPr>
            <w:tcW w:type="dxa" w:w="942"/>
          </w:tcPr>
          <w:p>
            <w:r/>
            <w:r>
              <w:rPr>
                <w:rFonts w:ascii="Times New Roman" w:hAnsi="Times New Roman"/>
                <w:sz w:val="18"/>
              </w:rPr>
              <w:t>Không</w:t>
            </w:r>
          </w:p>
        </w:tc>
      </w:tr>
      <w:tr>
        <w:tc>
          <w:tcPr>
            <w:tcW w:type="dxa" w:w="1649"/>
          </w:tcPr>
          <w:p>
            <w:r/>
            <w:r>
              <w:rPr>
                <w:rFonts w:ascii="Times New Roman" w:hAnsi="Times New Roman"/>
                <w:sz w:val="18"/>
              </w:rPr>
              <w:t>2</w:t>
            </w:r>
          </w:p>
        </w:tc>
        <w:tc>
          <w:tcPr>
            <w:tcW w:type="dxa" w:w="1178"/>
          </w:tcPr>
          <w:p>
            <w:r/>
            <w:r>
              <w:rPr>
                <w:rFonts w:ascii="Times New Roman" w:hAnsi="Times New Roman"/>
                <w:sz w:val="18"/>
              </w:rPr>
              <w:t>32.141,132</w:t>
            </w:r>
          </w:p>
        </w:tc>
        <w:tc>
          <w:tcPr>
            <w:tcW w:type="dxa" w:w="1178"/>
          </w:tcPr>
          <w:p>
            <w:r/>
            <w:r>
              <w:rPr>
                <w:rFonts w:ascii="Times New Roman" w:hAnsi="Times New Roman"/>
                <w:sz w:val="18"/>
              </w:rPr>
              <w:t>32.261,192</w:t>
            </w:r>
          </w:p>
        </w:tc>
        <w:tc>
          <w:tcPr>
            <w:tcW w:type="dxa" w:w="1178"/>
          </w:tcPr>
          <w:p>
            <w:r/>
            <w:r>
              <w:rPr>
                <w:rFonts w:ascii="Times New Roman" w:hAnsi="Times New Roman"/>
                <w:sz w:val="18"/>
              </w:rPr>
              <w:t>32.181,796</w:t>
            </w:r>
          </w:p>
        </w:tc>
        <w:tc>
          <w:tcPr>
            <w:tcW w:type="dxa" w:w="850"/>
          </w:tcPr>
          <w:p>
            <w:r/>
            <w:r>
              <w:rPr>
                <w:rFonts w:ascii="Times New Roman" w:hAnsi="Times New Roman"/>
                <w:sz w:val="18"/>
              </w:rPr>
              <w:t>0,802</w:t>
            </w:r>
          </w:p>
        </w:tc>
        <w:tc>
          <w:tcPr>
            <w:tcW w:type="dxa" w:w="850"/>
          </w:tcPr>
          <w:p>
            <w:r/>
            <w:r>
              <w:rPr>
                <w:rFonts w:ascii="Times New Roman" w:hAnsi="Times New Roman"/>
                <w:sz w:val="18"/>
              </w:rPr>
              <w:t>&lt;0,001</w:t>
            </w:r>
          </w:p>
        </w:tc>
        <w:tc>
          <w:tcPr>
            <w:tcW w:type="dxa" w:w="850"/>
          </w:tcPr>
          <w:p>
            <w:r/>
            <w:r>
              <w:rPr>
                <w:rFonts w:ascii="Times New Roman" w:hAnsi="Times New Roman"/>
                <w:sz w:val="18"/>
              </w:rPr>
              <w:t>&lt;0,001</w:t>
            </w:r>
          </w:p>
        </w:tc>
        <w:tc>
          <w:tcPr>
            <w:tcW w:type="dxa" w:w="850"/>
          </w:tcPr>
          <w:p>
            <w:r/>
            <w:r>
              <w:rPr>
                <w:rFonts w:ascii="Times New Roman" w:hAnsi="Times New Roman"/>
                <w:sz w:val="18"/>
              </w:rPr>
              <w:t>&lt;0,001</w:t>
            </w:r>
          </w:p>
        </w:tc>
        <w:tc>
          <w:tcPr>
            <w:tcW w:type="dxa" w:w="942"/>
          </w:tcPr>
          <w:p>
            <w:r/>
            <w:r>
              <w:rPr>
                <w:rFonts w:ascii="Times New Roman" w:hAnsi="Times New Roman"/>
                <w:sz w:val="18"/>
              </w:rPr>
              <w:t>Không</w:t>
            </w:r>
          </w:p>
        </w:tc>
      </w:tr>
      <w:tr>
        <w:tc>
          <w:tcPr>
            <w:tcW w:type="dxa" w:w="1649"/>
          </w:tcPr>
          <w:p>
            <w:r/>
            <w:r>
              <w:rPr>
                <w:rFonts w:ascii="Times New Roman" w:hAnsi="Times New Roman"/>
                <w:sz w:val="18"/>
              </w:rPr>
              <w:t>3</w:t>
            </w:r>
          </w:p>
        </w:tc>
        <w:tc>
          <w:tcPr>
            <w:tcW w:type="dxa" w:w="1178"/>
          </w:tcPr>
          <w:p>
            <w:r/>
            <w:r>
              <w:rPr>
                <w:rFonts w:ascii="Times New Roman" w:hAnsi="Times New Roman"/>
                <w:sz w:val="18"/>
              </w:rPr>
              <w:t>31.572,277</w:t>
            </w:r>
          </w:p>
        </w:tc>
        <w:tc>
          <w:tcPr>
            <w:tcW w:type="dxa" w:w="1178"/>
          </w:tcPr>
          <w:p>
            <w:r/>
            <w:r>
              <w:rPr>
                <w:rFonts w:ascii="Times New Roman" w:hAnsi="Times New Roman"/>
                <w:sz w:val="18"/>
              </w:rPr>
              <w:t>31.735,558</w:t>
            </w:r>
          </w:p>
        </w:tc>
        <w:tc>
          <w:tcPr>
            <w:tcW w:type="dxa" w:w="1178"/>
          </w:tcPr>
          <w:p>
            <w:r/>
            <w:r>
              <w:rPr>
                <w:rFonts w:ascii="Times New Roman" w:hAnsi="Times New Roman"/>
                <w:sz w:val="18"/>
              </w:rPr>
              <w:t>31.627,580</w:t>
            </w:r>
          </w:p>
        </w:tc>
        <w:tc>
          <w:tcPr>
            <w:tcW w:type="dxa" w:w="850"/>
          </w:tcPr>
          <w:p>
            <w:r/>
            <w:r>
              <w:rPr>
                <w:rFonts w:ascii="Times New Roman" w:hAnsi="Times New Roman"/>
                <w:sz w:val="18"/>
              </w:rPr>
              <w:t>0,816</w:t>
            </w:r>
          </w:p>
        </w:tc>
        <w:tc>
          <w:tcPr>
            <w:tcW w:type="dxa" w:w="850"/>
          </w:tcPr>
          <w:p>
            <w:r/>
            <w:r>
              <w:rPr>
                <w:rFonts w:ascii="Times New Roman" w:hAnsi="Times New Roman"/>
                <w:sz w:val="18"/>
              </w:rPr>
              <w:t>&lt;0,001</w:t>
            </w:r>
          </w:p>
        </w:tc>
        <w:tc>
          <w:tcPr>
            <w:tcW w:type="dxa" w:w="850"/>
          </w:tcPr>
          <w:p>
            <w:r/>
            <w:r>
              <w:rPr>
                <w:rFonts w:ascii="Times New Roman" w:hAnsi="Times New Roman"/>
                <w:sz w:val="18"/>
              </w:rPr>
              <w:t>&lt;0,001</w:t>
            </w:r>
          </w:p>
        </w:tc>
        <w:tc>
          <w:tcPr>
            <w:tcW w:type="dxa" w:w="850"/>
          </w:tcPr>
          <w:p>
            <w:r/>
            <w:r>
              <w:rPr>
                <w:rFonts w:ascii="Times New Roman" w:hAnsi="Times New Roman"/>
                <w:sz w:val="18"/>
              </w:rPr>
              <w:t>&lt;0,001</w:t>
            </w:r>
          </w:p>
        </w:tc>
        <w:tc>
          <w:tcPr>
            <w:tcW w:type="dxa" w:w="942"/>
          </w:tcPr>
          <w:p>
            <w:r/>
            <w:r>
              <w:rPr>
                <w:rFonts w:ascii="Times New Roman" w:hAnsi="Times New Roman"/>
                <w:sz w:val="18"/>
              </w:rPr>
              <w:t>Không</w:t>
            </w:r>
          </w:p>
        </w:tc>
      </w:tr>
      <w:tr>
        <w:tc>
          <w:tcPr>
            <w:tcW w:type="dxa" w:w="1649"/>
          </w:tcPr>
          <w:p>
            <w:r/>
            <w:r>
              <w:rPr>
                <w:rFonts w:ascii="Times New Roman" w:hAnsi="Times New Roman"/>
                <w:sz w:val="18"/>
              </w:rPr>
              <w:t>4</w:t>
            </w:r>
          </w:p>
        </w:tc>
        <w:tc>
          <w:tcPr>
            <w:tcW w:type="dxa" w:w="1178"/>
          </w:tcPr>
          <w:p>
            <w:r/>
            <w:r>
              <w:rPr>
                <w:rFonts w:ascii="Times New Roman" w:hAnsi="Times New Roman"/>
                <w:sz w:val="18"/>
              </w:rPr>
              <w:t>31.431,690</w:t>
            </w:r>
          </w:p>
        </w:tc>
        <w:tc>
          <w:tcPr>
            <w:tcW w:type="dxa" w:w="1178"/>
          </w:tcPr>
          <w:p>
            <w:r/>
            <w:r>
              <w:rPr>
                <w:rFonts w:ascii="Times New Roman" w:hAnsi="Times New Roman"/>
                <w:sz w:val="18"/>
              </w:rPr>
              <w:t>31.638,193</w:t>
            </w:r>
          </w:p>
        </w:tc>
        <w:tc>
          <w:tcPr>
            <w:tcW w:type="dxa" w:w="1178"/>
          </w:tcPr>
          <w:p>
            <w:r/>
            <w:r>
              <w:rPr>
                <w:rFonts w:ascii="Times New Roman" w:hAnsi="Times New Roman"/>
                <w:sz w:val="18"/>
              </w:rPr>
              <w:t>31.501,632</w:t>
            </w:r>
          </w:p>
        </w:tc>
        <w:tc>
          <w:tcPr>
            <w:tcW w:type="dxa" w:w="850"/>
          </w:tcPr>
          <w:p>
            <w:r/>
            <w:r>
              <w:rPr>
                <w:rFonts w:ascii="Times New Roman" w:hAnsi="Times New Roman"/>
                <w:sz w:val="18"/>
              </w:rPr>
              <w:t>0,773</w:t>
            </w:r>
          </w:p>
        </w:tc>
        <w:tc>
          <w:tcPr>
            <w:tcW w:type="dxa" w:w="850"/>
          </w:tcPr>
          <w:p>
            <w:r/>
            <w:r>
              <w:rPr>
                <w:rFonts w:ascii="Times New Roman" w:hAnsi="Times New Roman"/>
                <w:sz w:val="18"/>
              </w:rPr>
              <w:t>0,049</w:t>
            </w:r>
          </w:p>
        </w:tc>
        <w:tc>
          <w:tcPr>
            <w:tcW w:type="dxa" w:w="850"/>
          </w:tcPr>
          <w:p>
            <w:r/>
            <w:r>
              <w:rPr>
                <w:rFonts w:ascii="Times New Roman" w:hAnsi="Times New Roman"/>
                <w:sz w:val="18"/>
              </w:rPr>
              <w:t>0,047</w:t>
            </w:r>
          </w:p>
        </w:tc>
        <w:tc>
          <w:tcPr>
            <w:tcW w:type="dxa" w:w="850"/>
          </w:tcPr>
          <w:p>
            <w:r/>
            <w:r>
              <w:rPr>
                <w:rFonts w:ascii="Times New Roman" w:hAnsi="Times New Roman"/>
                <w:sz w:val="18"/>
              </w:rPr>
              <w:t>&lt;0,001</w:t>
            </w:r>
          </w:p>
        </w:tc>
        <w:tc>
          <w:tcPr>
            <w:tcW w:type="dxa" w:w="942"/>
          </w:tcPr>
          <w:p>
            <w:r/>
            <w:r>
              <w:rPr>
                <w:rFonts w:ascii="Times New Roman" w:hAnsi="Times New Roman"/>
                <w:sz w:val="18"/>
              </w:rPr>
              <w:t>Không</w:t>
            </w:r>
          </w:p>
        </w:tc>
      </w:tr>
      <w:tr>
        <w:tc>
          <w:tcPr>
            <w:tcW w:type="dxa" w:w="1649"/>
          </w:tcPr>
          <w:p>
            <w:r/>
            <w:r>
              <w:rPr>
                <w:rFonts w:ascii="Times New Roman" w:hAnsi="Times New Roman"/>
                <w:sz w:val="18"/>
              </w:rPr>
              <w:t>5</w:t>
            </w:r>
          </w:p>
        </w:tc>
        <w:tc>
          <w:tcPr>
            <w:tcW w:type="dxa" w:w="1178"/>
          </w:tcPr>
          <w:p>
            <w:r/>
            <w:r>
              <w:rPr>
                <w:rFonts w:ascii="Times New Roman" w:hAnsi="Times New Roman"/>
                <w:sz w:val="18"/>
              </w:rPr>
              <w:t>31.340,553</w:t>
            </w:r>
          </w:p>
        </w:tc>
        <w:tc>
          <w:tcPr>
            <w:tcW w:type="dxa" w:w="1178"/>
          </w:tcPr>
          <w:p>
            <w:r/>
            <w:r>
              <w:rPr>
                <w:rFonts w:ascii="Times New Roman" w:hAnsi="Times New Roman"/>
                <w:sz w:val="18"/>
              </w:rPr>
              <w:t>31.590,277</w:t>
            </w:r>
          </w:p>
        </w:tc>
        <w:tc>
          <w:tcPr>
            <w:tcW w:type="dxa" w:w="1178"/>
          </w:tcPr>
          <w:p>
            <w:r/>
            <w:r>
              <w:rPr>
                <w:rFonts w:ascii="Times New Roman" w:hAnsi="Times New Roman"/>
                <w:sz w:val="18"/>
              </w:rPr>
              <w:t>31.425,134</w:t>
            </w:r>
          </w:p>
        </w:tc>
        <w:tc>
          <w:tcPr>
            <w:tcW w:type="dxa" w:w="850"/>
          </w:tcPr>
          <w:p>
            <w:r/>
            <w:r>
              <w:rPr>
                <w:rFonts w:ascii="Times New Roman" w:hAnsi="Times New Roman"/>
                <w:sz w:val="18"/>
              </w:rPr>
              <w:t>0,749</w:t>
            </w:r>
          </w:p>
        </w:tc>
        <w:tc>
          <w:tcPr>
            <w:tcW w:type="dxa" w:w="850"/>
          </w:tcPr>
          <w:p>
            <w:r/>
            <w:r>
              <w:rPr>
                <w:rFonts w:ascii="Times New Roman" w:hAnsi="Times New Roman"/>
                <w:sz w:val="18"/>
              </w:rPr>
              <w:t>0,187</w:t>
            </w:r>
          </w:p>
        </w:tc>
        <w:tc>
          <w:tcPr>
            <w:tcW w:type="dxa" w:w="850"/>
          </w:tcPr>
          <w:p>
            <w:r/>
            <w:r>
              <w:rPr>
                <w:rFonts w:ascii="Times New Roman" w:hAnsi="Times New Roman"/>
                <w:sz w:val="18"/>
              </w:rPr>
              <w:t>0,183</w:t>
            </w:r>
          </w:p>
        </w:tc>
        <w:tc>
          <w:tcPr>
            <w:tcW w:type="dxa" w:w="850"/>
          </w:tcPr>
          <w:p>
            <w:r/>
            <w:r>
              <w:rPr>
                <w:rFonts w:ascii="Times New Roman" w:hAnsi="Times New Roman"/>
                <w:sz w:val="18"/>
              </w:rPr>
              <w:t>&lt;0,001</w:t>
            </w:r>
          </w:p>
        </w:tc>
        <w:tc>
          <w:tcPr>
            <w:tcW w:type="dxa" w:w="942"/>
          </w:tcPr>
          <w:p>
            <w:r/>
            <w:r>
              <w:rPr>
                <w:rFonts w:ascii="Times New Roman" w:hAnsi="Times New Roman"/>
                <w:sz w:val="18"/>
              </w:rPr>
              <w:t>Không</w:t>
            </w:r>
          </w:p>
        </w:tc>
      </w:tr>
    </w:tbl>
    <w:p/>
    <w:p>
      <w:r>
        <w:rPr>
          <w:sz w:val="24"/>
        </w:rPr>
        <w:t>AIC</w:t>
      </w:r>
      <w:r>
        <w:rPr>
          <w:sz w:val="24"/>
        </w:rPr>
        <w:t xml:space="preserve">: tiêu chí thông tin Akaike, </w:t>
      </w:r>
      <w:r>
        <w:rPr>
          <w:sz w:val="24"/>
        </w:rPr>
        <w:t>BIC</w:t>
      </w:r>
      <w:r>
        <w:rPr>
          <w:sz w:val="24"/>
        </w:rPr>
        <w:t>: tiêu chí thông tin Bayes, A</w:t>
      </w:r>
      <w:r>
        <w:rPr>
          <w:sz w:val="24"/>
        </w:rPr>
        <w:t>BIC</w:t>
      </w:r>
      <w:r>
        <w:rPr>
          <w:sz w:val="24"/>
        </w:rPr>
        <w:t xml:space="preserve">: tiêu chí thông tin Bayes điều chỉnh theo cỡ mẫu, LMRT_p: giá trị *p* của kiểm định tỷ số khả dĩ Lo-Mendell-Rubin, VLMR_p: giá trị *p* của kiểm định tỷ số khả dĩ Vuong-Lo-Mendell-Rubin, </w:t>
      </w:r>
      <w:r>
        <w:rPr>
          <w:sz w:val="24"/>
        </w:rPr>
        <w:t>BLRT</w:t>
      </w:r>
      <w:r>
        <w:rPr>
          <w:sz w:val="24"/>
        </w:rPr>
        <w:t>_p: giá trị *p* của kiểm định tỷ số khả dĩ bootstrap.</w:t>
      </w:r>
    </w:p>
    <w:p>
      <w:r>
        <w:rPr>
          <w:sz w:val="24"/>
        </w:rPr>
        <w:t>Học sinh trung học cơ sở được chia thành ba phân nhóm bằng phân tích hồ sơ tiềm ẩn. Lớp 1 là nhóm nhỏ nhất, gồm 173 học sinh trung học cơ sở, chiếm 19,22%. Nhóm này được đặc trưng bởi điểm trung bình thấp nhất trên tất cả tám yếu tố lo âu và được gọi là nhóm "lo âu nhẹ". Tám yếu tố của lo âu bao gồm lo âu học tập, lo âu giữa các cá nhân, xu hướng cô đơn, xu hướng tự trách, xu hướng dị ứng, triệu chứng thể chất, xu hướng sợ hãi và xu hướng bốc đồng. Lớp 2 là nhóm lớn nhất, gồm 504 học sinh trung học cơ sở, chiếm 56,00%. Nhóm này được đặc trưng bởi điểm số trung bình trên tất cả tám yếu tố lo âu. Lớp này được gọi là nhóm "lo âu trung bình". Lớp 3 gồm 223 học sinh trung học cơ sở, chiếm 24,78%. Lớp này được đặc trưng bởi điểm trung bình cao nhất trên tất cả tám yếu tố lo âu. Lớp này được gọi là nhóm "lo âu nặng". Hình 2 thể hiện biểu đồ hồ sơ cho giải pháp ba lớp.</w:t>
      </w:r>
    </w:p>
    <w:p>
      <w:r>
        <w:rPr>
          <w:b/>
          <w:color w:val="FF6600"/>
          <w:sz w:val="20"/>
        </w:rPr>
        <w:t>--- Trang 8/14, Int J Environ Res Public Health, 17(11):4079, tháng 6/2020 ---</w:t>
      </w:r>
    </w:p>
    <w:p>
      <w:pPr>
        <w:pStyle w:val="Heading3"/>
      </w:pPr>
      <w:r>
        <w:t>3.2. Phân tích đơn biến về lo âu của học sinh trung học cơ sở tại vùng nông thôn tỉnh Giang Tây</w:t>
      </w:r>
    </w:p>
    <w:p>
      <w:r>
        <w:rPr>
          <w:sz w:val="24"/>
        </w:rPr>
        <w:t>Có 900 học sinh trung học cơ sở tại vùng nông thôn tỉnh Giang Tây được chọn trong cuộc khảo sát này. Các lớp tiềm ẩn của lo âu ở học sinh trung học cơ sở bằng phân tích hồ sơ tiềm ẩn cho thấy 173 học sinh có lo âu nhẹ, chiếm 19,22%, 504 học sinh có lo âu trung bình, chiếm 56,00%, và 223 học sinh trung học cơ sở thuộc loại lo âu nặng, chiếm 24,78%.</w:t>
      </w:r>
    </w:p>
    <w:p>
      <w:r>
        <w:rPr>
          <w:sz w:val="24"/>
        </w:rPr>
        <w:t>Tỷ lệ nam/nữ của 900 học sinh trung học cơ sở là 1,08:1. Nhóm 14 tuổi chiếm tỷ lệ cao nhất với 28,67%, và nhóm 12 tuổi chiếm tỷ lệ thấp nhất với 14,00%. Trong số các học sinh trung học cơ sở này, 29,22% là trẻ em bị bỏ lại, 15,67% tự đánh giá áp lực học tập là rất cao. Học sinh cho rằng công tác sức khỏe tâm thần tại trường đầy đủ chiếm 43,00%. Học sinh trả lời rằng trường có khóa học giáo dục sức khỏe chiếm 43,00%. Nhóm tự đánh giá thành tích học tập là tốt chiếm tỷ lệ cao nhất với 44,22%, và nhóm tự đánh giá thành tích học tập là xuất sắc chiếm tỷ lệ thấp nhất với 4,56%.</w:t>
      </w:r>
    </w:p>
    <w:p>
      <w:r>
        <w:rPr>
          <w:sz w:val="24"/>
        </w:rPr>
        <w:t>Như thể hiện trong Bảng 2, chúng tôi xác định sự khác biệt có ý nghĩa thống kê trong phân loại lo âu giữa các học sinh thuộc các nhóm giới tính khác nhau (χ² = 31,337, *p* &lt; 0,001), nhóm cho câu trả lời khác nhau về "công tác sức khỏe tâm thần tại trường có đầy đủ" (*p* &lt; 0,001), nhóm có tự đánh giá thành tích học tập khác nhau (*p* &lt; 0,001), và áp lực học tập (*p* &lt; 0,001).</w:t>
      </w:r>
    </w:p>
    <w:p>
      <w:r>
        <w:rPr>
          <w:b/>
          <w:sz w:val="24"/>
        </w:rPr>
        <w:t>Bảng 2.</w:t>
      </w:r>
      <w:r>
        <w:rPr>
          <w:sz w:val="24"/>
        </w:rPr>
        <w:t xml:space="preserve"> Đặc điểm nhân khẩu học và phân loại lo âu của học sinh trung học cơ sở tại vùng nông thôn tỉnh Giang Tây.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2929"/>
          </w:tcPr>
          <w:p>
            <w:r>
              <w:rPr>
                <w:b/>
              </w:rPr>
            </w:r>
            <w:r>
              <w:rPr>
                <w:rFonts w:ascii="Times New Roman" w:hAnsi="Times New Roman"/>
                <w:b/>
                <w:sz w:val="18"/>
              </w:rPr>
              <w:t>Biến</w:t>
            </w:r>
          </w:p>
        </w:tc>
        <w:tc>
          <w:tcPr>
            <w:tcW w:type="dxa" w:w="1228"/>
          </w:tcPr>
          <w:p>
            <w:r>
              <w:rPr>
                <w:b/>
              </w:rPr>
            </w:r>
            <w:r>
              <w:rPr>
                <w:rFonts w:ascii="Times New Roman" w:hAnsi="Times New Roman"/>
                <w:b/>
                <w:sz w:val="18"/>
              </w:rPr>
              <w:t>Người trả lời</w:t>
            </w:r>
          </w:p>
        </w:tc>
        <w:tc>
          <w:tcPr>
            <w:tcW w:type="dxa" w:w="1134"/>
          </w:tcPr>
          <w:p>
            <w:r>
              <w:rPr>
                <w:b/>
              </w:rPr>
            </w:r>
            <w:r>
              <w:rPr>
                <w:rFonts w:ascii="Times New Roman" w:hAnsi="Times New Roman"/>
                <w:b/>
                <w:sz w:val="18"/>
              </w:rPr>
              <w:t>Lo âu nhẹ</w:t>
            </w:r>
          </w:p>
        </w:tc>
        <w:tc>
          <w:tcPr>
            <w:tcW w:type="dxa" w:w="1512"/>
          </w:tcPr>
          <w:p>
            <w:r>
              <w:rPr>
                <w:b/>
              </w:rPr>
            </w:r>
            <w:r>
              <w:rPr>
                <w:rFonts w:ascii="Times New Roman" w:hAnsi="Times New Roman"/>
                <w:b/>
                <w:sz w:val="18"/>
              </w:rPr>
              <w:t>Lo âu trung bình</w:t>
            </w:r>
          </w:p>
        </w:tc>
        <w:tc>
          <w:tcPr>
            <w:tcW w:type="dxa" w:w="1134"/>
          </w:tcPr>
          <w:p>
            <w:r>
              <w:rPr>
                <w:b/>
              </w:rPr>
            </w:r>
            <w:r>
              <w:rPr>
                <w:rFonts w:ascii="Times New Roman" w:hAnsi="Times New Roman"/>
                <w:b/>
                <w:sz w:val="18"/>
              </w:rPr>
              <w:t>Lo âu nặng</w:t>
            </w:r>
          </w:p>
        </w:tc>
        <w:tc>
          <w:tcPr>
            <w:tcW w:type="dxa" w:w="850"/>
          </w:tcPr>
          <w:p>
            <w:r>
              <w:rPr>
                <w:b/>
              </w:rPr>
            </w:r>
            <w:r>
              <w:rPr>
                <w:rFonts w:ascii="Times New Roman" w:hAnsi="Times New Roman"/>
                <w:b/>
                <w:sz w:val="18"/>
              </w:rPr>
              <w:t>χ²</w:t>
            </w:r>
          </w:p>
        </w:tc>
        <w:tc>
          <w:tcPr>
            <w:tcW w:type="dxa" w:w="850"/>
          </w:tcPr>
          <w:p>
            <w:r>
              <w:rPr>
                <w:b/>
              </w:rPr>
            </w:r>
            <w:r>
              <w:rPr>
                <w:rFonts w:ascii="Times New Roman" w:hAnsi="Times New Roman"/>
                <w:b/>
                <w:sz w:val="18"/>
              </w:rPr>
              <w:t>*p*</w:t>
            </w:r>
          </w:p>
        </w:tc>
      </w:tr>
      <w:tr>
        <w:tc>
          <w:tcPr>
            <w:tcW w:type="dxa" w:w="2929"/>
          </w:tcPr>
          <w:p>
            <w:r/>
            <w:r>
              <w:rPr>
                <w:rFonts w:ascii="Times New Roman" w:hAnsi="Times New Roman"/>
                <w:sz w:val="18"/>
              </w:rPr>
              <w:t>Giới tính</w:t>
            </w:r>
          </w:p>
        </w:tc>
        <w:tc>
          <w:tcPr>
            <w:tcW w:type="dxa" w:w="1228"/>
          </w:tcPr>
          <w:p>
            <w:r/>
            <w:r>
              <w:rPr>
                <w:rFonts w:ascii="Times New Roman" w:hAnsi="Times New Roman"/>
                <w:sz w:val="18"/>
              </w:rPr>
            </w:r>
          </w:p>
        </w:tc>
        <w:tc>
          <w:tcPr>
            <w:tcW w:type="dxa" w:w="1134"/>
          </w:tcPr>
          <w:p>
            <w:r/>
            <w:r>
              <w:rPr>
                <w:rFonts w:ascii="Times New Roman" w:hAnsi="Times New Roman"/>
                <w:sz w:val="18"/>
              </w:rPr>
            </w:r>
          </w:p>
        </w:tc>
        <w:tc>
          <w:tcPr>
            <w:tcW w:type="dxa" w:w="1512"/>
          </w:tcPr>
          <w:p>
            <w:r/>
            <w:r>
              <w:rPr>
                <w:rFonts w:ascii="Times New Roman" w:hAnsi="Times New Roman"/>
                <w:sz w:val="18"/>
              </w:rPr>
            </w:r>
          </w:p>
        </w:tc>
        <w:tc>
          <w:tcPr>
            <w:tcW w:type="dxa" w:w="1134"/>
          </w:tcPr>
          <w:p>
            <w:r/>
            <w:r>
              <w:rPr>
                <w:rFonts w:ascii="Times New Roman" w:hAnsi="Times New Roman"/>
                <w:sz w:val="18"/>
              </w:rPr>
            </w:r>
          </w:p>
        </w:tc>
        <w:tc>
          <w:tcPr>
            <w:tcW w:type="dxa" w:w="850"/>
          </w:tcPr>
          <w:p>
            <w:r/>
            <w:r>
              <w:rPr>
                <w:rFonts w:ascii="Times New Roman" w:hAnsi="Times New Roman"/>
                <w:sz w:val="18"/>
              </w:rPr>
              <w:t>31,337</w:t>
            </w:r>
          </w:p>
        </w:tc>
        <w:tc>
          <w:tcPr>
            <w:tcW w:type="dxa" w:w="850"/>
          </w:tcPr>
          <w:p>
            <w:r/>
            <w:r>
              <w:rPr>
                <w:rFonts w:ascii="Times New Roman" w:hAnsi="Times New Roman"/>
                <w:sz w:val="18"/>
              </w:rPr>
              <w:t>&lt;0,001</w:t>
            </w:r>
          </w:p>
        </w:tc>
      </w:tr>
      <w:tr>
        <w:tc>
          <w:tcPr>
            <w:tcW w:type="dxa" w:w="2929"/>
          </w:tcPr>
          <w:p>
            <w:r/>
            <w:r>
              <w:rPr>
                <w:rFonts w:ascii="Times New Roman" w:hAnsi="Times New Roman"/>
                <w:sz w:val="18"/>
              </w:rPr>
              <w:t>Nam</w:t>
            </w:r>
          </w:p>
        </w:tc>
        <w:tc>
          <w:tcPr>
            <w:tcW w:type="dxa" w:w="1228"/>
          </w:tcPr>
          <w:p>
            <w:r/>
            <w:r>
              <w:rPr>
                <w:rFonts w:ascii="Times New Roman" w:hAnsi="Times New Roman"/>
                <w:sz w:val="18"/>
              </w:rPr>
              <w:t>467 (51,89)</w:t>
            </w:r>
          </w:p>
        </w:tc>
        <w:tc>
          <w:tcPr>
            <w:tcW w:type="dxa" w:w="1134"/>
          </w:tcPr>
          <w:p>
            <w:r/>
            <w:r>
              <w:rPr>
                <w:rFonts w:ascii="Times New Roman" w:hAnsi="Times New Roman"/>
                <w:sz w:val="18"/>
              </w:rPr>
              <w:t>110 (63,58)</w:t>
            </w:r>
          </w:p>
        </w:tc>
        <w:tc>
          <w:tcPr>
            <w:tcW w:type="dxa" w:w="1512"/>
          </w:tcPr>
          <w:p>
            <w:r/>
            <w:r>
              <w:rPr>
                <w:rFonts w:ascii="Times New Roman" w:hAnsi="Times New Roman"/>
                <w:sz w:val="18"/>
              </w:rPr>
              <w:t>275 (54,56)</w:t>
            </w:r>
          </w:p>
        </w:tc>
        <w:tc>
          <w:tcPr>
            <w:tcW w:type="dxa" w:w="1134"/>
          </w:tcPr>
          <w:p>
            <w:r/>
            <w:r>
              <w:rPr>
                <w:rFonts w:ascii="Times New Roman" w:hAnsi="Times New Roman"/>
                <w:sz w:val="18"/>
              </w:rPr>
              <w:t>82 (36,77)</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Nữ</w:t>
            </w:r>
          </w:p>
        </w:tc>
        <w:tc>
          <w:tcPr>
            <w:tcW w:type="dxa" w:w="1228"/>
          </w:tcPr>
          <w:p>
            <w:r/>
            <w:r>
              <w:rPr>
                <w:rFonts w:ascii="Times New Roman" w:hAnsi="Times New Roman"/>
                <w:sz w:val="18"/>
              </w:rPr>
              <w:t>433 (48,11)</w:t>
            </w:r>
          </w:p>
        </w:tc>
        <w:tc>
          <w:tcPr>
            <w:tcW w:type="dxa" w:w="1134"/>
          </w:tcPr>
          <w:p>
            <w:r/>
            <w:r>
              <w:rPr>
                <w:rFonts w:ascii="Times New Roman" w:hAnsi="Times New Roman"/>
                <w:sz w:val="18"/>
              </w:rPr>
              <w:t>63 (36,42)</w:t>
            </w:r>
          </w:p>
        </w:tc>
        <w:tc>
          <w:tcPr>
            <w:tcW w:type="dxa" w:w="1512"/>
          </w:tcPr>
          <w:p>
            <w:r/>
            <w:r>
              <w:rPr>
                <w:rFonts w:ascii="Times New Roman" w:hAnsi="Times New Roman"/>
                <w:sz w:val="18"/>
              </w:rPr>
              <w:t>229 (45,44)</w:t>
            </w:r>
          </w:p>
        </w:tc>
        <w:tc>
          <w:tcPr>
            <w:tcW w:type="dxa" w:w="1134"/>
          </w:tcPr>
          <w:p>
            <w:r/>
            <w:r>
              <w:rPr>
                <w:rFonts w:ascii="Times New Roman" w:hAnsi="Times New Roman"/>
                <w:sz w:val="18"/>
              </w:rPr>
              <w:t>141 (63,23)</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Tuổi</w:t>
            </w:r>
          </w:p>
        </w:tc>
        <w:tc>
          <w:tcPr>
            <w:tcW w:type="dxa" w:w="1228"/>
          </w:tcPr>
          <w:p>
            <w:r/>
            <w:r>
              <w:rPr>
                <w:rFonts w:ascii="Times New Roman" w:hAnsi="Times New Roman"/>
                <w:sz w:val="18"/>
              </w:rPr>
            </w:r>
          </w:p>
        </w:tc>
        <w:tc>
          <w:tcPr>
            <w:tcW w:type="dxa" w:w="1134"/>
          </w:tcPr>
          <w:p>
            <w:r/>
            <w:r>
              <w:rPr>
                <w:rFonts w:ascii="Times New Roman" w:hAnsi="Times New Roman"/>
                <w:sz w:val="18"/>
              </w:rPr>
            </w:r>
          </w:p>
        </w:tc>
        <w:tc>
          <w:tcPr>
            <w:tcW w:type="dxa" w:w="1512"/>
          </w:tcPr>
          <w:p>
            <w:r/>
            <w:r>
              <w:rPr>
                <w:rFonts w:ascii="Times New Roman" w:hAnsi="Times New Roman"/>
                <w:sz w:val="18"/>
              </w:rPr>
            </w:r>
          </w:p>
        </w:tc>
        <w:tc>
          <w:tcPr>
            <w:tcW w:type="dxa" w:w="1134"/>
          </w:tcPr>
          <w:p>
            <w:r/>
            <w:r>
              <w:rPr>
                <w:rFonts w:ascii="Times New Roman" w:hAnsi="Times New Roman"/>
                <w:sz w:val="18"/>
              </w:rPr>
            </w:r>
          </w:p>
        </w:tc>
        <w:tc>
          <w:tcPr>
            <w:tcW w:type="dxa" w:w="850"/>
          </w:tcPr>
          <w:p>
            <w:r/>
            <w:r>
              <w:rPr>
                <w:rFonts w:ascii="Times New Roman" w:hAnsi="Times New Roman"/>
                <w:sz w:val="18"/>
              </w:rPr>
              <w:t>5,990</w:t>
            </w:r>
          </w:p>
        </w:tc>
        <w:tc>
          <w:tcPr>
            <w:tcW w:type="dxa" w:w="850"/>
          </w:tcPr>
          <w:p>
            <w:r/>
            <w:r>
              <w:rPr>
                <w:rFonts w:ascii="Times New Roman" w:hAnsi="Times New Roman"/>
                <w:sz w:val="18"/>
              </w:rPr>
              <w:t>0,648</w:t>
            </w:r>
          </w:p>
        </w:tc>
      </w:tr>
      <w:tr>
        <w:tc>
          <w:tcPr>
            <w:tcW w:type="dxa" w:w="2929"/>
          </w:tcPr>
          <w:p>
            <w:r/>
            <w:r>
              <w:rPr>
                <w:rFonts w:ascii="Times New Roman" w:hAnsi="Times New Roman"/>
                <w:sz w:val="18"/>
              </w:rPr>
              <w:t>12</w:t>
            </w:r>
          </w:p>
        </w:tc>
        <w:tc>
          <w:tcPr>
            <w:tcW w:type="dxa" w:w="1228"/>
          </w:tcPr>
          <w:p>
            <w:r/>
            <w:r>
              <w:rPr>
                <w:rFonts w:ascii="Times New Roman" w:hAnsi="Times New Roman"/>
                <w:sz w:val="18"/>
              </w:rPr>
              <w:t>126 (14,00)</w:t>
            </w:r>
          </w:p>
        </w:tc>
        <w:tc>
          <w:tcPr>
            <w:tcW w:type="dxa" w:w="1134"/>
          </w:tcPr>
          <w:p>
            <w:r/>
            <w:r>
              <w:rPr>
                <w:rFonts w:ascii="Times New Roman" w:hAnsi="Times New Roman"/>
                <w:sz w:val="18"/>
              </w:rPr>
              <w:t>21 (12,14)</w:t>
            </w:r>
          </w:p>
        </w:tc>
        <w:tc>
          <w:tcPr>
            <w:tcW w:type="dxa" w:w="1512"/>
          </w:tcPr>
          <w:p>
            <w:r/>
            <w:r>
              <w:rPr>
                <w:rFonts w:ascii="Times New Roman" w:hAnsi="Times New Roman"/>
                <w:sz w:val="18"/>
              </w:rPr>
              <w:t>72 (14,29)</w:t>
            </w:r>
          </w:p>
        </w:tc>
        <w:tc>
          <w:tcPr>
            <w:tcW w:type="dxa" w:w="1134"/>
          </w:tcPr>
          <w:p>
            <w:r/>
            <w:r>
              <w:rPr>
                <w:rFonts w:ascii="Times New Roman" w:hAnsi="Times New Roman"/>
                <w:sz w:val="18"/>
              </w:rPr>
              <w:t>33 (14,80)</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13</w:t>
            </w:r>
          </w:p>
        </w:tc>
        <w:tc>
          <w:tcPr>
            <w:tcW w:type="dxa" w:w="1228"/>
          </w:tcPr>
          <w:p>
            <w:r/>
            <w:r>
              <w:rPr>
                <w:rFonts w:ascii="Times New Roman" w:hAnsi="Times New Roman"/>
                <w:sz w:val="18"/>
              </w:rPr>
              <w:t>157 (17,44)</w:t>
            </w:r>
          </w:p>
        </w:tc>
        <w:tc>
          <w:tcPr>
            <w:tcW w:type="dxa" w:w="1134"/>
          </w:tcPr>
          <w:p>
            <w:r/>
            <w:r>
              <w:rPr>
                <w:rFonts w:ascii="Times New Roman" w:hAnsi="Times New Roman"/>
                <w:sz w:val="18"/>
              </w:rPr>
              <w:t>26 (15,03)</w:t>
            </w:r>
          </w:p>
        </w:tc>
        <w:tc>
          <w:tcPr>
            <w:tcW w:type="dxa" w:w="1512"/>
          </w:tcPr>
          <w:p>
            <w:r/>
            <w:r>
              <w:rPr>
                <w:rFonts w:ascii="Times New Roman" w:hAnsi="Times New Roman"/>
                <w:sz w:val="18"/>
              </w:rPr>
              <w:t>93 (18,45)</w:t>
            </w:r>
          </w:p>
        </w:tc>
        <w:tc>
          <w:tcPr>
            <w:tcW w:type="dxa" w:w="1134"/>
          </w:tcPr>
          <w:p>
            <w:r/>
            <w:r>
              <w:rPr>
                <w:rFonts w:ascii="Times New Roman" w:hAnsi="Times New Roman"/>
                <w:sz w:val="18"/>
              </w:rPr>
              <w:t>38 (17,04)</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14</w:t>
            </w:r>
          </w:p>
        </w:tc>
        <w:tc>
          <w:tcPr>
            <w:tcW w:type="dxa" w:w="1228"/>
          </w:tcPr>
          <w:p>
            <w:r/>
            <w:r>
              <w:rPr>
                <w:rFonts w:ascii="Times New Roman" w:hAnsi="Times New Roman"/>
                <w:sz w:val="18"/>
              </w:rPr>
              <w:t>258 (28,67)</w:t>
            </w:r>
          </w:p>
        </w:tc>
        <w:tc>
          <w:tcPr>
            <w:tcW w:type="dxa" w:w="1134"/>
          </w:tcPr>
          <w:p>
            <w:r/>
            <w:r>
              <w:rPr>
                <w:rFonts w:ascii="Times New Roman" w:hAnsi="Times New Roman"/>
                <w:sz w:val="18"/>
              </w:rPr>
              <w:t>55 (31,79)</w:t>
            </w:r>
          </w:p>
        </w:tc>
        <w:tc>
          <w:tcPr>
            <w:tcW w:type="dxa" w:w="1512"/>
          </w:tcPr>
          <w:p>
            <w:r/>
            <w:r>
              <w:rPr>
                <w:rFonts w:ascii="Times New Roman" w:hAnsi="Times New Roman"/>
                <w:sz w:val="18"/>
              </w:rPr>
              <w:t>145 (28,77)</w:t>
            </w:r>
          </w:p>
        </w:tc>
        <w:tc>
          <w:tcPr>
            <w:tcW w:type="dxa" w:w="1134"/>
          </w:tcPr>
          <w:p>
            <w:r/>
            <w:r>
              <w:rPr>
                <w:rFonts w:ascii="Times New Roman" w:hAnsi="Times New Roman"/>
                <w:sz w:val="18"/>
              </w:rPr>
              <w:t>58 (26,01)</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15</w:t>
            </w:r>
          </w:p>
        </w:tc>
        <w:tc>
          <w:tcPr>
            <w:tcW w:type="dxa" w:w="1228"/>
          </w:tcPr>
          <w:p>
            <w:r/>
            <w:r>
              <w:rPr>
                <w:rFonts w:ascii="Times New Roman" w:hAnsi="Times New Roman"/>
                <w:sz w:val="18"/>
              </w:rPr>
              <w:t>179 (19,89)</w:t>
            </w:r>
          </w:p>
        </w:tc>
        <w:tc>
          <w:tcPr>
            <w:tcW w:type="dxa" w:w="1134"/>
          </w:tcPr>
          <w:p>
            <w:r/>
            <w:r>
              <w:rPr>
                <w:rFonts w:ascii="Times New Roman" w:hAnsi="Times New Roman"/>
                <w:sz w:val="18"/>
              </w:rPr>
              <w:t>40 (23,12)</w:t>
            </w:r>
          </w:p>
        </w:tc>
        <w:tc>
          <w:tcPr>
            <w:tcW w:type="dxa" w:w="1512"/>
          </w:tcPr>
          <w:p>
            <w:r/>
            <w:r>
              <w:rPr>
                <w:rFonts w:ascii="Times New Roman" w:hAnsi="Times New Roman"/>
                <w:sz w:val="18"/>
              </w:rPr>
              <w:t>98 (19,44)</w:t>
            </w:r>
          </w:p>
        </w:tc>
        <w:tc>
          <w:tcPr>
            <w:tcW w:type="dxa" w:w="1134"/>
          </w:tcPr>
          <w:p>
            <w:r/>
            <w:r>
              <w:rPr>
                <w:rFonts w:ascii="Times New Roman" w:hAnsi="Times New Roman"/>
                <w:sz w:val="18"/>
              </w:rPr>
              <w:t>41 (18,39)</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16</w:t>
            </w:r>
          </w:p>
        </w:tc>
        <w:tc>
          <w:tcPr>
            <w:tcW w:type="dxa" w:w="1228"/>
          </w:tcPr>
          <w:p>
            <w:r/>
            <w:r>
              <w:rPr>
                <w:rFonts w:ascii="Times New Roman" w:hAnsi="Times New Roman"/>
                <w:sz w:val="18"/>
              </w:rPr>
              <w:t>180 (20,00)</w:t>
            </w:r>
          </w:p>
        </w:tc>
        <w:tc>
          <w:tcPr>
            <w:tcW w:type="dxa" w:w="1134"/>
          </w:tcPr>
          <w:p>
            <w:r/>
            <w:r>
              <w:rPr>
                <w:rFonts w:ascii="Times New Roman" w:hAnsi="Times New Roman"/>
                <w:sz w:val="18"/>
              </w:rPr>
              <w:t>31 (17,92)</w:t>
            </w:r>
          </w:p>
        </w:tc>
        <w:tc>
          <w:tcPr>
            <w:tcW w:type="dxa" w:w="1512"/>
          </w:tcPr>
          <w:p>
            <w:r/>
            <w:r>
              <w:rPr>
                <w:rFonts w:ascii="Times New Roman" w:hAnsi="Times New Roman"/>
                <w:sz w:val="18"/>
              </w:rPr>
              <w:t>96 (19,05)</w:t>
            </w:r>
          </w:p>
        </w:tc>
        <w:tc>
          <w:tcPr>
            <w:tcW w:type="dxa" w:w="1134"/>
          </w:tcPr>
          <w:p>
            <w:r/>
            <w:r>
              <w:rPr>
                <w:rFonts w:ascii="Times New Roman" w:hAnsi="Times New Roman"/>
                <w:sz w:val="18"/>
              </w:rPr>
              <w:t>53 (23,77)</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Trẻ em bị bỏ lại (LBC)</w:t>
            </w:r>
          </w:p>
        </w:tc>
        <w:tc>
          <w:tcPr>
            <w:tcW w:type="dxa" w:w="1228"/>
          </w:tcPr>
          <w:p>
            <w:r/>
            <w:r>
              <w:rPr>
                <w:rFonts w:ascii="Times New Roman" w:hAnsi="Times New Roman"/>
                <w:sz w:val="18"/>
              </w:rPr>
            </w:r>
          </w:p>
        </w:tc>
        <w:tc>
          <w:tcPr>
            <w:tcW w:type="dxa" w:w="1134"/>
          </w:tcPr>
          <w:p>
            <w:r/>
            <w:r>
              <w:rPr>
                <w:rFonts w:ascii="Times New Roman" w:hAnsi="Times New Roman"/>
                <w:sz w:val="18"/>
              </w:rPr>
            </w:r>
          </w:p>
        </w:tc>
        <w:tc>
          <w:tcPr>
            <w:tcW w:type="dxa" w:w="1512"/>
          </w:tcPr>
          <w:p>
            <w:r/>
            <w:r>
              <w:rPr>
                <w:rFonts w:ascii="Times New Roman" w:hAnsi="Times New Roman"/>
                <w:sz w:val="18"/>
              </w:rPr>
            </w:r>
          </w:p>
        </w:tc>
        <w:tc>
          <w:tcPr>
            <w:tcW w:type="dxa" w:w="1134"/>
          </w:tcPr>
          <w:p>
            <w:r/>
            <w:r>
              <w:rPr>
                <w:rFonts w:ascii="Times New Roman" w:hAnsi="Times New Roman"/>
                <w:sz w:val="18"/>
              </w:rPr>
            </w:r>
          </w:p>
        </w:tc>
        <w:tc>
          <w:tcPr>
            <w:tcW w:type="dxa" w:w="850"/>
          </w:tcPr>
          <w:p>
            <w:r/>
            <w:r>
              <w:rPr>
                <w:rFonts w:ascii="Times New Roman" w:hAnsi="Times New Roman"/>
                <w:sz w:val="18"/>
              </w:rPr>
              <w:t>0,088</w:t>
            </w:r>
          </w:p>
        </w:tc>
        <w:tc>
          <w:tcPr>
            <w:tcW w:type="dxa" w:w="850"/>
          </w:tcPr>
          <w:p>
            <w:r/>
            <w:r>
              <w:rPr>
                <w:rFonts w:ascii="Times New Roman" w:hAnsi="Times New Roman"/>
                <w:sz w:val="18"/>
              </w:rPr>
              <w:t>0,957</w:t>
            </w:r>
          </w:p>
        </w:tc>
      </w:tr>
      <w:tr>
        <w:tc>
          <w:tcPr>
            <w:tcW w:type="dxa" w:w="2929"/>
          </w:tcPr>
          <w:p>
            <w:r/>
            <w:r>
              <w:rPr>
                <w:rFonts w:ascii="Times New Roman" w:hAnsi="Times New Roman"/>
                <w:sz w:val="18"/>
              </w:rPr>
              <w:t>Có</w:t>
            </w:r>
          </w:p>
        </w:tc>
        <w:tc>
          <w:tcPr>
            <w:tcW w:type="dxa" w:w="1228"/>
          </w:tcPr>
          <w:p>
            <w:r/>
            <w:r>
              <w:rPr>
                <w:rFonts w:ascii="Times New Roman" w:hAnsi="Times New Roman"/>
                <w:sz w:val="18"/>
              </w:rPr>
              <w:t>263 (29,22)</w:t>
            </w:r>
          </w:p>
        </w:tc>
        <w:tc>
          <w:tcPr>
            <w:tcW w:type="dxa" w:w="1134"/>
          </w:tcPr>
          <w:p>
            <w:r/>
            <w:r>
              <w:rPr>
                <w:rFonts w:ascii="Times New Roman" w:hAnsi="Times New Roman"/>
                <w:sz w:val="18"/>
              </w:rPr>
              <w:t>49 (28,32)</w:t>
            </w:r>
          </w:p>
        </w:tc>
        <w:tc>
          <w:tcPr>
            <w:tcW w:type="dxa" w:w="1512"/>
          </w:tcPr>
          <w:p>
            <w:r/>
            <w:r>
              <w:rPr>
                <w:rFonts w:ascii="Times New Roman" w:hAnsi="Times New Roman"/>
                <w:sz w:val="18"/>
              </w:rPr>
              <w:t>148 (29,37)</w:t>
            </w:r>
          </w:p>
        </w:tc>
        <w:tc>
          <w:tcPr>
            <w:tcW w:type="dxa" w:w="1134"/>
          </w:tcPr>
          <w:p>
            <w:r/>
            <w:r>
              <w:rPr>
                <w:rFonts w:ascii="Times New Roman" w:hAnsi="Times New Roman"/>
                <w:sz w:val="18"/>
              </w:rPr>
              <w:t>66 (29,60)</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Không</w:t>
            </w:r>
          </w:p>
        </w:tc>
        <w:tc>
          <w:tcPr>
            <w:tcW w:type="dxa" w:w="1228"/>
          </w:tcPr>
          <w:p>
            <w:r/>
            <w:r>
              <w:rPr>
                <w:rFonts w:ascii="Times New Roman" w:hAnsi="Times New Roman"/>
                <w:sz w:val="18"/>
              </w:rPr>
              <w:t>637 (70,78)</w:t>
            </w:r>
          </w:p>
        </w:tc>
        <w:tc>
          <w:tcPr>
            <w:tcW w:type="dxa" w:w="1134"/>
          </w:tcPr>
          <w:p>
            <w:r/>
            <w:r>
              <w:rPr>
                <w:rFonts w:ascii="Times New Roman" w:hAnsi="Times New Roman"/>
                <w:sz w:val="18"/>
              </w:rPr>
              <w:t>124 (71,68)</w:t>
            </w:r>
          </w:p>
        </w:tc>
        <w:tc>
          <w:tcPr>
            <w:tcW w:type="dxa" w:w="1512"/>
          </w:tcPr>
          <w:p>
            <w:r/>
            <w:r>
              <w:rPr>
                <w:rFonts w:ascii="Times New Roman" w:hAnsi="Times New Roman"/>
                <w:sz w:val="18"/>
              </w:rPr>
              <w:t>356 (70,63)</w:t>
            </w:r>
          </w:p>
        </w:tc>
        <w:tc>
          <w:tcPr>
            <w:tcW w:type="dxa" w:w="1134"/>
          </w:tcPr>
          <w:p>
            <w:r/>
            <w:r>
              <w:rPr>
                <w:rFonts w:ascii="Times New Roman" w:hAnsi="Times New Roman"/>
                <w:sz w:val="18"/>
              </w:rPr>
              <w:t>157 (70,40)</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Khóa học giáo dục sức khỏe</w:t>
            </w:r>
          </w:p>
        </w:tc>
        <w:tc>
          <w:tcPr>
            <w:tcW w:type="dxa" w:w="1228"/>
          </w:tcPr>
          <w:p>
            <w:r/>
            <w:r>
              <w:rPr>
                <w:rFonts w:ascii="Times New Roman" w:hAnsi="Times New Roman"/>
                <w:sz w:val="18"/>
              </w:rPr>
            </w:r>
          </w:p>
        </w:tc>
        <w:tc>
          <w:tcPr>
            <w:tcW w:type="dxa" w:w="1134"/>
          </w:tcPr>
          <w:p>
            <w:r/>
            <w:r>
              <w:rPr>
                <w:rFonts w:ascii="Times New Roman" w:hAnsi="Times New Roman"/>
                <w:sz w:val="18"/>
              </w:rPr>
            </w:r>
          </w:p>
        </w:tc>
        <w:tc>
          <w:tcPr>
            <w:tcW w:type="dxa" w:w="1512"/>
          </w:tcPr>
          <w:p>
            <w:r/>
            <w:r>
              <w:rPr>
                <w:rFonts w:ascii="Times New Roman" w:hAnsi="Times New Roman"/>
                <w:sz w:val="18"/>
              </w:rPr>
            </w:r>
          </w:p>
        </w:tc>
        <w:tc>
          <w:tcPr>
            <w:tcW w:type="dxa" w:w="1134"/>
          </w:tcPr>
          <w:p>
            <w:r/>
            <w:r>
              <w:rPr>
                <w:rFonts w:ascii="Times New Roman" w:hAnsi="Times New Roman"/>
                <w:sz w:val="18"/>
              </w:rPr>
            </w:r>
          </w:p>
        </w:tc>
        <w:tc>
          <w:tcPr>
            <w:tcW w:type="dxa" w:w="850"/>
          </w:tcPr>
          <w:p>
            <w:r/>
            <w:r>
              <w:rPr>
                <w:rFonts w:ascii="Times New Roman" w:hAnsi="Times New Roman"/>
                <w:sz w:val="18"/>
              </w:rPr>
              <w:t>3,531</w:t>
            </w:r>
          </w:p>
        </w:tc>
        <w:tc>
          <w:tcPr>
            <w:tcW w:type="dxa" w:w="850"/>
          </w:tcPr>
          <w:p>
            <w:r/>
            <w:r>
              <w:rPr>
                <w:rFonts w:ascii="Times New Roman" w:hAnsi="Times New Roman"/>
                <w:sz w:val="18"/>
              </w:rPr>
              <w:t>0,171</w:t>
            </w:r>
          </w:p>
        </w:tc>
      </w:tr>
      <w:tr>
        <w:tc>
          <w:tcPr>
            <w:tcW w:type="dxa" w:w="2929"/>
          </w:tcPr>
          <w:p>
            <w:r/>
            <w:r>
              <w:rPr>
                <w:rFonts w:ascii="Times New Roman" w:hAnsi="Times New Roman"/>
                <w:sz w:val="18"/>
              </w:rPr>
              <w:t>Có</w:t>
            </w:r>
          </w:p>
        </w:tc>
        <w:tc>
          <w:tcPr>
            <w:tcW w:type="dxa" w:w="1228"/>
          </w:tcPr>
          <w:p>
            <w:r/>
            <w:r>
              <w:rPr>
                <w:rFonts w:ascii="Times New Roman" w:hAnsi="Times New Roman"/>
                <w:sz w:val="18"/>
              </w:rPr>
              <w:t>453 (50,33)</w:t>
            </w:r>
          </w:p>
        </w:tc>
        <w:tc>
          <w:tcPr>
            <w:tcW w:type="dxa" w:w="1134"/>
          </w:tcPr>
          <w:p>
            <w:r/>
            <w:r>
              <w:rPr>
                <w:rFonts w:ascii="Times New Roman" w:hAnsi="Times New Roman"/>
                <w:sz w:val="18"/>
              </w:rPr>
              <w:t>95 (54,91)</w:t>
            </w:r>
          </w:p>
        </w:tc>
        <w:tc>
          <w:tcPr>
            <w:tcW w:type="dxa" w:w="1512"/>
          </w:tcPr>
          <w:p>
            <w:r/>
            <w:r>
              <w:rPr>
                <w:rFonts w:ascii="Times New Roman" w:hAnsi="Times New Roman"/>
                <w:sz w:val="18"/>
              </w:rPr>
              <w:t>240 (47,62)</w:t>
            </w:r>
          </w:p>
        </w:tc>
        <w:tc>
          <w:tcPr>
            <w:tcW w:type="dxa" w:w="1134"/>
          </w:tcPr>
          <w:p>
            <w:r/>
            <w:r>
              <w:rPr>
                <w:rFonts w:ascii="Times New Roman" w:hAnsi="Times New Roman"/>
                <w:sz w:val="18"/>
              </w:rPr>
              <w:t>118 (52,91)</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Không</w:t>
            </w:r>
          </w:p>
        </w:tc>
        <w:tc>
          <w:tcPr>
            <w:tcW w:type="dxa" w:w="1228"/>
          </w:tcPr>
          <w:p>
            <w:r/>
            <w:r>
              <w:rPr>
                <w:rFonts w:ascii="Times New Roman" w:hAnsi="Times New Roman"/>
                <w:sz w:val="18"/>
              </w:rPr>
              <w:t>447 (49,67)</w:t>
            </w:r>
          </w:p>
        </w:tc>
        <w:tc>
          <w:tcPr>
            <w:tcW w:type="dxa" w:w="1134"/>
          </w:tcPr>
          <w:p>
            <w:r/>
            <w:r>
              <w:rPr>
                <w:rFonts w:ascii="Times New Roman" w:hAnsi="Times New Roman"/>
                <w:sz w:val="18"/>
              </w:rPr>
              <w:t>78 (45,09)</w:t>
            </w:r>
          </w:p>
        </w:tc>
        <w:tc>
          <w:tcPr>
            <w:tcW w:type="dxa" w:w="1512"/>
          </w:tcPr>
          <w:p>
            <w:r/>
            <w:r>
              <w:rPr>
                <w:rFonts w:ascii="Times New Roman" w:hAnsi="Times New Roman"/>
                <w:sz w:val="18"/>
              </w:rPr>
              <w:t>264 (52,38)</w:t>
            </w:r>
          </w:p>
        </w:tc>
        <w:tc>
          <w:tcPr>
            <w:tcW w:type="dxa" w:w="1134"/>
          </w:tcPr>
          <w:p>
            <w:r/>
            <w:r>
              <w:rPr>
                <w:rFonts w:ascii="Times New Roman" w:hAnsi="Times New Roman"/>
                <w:sz w:val="18"/>
              </w:rPr>
              <w:t>105 (47,09)</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Công tác SKTT tại trường đầy đủ</w:t>
            </w:r>
          </w:p>
        </w:tc>
        <w:tc>
          <w:tcPr>
            <w:tcW w:type="dxa" w:w="1228"/>
          </w:tcPr>
          <w:p>
            <w:r/>
            <w:r>
              <w:rPr>
                <w:rFonts w:ascii="Times New Roman" w:hAnsi="Times New Roman"/>
                <w:sz w:val="18"/>
              </w:rPr>
            </w:r>
          </w:p>
        </w:tc>
        <w:tc>
          <w:tcPr>
            <w:tcW w:type="dxa" w:w="1134"/>
          </w:tcPr>
          <w:p>
            <w:r/>
            <w:r>
              <w:rPr>
                <w:rFonts w:ascii="Times New Roman" w:hAnsi="Times New Roman"/>
                <w:sz w:val="18"/>
              </w:rPr>
            </w:r>
          </w:p>
        </w:tc>
        <w:tc>
          <w:tcPr>
            <w:tcW w:type="dxa" w:w="1512"/>
          </w:tcPr>
          <w:p>
            <w:r/>
            <w:r>
              <w:rPr>
                <w:rFonts w:ascii="Times New Roman" w:hAnsi="Times New Roman"/>
                <w:sz w:val="18"/>
              </w:rPr>
            </w:r>
          </w:p>
        </w:tc>
        <w:tc>
          <w:tcPr>
            <w:tcW w:type="dxa" w:w="1134"/>
          </w:tcPr>
          <w:p>
            <w:r/>
            <w:r>
              <w:rPr>
                <w:rFonts w:ascii="Times New Roman" w:hAnsi="Times New Roman"/>
                <w:sz w:val="18"/>
              </w:rPr>
            </w:r>
          </w:p>
        </w:tc>
        <w:tc>
          <w:tcPr>
            <w:tcW w:type="dxa" w:w="850"/>
          </w:tcPr>
          <w:p>
            <w:r/>
            <w:r>
              <w:rPr>
                <w:rFonts w:ascii="Times New Roman" w:hAnsi="Times New Roman"/>
                <w:sz w:val="18"/>
              </w:rPr>
              <w:t>21,938</w:t>
            </w:r>
          </w:p>
        </w:tc>
        <w:tc>
          <w:tcPr>
            <w:tcW w:type="dxa" w:w="850"/>
          </w:tcPr>
          <w:p>
            <w:r/>
            <w:r>
              <w:rPr>
                <w:rFonts w:ascii="Times New Roman" w:hAnsi="Times New Roman"/>
                <w:sz w:val="18"/>
              </w:rPr>
              <w:t>&lt;0,001</w:t>
            </w:r>
          </w:p>
        </w:tc>
      </w:tr>
      <w:tr>
        <w:tc>
          <w:tcPr>
            <w:tcW w:type="dxa" w:w="2929"/>
          </w:tcPr>
          <w:p>
            <w:r/>
            <w:r>
              <w:rPr>
                <w:rFonts w:ascii="Times New Roman" w:hAnsi="Times New Roman"/>
                <w:sz w:val="18"/>
              </w:rPr>
              <w:t>Có</w:t>
            </w:r>
          </w:p>
        </w:tc>
        <w:tc>
          <w:tcPr>
            <w:tcW w:type="dxa" w:w="1228"/>
          </w:tcPr>
          <w:p>
            <w:r/>
            <w:r>
              <w:rPr>
                <w:rFonts w:ascii="Times New Roman" w:hAnsi="Times New Roman"/>
                <w:sz w:val="18"/>
              </w:rPr>
              <w:t>387 (43,00)</w:t>
            </w:r>
          </w:p>
        </w:tc>
        <w:tc>
          <w:tcPr>
            <w:tcW w:type="dxa" w:w="1134"/>
          </w:tcPr>
          <w:p>
            <w:r/>
            <w:r>
              <w:rPr>
                <w:rFonts w:ascii="Times New Roman" w:hAnsi="Times New Roman"/>
                <w:sz w:val="18"/>
              </w:rPr>
              <w:t>84 (48,55)</w:t>
            </w:r>
          </w:p>
        </w:tc>
        <w:tc>
          <w:tcPr>
            <w:tcW w:type="dxa" w:w="1512"/>
          </w:tcPr>
          <w:p>
            <w:r/>
            <w:r>
              <w:rPr>
                <w:rFonts w:ascii="Times New Roman" w:hAnsi="Times New Roman"/>
                <w:sz w:val="18"/>
              </w:rPr>
              <w:t>231 (45,83)</w:t>
            </w:r>
          </w:p>
        </w:tc>
        <w:tc>
          <w:tcPr>
            <w:tcW w:type="dxa" w:w="1134"/>
          </w:tcPr>
          <w:p>
            <w:r/>
            <w:r>
              <w:rPr>
                <w:rFonts w:ascii="Times New Roman" w:hAnsi="Times New Roman"/>
                <w:sz w:val="18"/>
              </w:rPr>
              <w:t>72 (32,29)</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Không</w:t>
            </w:r>
          </w:p>
        </w:tc>
        <w:tc>
          <w:tcPr>
            <w:tcW w:type="dxa" w:w="1228"/>
          </w:tcPr>
          <w:p>
            <w:r/>
            <w:r>
              <w:rPr>
                <w:rFonts w:ascii="Times New Roman" w:hAnsi="Times New Roman"/>
                <w:sz w:val="18"/>
              </w:rPr>
              <w:t>112 (12,44)</w:t>
            </w:r>
          </w:p>
        </w:tc>
        <w:tc>
          <w:tcPr>
            <w:tcW w:type="dxa" w:w="1134"/>
          </w:tcPr>
          <w:p>
            <w:r/>
            <w:r>
              <w:rPr>
                <w:rFonts w:ascii="Times New Roman" w:hAnsi="Times New Roman"/>
                <w:sz w:val="18"/>
              </w:rPr>
              <w:t>15 (8,67)</w:t>
            </w:r>
          </w:p>
        </w:tc>
        <w:tc>
          <w:tcPr>
            <w:tcW w:type="dxa" w:w="1512"/>
          </w:tcPr>
          <w:p>
            <w:r/>
            <w:r>
              <w:rPr>
                <w:rFonts w:ascii="Times New Roman" w:hAnsi="Times New Roman"/>
                <w:sz w:val="18"/>
              </w:rPr>
              <w:t>53 (10,52)</w:t>
            </w:r>
          </w:p>
        </w:tc>
        <w:tc>
          <w:tcPr>
            <w:tcW w:type="dxa" w:w="1134"/>
          </w:tcPr>
          <w:p>
            <w:r/>
            <w:r>
              <w:rPr>
                <w:rFonts w:ascii="Times New Roman" w:hAnsi="Times New Roman"/>
                <w:sz w:val="18"/>
              </w:rPr>
              <w:t>44 (19,73)</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Không chắc chắn</w:t>
            </w:r>
          </w:p>
        </w:tc>
        <w:tc>
          <w:tcPr>
            <w:tcW w:type="dxa" w:w="1228"/>
          </w:tcPr>
          <w:p>
            <w:r/>
            <w:r>
              <w:rPr>
                <w:rFonts w:ascii="Times New Roman" w:hAnsi="Times New Roman"/>
                <w:sz w:val="18"/>
              </w:rPr>
              <w:t>401 (44,56)</w:t>
            </w:r>
          </w:p>
        </w:tc>
        <w:tc>
          <w:tcPr>
            <w:tcW w:type="dxa" w:w="1134"/>
          </w:tcPr>
          <w:p>
            <w:r/>
            <w:r>
              <w:rPr>
                <w:rFonts w:ascii="Times New Roman" w:hAnsi="Times New Roman"/>
                <w:sz w:val="18"/>
              </w:rPr>
              <w:t>74 (42,77)</w:t>
            </w:r>
          </w:p>
        </w:tc>
        <w:tc>
          <w:tcPr>
            <w:tcW w:type="dxa" w:w="1512"/>
          </w:tcPr>
          <w:p>
            <w:r/>
            <w:r>
              <w:rPr>
                <w:rFonts w:ascii="Times New Roman" w:hAnsi="Times New Roman"/>
                <w:sz w:val="18"/>
              </w:rPr>
              <w:t>220 (43,65)</w:t>
            </w:r>
          </w:p>
        </w:tc>
        <w:tc>
          <w:tcPr>
            <w:tcW w:type="dxa" w:w="1134"/>
          </w:tcPr>
          <w:p>
            <w:r/>
            <w:r>
              <w:rPr>
                <w:rFonts w:ascii="Times New Roman" w:hAnsi="Times New Roman"/>
                <w:sz w:val="18"/>
              </w:rPr>
              <w:t>107 (47,98)</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Tự đánh giá thành tích học tập</w:t>
            </w:r>
          </w:p>
        </w:tc>
        <w:tc>
          <w:tcPr>
            <w:tcW w:type="dxa" w:w="1228"/>
          </w:tcPr>
          <w:p>
            <w:r/>
            <w:r>
              <w:rPr>
                <w:rFonts w:ascii="Times New Roman" w:hAnsi="Times New Roman"/>
                <w:sz w:val="18"/>
              </w:rPr>
            </w:r>
          </w:p>
        </w:tc>
        <w:tc>
          <w:tcPr>
            <w:tcW w:type="dxa" w:w="1134"/>
          </w:tcPr>
          <w:p>
            <w:r/>
            <w:r>
              <w:rPr>
                <w:rFonts w:ascii="Times New Roman" w:hAnsi="Times New Roman"/>
                <w:sz w:val="18"/>
              </w:rPr>
            </w:r>
          </w:p>
        </w:tc>
        <w:tc>
          <w:tcPr>
            <w:tcW w:type="dxa" w:w="1512"/>
          </w:tcPr>
          <w:p>
            <w:r/>
            <w:r>
              <w:rPr>
                <w:rFonts w:ascii="Times New Roman" w:hAnsi="Times New Roman"/>
                <w:sz w:val="18"/>
              </w:rPr>
            </w:r>
          </w:p>
        </w:tc>
        <w:tc>
          <w:tcPr>
            <w:tcW w:type="dxa" w:w="1134"/>
          </w:tcPr>
          <w:p>
            <w:r/>
            <w:r>
              <w:rPr>
                <w:rFonts w:ascii="Times New Roman" w:hAnsi="Times New Roman"/>
                <w:sz w:val="18"/>
              </w:rPr>
            </w:r>
          </w:p>
        </w:tc>
        <w:tc>
          <w:tcPr>
            <w:tcW w:type="dxa" w:w="850"/>
          </w:tcPr>
          <w:p>
            <w:r/>
            <w:r>
              <w:rPr>
                <w:rFonts w:ascii="Times New Roman" w:hAnsi="Times New Roman"/>
                <w:sz w:val="18"/>
              </w:rPr>
              <w:t>33,794</w:t>
            </w:r>
          </w:p>
        </w:tc>
        <w:tc>
          <w:tcPr>
            <w:tcW w:type="dxa" w:w="850"/>
          </w:tcPr>
          <w:p>
            <w:r/>
            <w:r>
              <w:rPr>
                <w:rFonts w:ascii="Times New Roman" w:hAnsi="Times New Roman"/>
                <w:sz w:val="18"/>
              </w:rPr>
              <w:t>&lt;0,001</w:t>
            </w:r>
          </w:p>
        </w:tc>
      </w:tr>
      <w:tr>
        <w:tc>
          <w:tcPr>
            <w:tcW w:type="dxa" w:w="2929"/>
          </w:tcPr>
          <w:p>
            <w:r/>
            <w:r>
              <w:rPr>
                <w:rFonts w:ascii="Times New Roman" w:hAnsi="Times New Roman"/>
                <w:sz w:val="18"/>
              </w:rPr>
              <w:t>Xuất sắc</w:t>
            </w:r>
          </w:p>
        </w:tc>
        <w:tc>
          <w:tcPr>
            <w:tcW w:type="dxa" w:w="1228"/>
          </w:tcPr>
          <w:p>
            <w:r/>
            <w:r>
              <w:rPr>
                <w:rFonts w:ascii="Times New Roman" w:hAnsi="Times New Roman"/>
                <w:sz w:val="18"/>
              </w:rPr>
              <w:t>41 (4,56)</w:t>
            </w:r>
          </w:p>
        </w:tc>
        <w:tc>
          <w:tcPr>
            <w:tcW w:type="dxa" w:w="1134"/>
          </w:tcPr>
          <w:p>
            <w:r/>
            <w:r>
              <w:rPr>
                <w:rFonts w:ascii="Times New Roman" w:hAnsi="Times New Roman"/>
                <w:sz w:val="18"/>
              </w:rPr>
              <w:t>15 (8,67)</w:t>
            </w:r>
          </w:p>
        </w:tc>
        <w:tc>
          <w:tcPr>
            <w:tcW w:type="dxa" w:w="1512"/>
          </w:tcPr>
          <w:p>
            <w:r/>
            <w:r>
              <w:rPr>
                <w:rFonts w:ascii="Times New Roman" w:hAnsi="Times New Roman"/>
                <w:sz w:val="18"/>
              </w:rPr>
              <w:t>13 (2,58)</w:t>
            </w:r>
          </w:p>
        </w:tc>
        <w:tc>
          <w:tcPr>
            <w:tcW w:type="dxa" w:w="1134"/>
          </w:tcPr>
          <w:p>
            <w:r/>
            <w:r>
              <w:rPr>
                <w:rFonts w:ascii="Times New Roman" w:hAnsi="Times New Roman"/>
                <w:sz w:val="18"/>
              </w:rPr>
              <w:t>13 (5,83)</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Tốt</w:t>
            </w:r>
          </w:p>
        </w:tc>
        <w:tc>
          <w:tcPr>
            <w:tcW w:type="dxa" w:w="1228"/>
          </w:tcPr>
          <w:p>
            <w:r/>
            <w:r>
              <w:rPr>
                <w:rFonts w:ascii="Times New Roman" w:hAnsi="Times New Roman"/>
                <w:sz w:val="18"/>
              </w:rPr>
              <w:t>398 (44,22)</w:t>
            </w:r>
          </w:p>
        </w:tc>
        <w:tc>
          <w:tcPr>
            <w:tcW w:type="dxa" w:w="1134"/>
          </w:tcPr>
          <w:p>
            <w:r/>
            <w:r>
              <w:rPr>
                <w:rFonts w:ascii="Times New Roman" w:hAnsi="Times New Roman"/>
                <w:sz w:val="18"/>
              </w:rPr>
              <w:t>84 (48,55)</w:t>
            </w:r>
          </w:p>
        </w:tc>
        <w:tc>
          <w:tcPr>
            <w:tcW w:type="dxa" w:w="1512"/>
          </w:tcPr>
          <w:p>
            <w:r/>
            <w:r>
              <w:rPr>
                <w:rFonts w:ascii="Times New Roman" w:hAnsi="Times New Roman"/>
                <w:sz w:val="18"/>
              </w:rPr>
              <w:t>229 (45,44)</w:t>
            </w:r>
          </w:p>
        </w:tc>
        <w:tc>
          <w:tcPr>
            <w:tcW w:type="dxa" w:w="1134"/>
          </w:tcPr>
          <w:p>
            <w:r/>
            <w:r>
              <w:rPr>
                <w:rFonts w:ascii="Times New Roman" w:hAnsi="Times New Roman"/>
                <w:sz w:val="18"/>
              </w:rPr>
              <w:t>85 (38,12)</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Đạt</w:t>
            </w:r>
          </w:p>
        </w:tc>
        <w:tc>
          <w:tcPr>
            <w:tcW w:type="dxa" w:w="1228"/>
          </w:tcPr>
          <w:p>
            <w:r/>
            <w:r>
              <w:rPr>
                <w:rFonts w:ascii="Times New Roman" w:hAnsi="Times New Roman"/>
                <w:sz w:val="18"/>
              </w:rPr>
              <w:t>301 (33,44)</w:t>
            </w:r>
          </w:p>
        </w:tc>
        <w:tc>
          <w:tcPr>
            <w:tcW w:type="dxa" w:w="1134"/>
          </w:tcPr>
          <w:p>
            <w:r/>
            <w:r>
              <w:rPr>
                <w:rFonts w:ascii="Times New Roman" w:hAnsi="Times New Roman"/>
                <w:sz w:val="18"/>
              </w:rPr>
              <w:t>52 (30,06)</w:t>
            </w:r>
          </w:p>
        </w:tc>
        <w:tc>
          <w:tcPr>
            <w:tcW w:type="dxa" w:w="1512"/>
          </w:tcPr>
          <w:p>
            <w:r/>
            <w:r>
              <w:rPr>
                <w:rFonts w:ascii="Times New Roman" w:hAnsi="Times New Roman"/>
                <w:sz w:val="18"/>
              </w:rPr>
              <w:t>185 (36,71)</w:t>
            </w:r>
          </w:p>
        </w:tc>
        <w:tc>
          <w:tcPr>
            <w:tcW w:type="dxa" w:w="1134"/>
          </w:tcPr>
          <w:p>
            <w:r/>
            <w:r>
              <w:rPr>
                <w:rFonts w:ascii="Times New Roman" w:hAnsi="Times New Roman"/>
                <w:sz w:val="18"/>
              </w:rPr>
              <w:t>64 (28,70)</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Không đạt</w:t>
            </w:r>
          </w:p>
        </w:tc>
        <w:tc>
          <w:tcPr>
            <w:tcW w:type="dxa" w:w="1228"/>
          </w:tcPr>
          <w:p>
            <w:r/>
            <w:r>
              <w:rPr>
                <w:rFonts w:ascii="Times New Roman" w:hAnsi="Times New Roman"/>
                <w:sz w:val="18"/>
              </w:rPr>
              <w:t>160 (17,78)</w:t>
            </w:r>
          </w:p>
        </w:tc>
        <w:tc>
          <w:tcPr>
            <w:tcW w:type="dxa" w:w="1134"/>
          </w:tcPr>
          <w:p>
            <w:r/>
            <w:r>
              <w:rPr>
                <w:rFonts w:ascii="Times New Roman" w:hAnsi="Times New Roman"/>
                <w:sz w:val="18"/>
              </w:rPr>
              <w:t>22 (12,72)</w:t>
            </w:r>
          </w:p>
        </w:tc>
        <w:tc>
          <w:tcPr>
            <w:tcW w:type="dxa" w:w="1512"/>
          </w:tcPr>
          <w:p>
            <w:r/>
            <w:r>
              <w:rPr>
                <w:rFonts w:ascii="Times New Roman" w:hAnsi="Times New Roman"/>
                <w:sz w:val="18"/>
              </w:rPr>
              <w:t>77 (15,28)</w:t>
            </w:r>
          </w:p>
        </w:tc>
        <w:tc>
          <w:tcPr>
            <w:tcW w:type="dxa" w:w="1134"/>
          </w:tcPr>
          <w:p>
            <w:r/>
            <w:r>
              <w:rPr>
                <w:rFonts w:ascii="Times New Roman" w:hAnsi="Times New Roman"/>
                <w:sz w:val="18"/>
              </w:rPr>
              <w:t>61 (27,35)</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Tự đánh giá áp lực học tập</w:t>
            </w:r>
          </w:p>
        </w:tc>
        <w:tc>
          <w:tcPr>
            <w:tcW w:type="dxa" w:w="1228"/>
          </w:tcPr>
          <w:p>
            <w:r/>
            <w:r>
              <w:rPr>
                <w:rFonts w:ascii="Times New Roman" w:hAnsi="Times New Roman"/>
                <w:sz w:val="18"/>
              </w:rPr>
            </w:r>
          </w:p>
        </w:tc>
        <w:tc>
          <w:tcPr>
            <w:tcW w:type="dxa" w:w="1134"/>
          </w:tcPr>
          <w:p>
            <w:r/>
            <w:r>
              <w:rPr>
                <w:rFonts w:ascii="Times New Roman" w:hAnsi="Times New Roman"/>
                <w:sz w:val="18"/>
              </w:rPr>
            </w:r>
          </w:p>
        </w:tc>
        <w:tc>
          <w:tcPr>
            <w:tcW w:type="dxa" w:w="1512"/>
          </w:tcPr>
          <w:p>
            <w:r/>
            <w:r>
              <w:rPr>
                <w:rFonts w:ascii="Times New Roman" w:hAnsi="Times New Roman"/>
                <w:sz w:val="18"/>
              </w:rPr>
            </w:r>
          </w:p>
        </w:tc>
        <w:tc>
          <w:tcPr>
            <w:tcW w:type="dxa" w:w="1134"/>
          </w:tcPr>
          <w:p>
            <w:r/>
            <w:r>
              <w:rPr>
                <w:rFonts w:ascii="Times New Roman" w:hAnsi="Times New Roman"/>
                <w:sz w:val="18"/>
              </w:rPr>
            </w:r>
          </w:p>
        </w:tc>
        <w:tc>
          <w:tcPr>
            <w:tcW w:type="dxa" w:w="850"/>
          </w:tcPr>
          <w:p>
            <w:r/>
            <w:r>
              <w:rPr>
                <w:rFonts w:ascii="Times New Roman" w:hAnsi="Times New Roman"/>
                <w:sz w:val="18"/>
              </w:rPr>
              <w:t>86,854</w:t>
            </w:r>
          </w:p>
        </w:tc>
        <w:tc>
          <w:tcPr>
            <w:tcW w:type="dxa" w:w="850"/>
          </w:tcPr>
          <w:p>
            <w:r/>
            <w:r>
              <w:rPr>
                <w:rFonts w:ascii="Times New Roman" w:hAnsi="Times New Roman"/>
                <w:sz w:val="18"/>
              </w:rPr>
              <w:t>&lt;0,001</w:t>
            </w:r>
          </w:p>
        </w:tc>
      </w:tr>
      <w:tr>
        <w:tc>
          <w:tcPr>
            <w:tcW w:type="dxa" w:w="2929"/>
          </w:tcPr>
          <w:p>
            <w:r/>
            <w:r>
              <w:rPr>
                <w:rFonts w:ascii="Times New Roman" w:hAnsi="Times New Roman"/>
                <w:sz w:val="18"/>
              </w:rPr>
              <w:t>Rất cao</w:t>
            </w:r>
          </w:p>
        </w:tc>
        <w:tc>
          <w:tcPr>
            <w:tcW w:type="dxa" w:w="1228"/>
          </w:tcPr>
          <w:p>
            <w:r/>
            <w:r>
              <w:rPr>
                <w:rFonts w:ascii="Times New Roman" w:hAnsi="Times New Roman"/>
                <w:sz w:val="18"/>
              </w:rPr>
              <w:t>141 (15,67)</w:t>
            </w:r>
          </w:p>
        </w:tc>
        <w:tc>
          <w:tcPr>
            <w:tcW w:type="dxa" w:w="1134"/>
          </w:tcPr>
          <w:p>
            <w:r/>
            <w:r>
              <w:rPr>
                <w:rFonts w:ascii="Times New Roman" w:hAnsi="Times New Roman"/>
                <w:sz w:val="18"/>
              </w:rPr>
              <w:t>13 (7,51)</w:t>
            </w:r>
          </w:p>
        </w:tc>
        <w:tc>
          <w:tcPr>
            <w:tcW w:type="dxa" w:w="1512"/>
          </w:tcPr>
          <w:p>
            <w:r/>
            <w:r>
              <w:rPr>
                <w:rFonts w:ascii="Times New Roman" w:hAnsi="Times New Roman"/>
                <w:sz w:val="18"/>
              </w:rPr>
              <w:t>66 (13,10)</w:t>
            </w:r>
          </w:p>
        </w:tc>
        <w:tc>
          <w:tcPr>
            <w:tcW w:type="dxa" w:w="1134"/>
          </w:tcPr>
          <w:p>
            <w:r/>
            <w:r>
              <w:rPr>
                <w:rFonts w:ascii="Times New Roman" w:hAnsi="Times New Roman"/>
                <w:sz w:val="18"/>
              </w:rPr>
              <w:t>62 (27,80)</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Cao</w:t>
            </w:r>
          </w:p>
        </w:tc>
        <w:tc>
          <w:tcPr>
            <w:tcW w:type="dxa" w:w="1228"/>
          </w:tcPr>
          <w:p>
            <w:r/>
            <w:r>
              <w:rPr>
                <w:rFonts w:ascii="Times New Roman" w:hAnsi="Times New Roman"/>
                <w:sz w:val="18"/>
              </w:rPr>
              <w:t>236 (26,22)</w:t>
            </w:r>
          </w:p>
        </w:tc>
        <w:tc>
          <w:tcPr>
            <w:tcW w:type="dxa" w:w="1134"/>
          </w:tcPr>
          <w:p>
            <w:r/>
            <w:r>
              <w:rPr>
                <w:rFonts w:ascii="Times New Roman" w:hAnsi="Times New Roman"/>
                <w:sz w:val="18"/>
              </w:rPr>
              <w:t>27 (15,61)</w:t>
            </w:r>
          </w:p>
        </w:tc>
        <w:tc>
          <w:tcPr>
            <w:tcW w:type="dxa" w:w="1512"/>
          </w:tcPr>
          <w:p>
            <w:r/>
            <w:r>
              <w:rPr>
                <w:rFonts w:ascii="Times New Roman" w:hAnsi="Times New Roman"/>
                <w:sz w:val="18"/>
              </w:rPr>
              <w:t>137 (27,18)</w:t>
            </w:r>
          </w:p>
        </w:tc>
        <w:tc>
          <w:tcPr>
            <w:tcW w:type="dxa" w:w="1134"/>
          </w:tcPr>
          <w:p>
            <w:r/>
            <w:r>
              <w:rPr>
                <w:rFonts w:ascii="Times New Roman" w:hAnsi="Times New Roman"/>
                <w:sz w:val="18"/>
              </w:rPr>
              <w:t>72 (32,29)</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Bình thường</w:t>
            </w:r>
          </w:p>
        </w:tc>
        <w:tc>
          <w:tcPr>
            <w:tcW w:type="dxa" w:w="1228"/>
          </w:tcPr>
          <w:p>
            <w:r/>
            <w:r>
              <w:rPr>
                <w:rFonts w:ascii="Times New Roman" w:hAnsi="Times New Roman"/>
                <w:sz w:val="18"/>
              </w:rPr>
              <w:t>433 (48,11)</w:t>
            </w:r>
          </w:p>
        </w:tc>
        <w:tc>
          <w:tcPr>
            <w:tcW w:type="dxa" w:w="1134"/>
          </w:tcPr>
          <w:p>
            <w:r/>
            <w:r>
              <w:rPr>
                <w:rFonts w:ascii="Times New Roman" w:hAnsi="Times New Roman"/>
                <w:sz w:val="18"/>
              </w:rPr>
              <w:t>101 (58,38)</w:t>
            </w:r>
          </w:p>
        </w:tc>
        <w:tc>
          <w:tcPr>
            <w:tcW w:type="dxa" w:w="1512"/>
          </w:tcPr>
          <w:p>
            <w:r/>
            <w:r>
              <w:rPr>
                <w:rFonts w:ascii="Times New Roman" w:hAnsi="Times New Roman"/>
                <w:sz w:val="18"/>
              </w:rPr>
              <w:t>258 (51,19)</w:t>
            </w:r>
          </w:p>
        </w:tc>
        <w:tc>
          <w:tcPr>
            <w:tcW w:type="dxa" w:w="1134"/>
          </w:tcPr>
          <w:p>
            <w:r/>
            <w:r>
              <w:rPr>
                <w:rFonts w:ascii="Times New Roman" w:hAnsi="Times New Roman"/>
                <w:sz w:val="18"/>
              </w:rPr>
              <w:t>74 (33,18)</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Thấp</w:t>
            </w:r>
          </w:p>
        </w:tc>
        <w:tc>
          <w:tcPr>
            <w:tcW w:type="dxa" w:w="1228"/>
          </w:tcPr>
          <w:p>
            <w:r/>
            <w:r>
              <w:rPr>
                <w:rFonts w:ascii="Times New Roman" w:hAnsi="Times New Roman"/>
                <w:sz w:val="18"/>
              </w:rPr>
              <w:t>41 (4,56)</w:t>
            </w:r>
          </w:p>
        </w:tc>
        <w:tc>
          <w:tcPr>
            <w:tcW w:type="dxa" w:w="1134"/>
          </w:tcPr>
          <w:p>
            <w:r/>
            <w:r>
              <w:rPr>
                <w:rFonts w:ascii="Times New Roman" w:hAnsi="Times New Roman"/>
                <w:sz w:val="18"/>
              </w:rPr>
              <w:t>8 (4,62)</w:t>
            </w:r>
          </w:p>
        </w:tc>
        <w:tc>
          <w:tcPr>
            <w:tcW w:type="dxa" w:w="1512"/>
          </w:tcPr>
          <w:p>
            <w:r/>
            <w:r>
              <w:rPr>
                <w:rFonts w:ascii="Times New Roman" w:hAnsi="Times New Roman"/>
                <w:sz w:val="18"/>
              </w:rPr>
              <w:t>27 (5,36)</w:t>
            </w:r>
          </w:p>
        </w:tc>
        <w:tc>
          <w:tcPr>
            <w:tcW w:type="dxa" w:w="1134"/>
          </w:tcPr>
          <w:p>
            <w:r/>
            <w:r>
              <w:rPr>
                <w:rFonts w:ascii="Times New Roman" w:hAnsi="Times New Roman"/>
                <w:sz w:val="18"/>
              </w:rPr>
              <w:t>6 (2,69)</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Rất thấp</w:t>
            </w:r>
          </w:p>
        </w:tc>
        <w:tc>
          <w:tcPr>
            <w:tcW w:type="dxa" w:w="1228"/>
          </w:tcPr>
          <w:p>
            <w:r/>
            <w:r>
              <w:rPr>
                <w:rFonts w:ascii="Times New Roman" w:hAnsi="Times New Roman"/>
                <w:sz w:val="18"/>
              </w:rPr>
              <w:t>49 (5,44)</w:t>
            </w:r>
          </w:p>
        </w:tc>
        <w:tc>
          <w:tcPr>
            <w:tcW w:type="dxa" w:w="1134"/>
          </w:tcPr>
          <w:p>
            <w:r/>
            <w:r>
              <w:rPr>
                <w:rFonts w:ascii="Times New Roman" w:hAnsi="Times New Roman"/>
                <w:sz w:val="18"/>
              </w:rPr>
              <w:t>24 (13,87)</w:t>
            </w:r>
          </w:p>
        </w:tc>
        <w:tc>
          <w:tcPr>
            <w:tcW w:type="dxa" w:w="1512"/>
          </w:tcPr>
          <w:p>
            <w:r/>
            <w:r>
              <w:rPr>
                <w:rFonts w:ascii="Times New Roman" w:hAnsi="Times New Roman"/>
                <w:sz w:val="18"/>
              </w:rPr>
              <w:t>16 (3,17)</w:t>
            </w:r>
          </w:p>
        </w:tc>
        <w:tc>
          <w:tcPr>
            <w:tcW w:type="dxa" w:w="1134"/>
          </w:tcPr>
          <w:p>
            <w:r/>
            <w:r>
              <w:rPr>
                <w:rFonts w:ascii="Times New Roman" w:hAnsi="Times New Roman"/>
                <w:sz w:val="18"/>
              </w:rPr>
              <w:t>9 (4,04)</w:t>
            </w:r>
          </w:p>
        </w:tc>
        <w:tc>
          <w:tcPr>
            <w:tcW w:type="dxa" w:w="850"/>
          </w:tcPr>
          <w:p>
            <w:r/>
            <w:r>
              <w:rPr>
                <w:rFonts w:ascii="Times New Roman" w:hAnsi="Times New Roman"/>
                <w:sz w:val="18"/>
              </w:rPr>
            </w:r>
          </w:p>
        </w:tc>
        <w:tc>
          <w:tcPr>
            <w:tcW w:type="dxa" w:w="850"/>
          </w:tcPr>
          <w:p>
            <w:r/>
            <w:r>
              <w:rPr>
                <w:rFonts w:ascii="Times New Roman" w:hAnsi="Times New Roman"/>
                <w:sz w:val="18"/>
              </w:rPr>
            </w:r>
          </w:p>
        </w:tc>
      </w:tr>
      <w:tr>
        <w:tc>
          <w:tcPr>
            <w:tcW w:type="dxa" w:w="2929"/>
          </w:tcPr>
          <w:p>
            <w:r/>
            <w:r>
              <w:rPr>
                <w:rFonts w:ascii="Times New Roman" w:hAnsi="Times New Roman"/>
                <w:sz w:val="18"/>
              </w:rPr>
              <w:t>Tổng</w:t>
            </w:r>
          </w:p>
        </w:tc>
        <w:tc>
          <w:tcPr>
            <w:tcW w:type="dxa" w:w="1228"/>
          </w:tcPr>
          <w:p>
            <w:r/>
            <w:r>
              <w:rPr>
                <w:rFonts w:ascii="Times New Roman" w:hAnsi="Times New Roman"/>
                <w:sz w:val="18"/>
              </w:rPr>
              <w:t>900 (100,00)</w:t>
            </w:r>
          </w:p>
        </w:tc>
        <w:tc>
          <w:tcPr>
            <w:tcW w:type="dxa" w:w="1134"/>
          </w:tcPr>
          <w:p>
            <w:r/>
            <w:r>
              <w:rPr>
                <w:rFonts w:ascii="Times New Roman" w:hAnsi="Times New Roman"/>
                <w:sz w:val="18"/>
              </w:rPr>
              <w:t>173 (100,00)</w:t>
            </w:r>
          </w:p>
        </w:tc>
        <w:tc>
          <w:tcPr>
            <w:tcW w:type="dxa" w:w="1512"/>
          </w:tcPr>
          <w:p>
            <w:r/>
            <w:r>
              <w:rPr>
                <w:rFonts w:ascii="Times New Roman" w:hAnsi="Times New Roman"/>
                <w:sz w:val="18"/>
              </w:rPr>
              <w:t>504 (100,00)</w:t>
            </w:r>
          </w:p>
        </w:tc>
        <w:tc>
          <w:tcPr>
            <w:tcW w:type="dxa" w:w="1134"/>
          </w:tcPr>
          <w:p>
            <w:r/>
            <w:r>
              <w:rPr>
                <w:rFonts w:ascii="Times New Roman" w:hAnsi="Times New Roman"/>
                <w:sz w:val="18"/>
              </w:rPr>
              <w:t>223 (100,00)</w:t>
            </w:r>
          </w:p>
        </w:tc>
        <w:tc>
          <w:tcPr>
            <w:tcW w:type="dxa" w:w="850"/>
          </w:tcPr>
          <w:p>
            <w:r/>
            <w:r>
              <w:rPr>
                <w:rFonts w:ascii="Times New Roman" w:hAnsi="Times New Roman"/>
                <w:sz w:val="18"/>
              </w:rPr>
            </w:r>
          </w:p>
        </w:tc>
        <w:tc>
          <w:tcPr>
            <w:tcW w:type="dxa" w:w="850"/>
          </w:tcPr>
          <w:p>
            <w:r/>
            <w:r>
              <w:rPr>
                <w:rFonts w:ascii="Times New Roman" w:hAnsi="Times New Roman"/>
                <w:sz w:val="18"/>
              </w:rPr>
            </w:r>
          </w:p>
        </w:tc>
      </w:tr>
    </w:tbl>
    <w:p/>
    <w:p>
      <w:r>
        <w:rPr>
          <w:b/>
          <w:color w:val="FF6600"/>
          <w:sz w:val="20"/>
        </w:rPr>
        <w:t>--- Trang 10/14, Int J Environ Res Public Health, 17(11):4079, tháng 6/2020 ---</w:t>
      </w:r>
    </w:p>
    <w:p>
      <w:pPr>
        <w:pStyle w:val="Heading3"/>
      </w:pPr>
      <w:r>
        <w:t>3.3. Phân tích đa yếu tố về lo âu của học sinh trung học cơ sở tại vùng nông thôn tỉnh Giang Tây</w:t>
      </w:r>
    </w:p>
    <w:p>
      <w:r>
        <w:rPr>
          <w:sz w:val="24"/>
        </w:rPr>
        <w:t>Phân tích này được thực hiện bằng cách lấy lo âu làm biến phụ thuộc và bảy yếu tố khác làm biến độc lập. Biến độc lập bao gồm các yếu tố như giới tính, tuổi, trẻ em bị bỏ lại, khóa học giáo dục sức khỏe, công tác sức khỏe tâm thần tại trường có đầy đủ, tự đánh giá thành tích học tập, tự đánh giá áp lực học tập. Nên phân tích sau khi chuyển đổi biến phân loại thành biến giả. Bảng tóm tắt gán biến cho phân tích hồi quy logistic được trình bày trong Bảng 3.</w:t>
      </w:r>
    </w:p>
    <w:p>
      <w:r>
        <w:rPr>
          <w:b/>
          <w:color w:val="FF6600"/>
          <w:sz w:val="20"/>
        </w:rPr>
        <w:t>--- Trang 9/14, Int J Environ Res Public Health, 17(11):4079, tháng 6/2020 ---</w:t>
      </w:r>
    </w:p>
    <w:p>
      <w:r>
        <w:rPr>
          <w:b/>
          <w:sz w:val="24"/>
        </w:rPr>
        <w:t>Bảng 3.</w:t>
      </w:r>
      <w:r>
        <w:rPr>
          <w:sz w:val="24"/>
        </w:rPr>
        <w:t xml:space="preserve"> Bảng tóm tắt gán biến cho phân tích hồi quy logistic.</w:t>
      </w:r>
    </w:p>
    <w:tbl>
      <w:tblPr>
        <w:tblStyle w:val="TableGrid"/>
        <w:tblW w:type="auto" w:w="0"/>
        <w:tblLook w:firstColumn="1" w:firstRow="1" w:lastColumn="0" w:lastRow="0" w:noHBand="0" w:noVBand="1" w:val="04A0"/>
      </w:tblPr>
      <w:tblGrid>
        <w:gridCol w:w="2880"/>
        <w:gridCol w:w="2880"/>
        <w:gridCol w:w="2880"/>
      </w:tblGrid>
      <w:tr>
        <w:tc>
          <w:tcPr>
            <w:tcW w:type="dxa" w:w="2653"/>
          </w:tcPr>
          <w:p>
            <w:r>
              <w:rPr>
                <w:b/>
              </w:rPr>
            </w:r>
            <w:r>
              <w:rPr>
                <w:rFonts w:ascii="Times New Roman" w:hAnsi="Times New Roman"/>
                <w:b/>
                <w:sz w:val="18"/>
              </w:rPr>
              <w:t>Yếu tố</w:t>
            </w:r>
          </w:p>
        </w:tc>
        <w:tc>
          <w:tcPr>
            <w:tcW w:type="dxa" w:w="1540"/>
          </w:tcPr>
          <w:p>
            <w:r>
              <w:rPr>
                <w:b/>
              </w:rPr>
            </w:r>
            <w:r>
              <w:rPr>
                <w:rFonts w:ascii="Times New Roman" w:hAnsi="Times New Roman"/>
                <w:b/>
                <w:sz w:val="18"/>
              </w:rPr>
              <w:t>Tên biến</w:t>
            </w:r>
          </w:p>
        </w:tc>
        <w:tc>
          <w:tcPr>
            <w:tcW w:type="dxa" w:w="4878"/>
          </w:tcPr>
          <w:p>
            <w:r>
              <w:rPr>
                <w:b/>
              </w:rPr>
            </w:r>
            <w:r>
              <w:rPr>
                <w:rFonts w:ascii="Times New Roman" w:hAnsi="Times New Roman"/>
                <w:b/>
                <w:sz w:val="18"/>
              </w:rPr>
              <w:t>Gán yếu tố</w:t>
            </w:r>
          </w:p>
        </w:tc>
      </w:tr>
      <w:tr>
        <w:tc>
          <w:tcPr>
            <w:tcW w:type="dxa" w:w="2653"/>
          </w:tcPr>
          <w:p>
            <w:r/>
            <w:r>
              <w:rPr>
                <w:rFonts w:ascii="Times New Roman" w:hAnsi="Times New Roman"/>
                <w:sz w:val="18"/>
              </w:rPr>
            </w:r>
          </w:p>
        </w:tc>
        <w:tc>
          <w:tcPr>
            <w:tcW w:type="dxa" w:w="1540"/>
          </w:tcPr>
          <w:p>
            <w:r/>
            <w:r>
              <w:rPr>
                <w:rFonts w:ascii="Times New Roman" w:hAnsi="Times New Roman"/>
                <w:sz w:val="18"/>
              </w:rPr>
              <w:t>Biến phụ thuộc</w:t>
            </w:r>
          </w:p>
        </w:tc>
        <w:tc>
          <w:tcPr>
            <w:tcW w:type="dxa" w:w="4878"/>
          </w:tcPr>
          <w:p>
            <w:r/>
            <w:r>
              <w:rPr>
                <w:rFonts w:ascii="Times New Roman" w:hAnsi="Times New Roman"/>
                <w:sz w:val="18"/>
              </w:rPr>
            </w:r>
          </w:p>
        </w:tc>
      </w:tr>
      <w:tr>
        <w:tc>
          <w:tcPr>
            <w:tcW w:type="dxa" w:w="2653"/>
          </w:tcPr>
          <w:p>
            <w:r/>
            <w:r>
              <w:rPr>
                <w:rFonts w:ascii="Times New Roman" w:hAnsi="Times New Roman"/>
                <w:sz w:val="18"/>
              </w:rPr>
              <w:t>Lo âu</w:t>
            </w:r>
          </w:p>
        </w:tc>
        <w:tc>
          <w:tcPr>
            <w:tcW w:type="dxa" w:w="1540"/>
          </w:tcPr>
          <w:p>
            <w:r/>
            <w:r>
              <w:rPr>
                <w:rFonts w:ascii="Times New Roman" w:hAnsi="Times New Roman"/>
                <w:sz w:val="18"/>
              </w:rPr>
              <w:t>Y₁, Y₂</w:t>
            </w:r>
          </w:p>
        </w:tc>
        <w:tc>
          <w:tcPr>
            <w:tcW w:type="dxa" w:w="4878"/>
          </w:tcPr>
          <w:p>
            <w:r/>
            <w:r>
              <w:rPr>
                <w:rFonts w:ascii="Times New Roman" w:hAnsi="Times New Roman"/>
                <w:sz w:val="18"/>
              </w:rPr>
              <w:t>Lo âu nhẹ (tham chiếu): Y₁ = 0, Y₂ = 0</w:t>
            </w:r>
          </w:p>
        </w:tc>
      </w:tr>
      <w:tr>
        <w:tc>
          <w:tcPr>
            <w:tcW w:type="dxa" w:w="2653"/>
          </w:tcPr>
          <w:p>
            <w:r/>
            <w:r>
              <w:rPr>
                <w:rFonts w:ascii="Times New Roman" w:hAnsi="Times New Roman"/>
                <w:sz w:val="18"/>
              </w:rPr>
            </w:r>
          </w:p>
        </w:tc>
        <w:tc>
          <w:tcPr>
            <w:tcW w:type="dxa" w:w="1540"/>
          </w:tcPr>
          <w:p>
            <w:r/>
            <w:r>
              <w:rPr>
                <w:rFonts w:ascii="Times New Roman" w:hAnsi="Times New Roman"/>
                <w:sz w:val="18"/>
              </w:rPr>
            </w:r>
          </w:p>
        </w:tc>
        <w:tc>
          <w:tcPr>
            <w:tcW w:type="dxa" w:w="4878"/>
          </w:tcPr>
          <w:p>
            <w:r/>
            <w:r>
              <w:rPr>
                <w:rFonts w:ascii="Times New Roman" w:hAnsi="Times New Roman"/>
                <w:sz w:val="18"/>
              </w:rPr>
              <w:t>Lo âu trung bình: Y₁ = 1, Y₂ = 0</w:t>
            </w:r>
          </w:p>
        </w:tc>
      </w:tr>
      <w:tr>
        <w:tc>
          <w:tcPr>
            <w:tcW w:type="dxa" w:w="2653"/>
          </w:tcPr>
          <w:p>
            <w:r/>
            <w:r>
              <w:rPr>
                <w:rFonts w:ascii="Times New Roman" w:hAnsi="Times New Roman"/>
                <w:sz w:val="18"/>
              </w:rPr>
            </w:r>
          </w:p>
        </w:tc>
        <w:tc>
          <w:tcPr>
            <w:tcW w:type="dxa" w:w="1540"/>
          </w:tcPr>
          <w:p>
            <w:r/>
            <w:r>
              <w:rPr>
                <w:rFonts w:ascii="Times New Roman" w:hAnsi="Times New Roman"/>
                <w:sz w:val="18"/>
              </w:rPr>
            </w:r>
          </w:p>
        </w:tc>
        <w:tc>
          <w:tcPr>
            <w:tcW w:type="dxa" w:w="4878"/>
          </w:tcPr>
          <w:p>
            <w:r/>
            <w:r>
              <w:rPr>
                <w:rFonts w:ascii="Times New Roman" w:hAnsi="Times New Roman"/>
                <w:sz w:val="18"/>
              </w:rPr>
              <w:t>Lo âu nặng: Y₁ = 0, Y₂ = 1</w:t>
            </w:r>
          </w:p>
        </w:tc>
      </w:tr>
      <w:tr>
        <w:tc>
          <w:tcPr>
            <w:tcW w:type="dxa" w:w="2653"/>
          </w:tcPr>
          <w:p>
            <w:r/>
            <w:r>
              <w:rPr>
                <w:rFonts w:ascii="Times New Roman" w:hAnsi="Times New Roman"/>
                <w:sz w:val="18"/>
              </w:rPr>
            </w:r>
          </w:p>
        </w:tc>
        <w:tc>
          <w:tcPr>
            <w:tcW w:type="dxa" w:w="1540"/>
          </w:tcPr>
          <w:p>
            <w:r/>
            <w:r>
              <w:rPr>
                <w:rFonts w:ascii="Times New Roman" w:hAnsi="Times New Roman"/>
                <w:sz w:val="18"/>
              </w:rPr>
              <w:t>Biến độc lập</w:t>
            </w:r>
          </w:p>
        </w:tc>
        <w:tc>
          <w:tcPr>
            <w:tcW w:type="dxa" w:w="4878"/>
          </w:tcPr>
          <w:p>
            <w:r/>
            <w:r>
              <w:rPr>
                <w:rFonts w:ascii="Times New Roman" w:hAnsi="Times New Roman"/>
                <w:sz w:val="18"/>
              </w:rPr>
            </w:r>
          </w:p>
        </w:tc>
      </w:tr>
      <w:tr>
        <w:tc>
          <w:tcPr>
            <w:tcW w:type="dxa" w:w="2653"/>
          </w:tcPr>
          <w:p>
            <w:r/>
            <w:r>
              <w:rPr>
                <w:rFonts w:ascii="Times New Roman" w:hAnsi="Times New Roman"/>
                <w:sz w:val="18"/>
              </w:rPr>
              <w:t>Giới tính</w:t>
            </w:r>
          </w:p>
        </w:tc>
        <w:tc>
          <w:tcPr>
            <w:tcW w:type="dxa" w:w="1540"/>
          </w:tcPr>
          <w:p>
            <w:r/>
            <w:r>
              <w:rPr>
                <w:rFonts w:ascii="Times New Roman" w:hAnsi="Times New Roman"/>
                <w:sz w:val="18"/>
              </w:rPr>
              <w:t>X₁</w:t>
            </w:r>
          </w:p>
        </w:tc>
        <w:tc>
          <w:tcPr>
            <w:tcW w:type="dxa" w:w="4878"/>
          </w:tcPr>
          <w:p>
            <w:r/>
            <w:r>
              <w:rPr>
                <w:rFonts w:ascii="Times New Roman" w:hAnsi="Times New Roman"/>
                <w:sz w:val="18"/>
              </w:rPr>
              <w:t>0 = Nữ (tham chiếu); 1 = Nam</w:t>
            </w:r>
          </w:p>
        </w:tc>
      </w:tr>
      <w:tr>
        <w:tc>
          <w:tcPr>
            <w:tcW w:type="dxa" w:w="2653"/>
          </w:tcPr>
          <w:p>
            <w:r/>
            <w:r>
              <w:rPr>
                <w:rFonts w:ascii="Times New Roman" w:hAnsi="Times New Roman"/>
                <w:sz w:val="18"/>
              </w:rPr>
              <w:t>Tuổi</w:t>
            </w:r>
          </w:p>
        </w:tc>
        <w:tc>
          <w:tcPr>
            <w:tcW w:type="dxa" w:w="1540"/>
          </w:tcPr>
          <w:p>
            <w:r/>
            <w:r>
              <w:rPr>
                <w:rFonts w:ascii="Times New Roman" w:hAnsi="Times New Roman"/>
                <w:sz w:val="18"/>
              </w:rPr>
              <w:t>X₂, X₃, X₄, X₅</w:t>
            </w:r>
          </w:p>
        </w:tc>
        <w:tc>
          <w:tcPr>
            <w:tcW w:type="dxa" w:w="4878"/>
          </w:tcPr>
          <w:p>
            <w:r/>
            <w:r>
              <w:rPr>
                <w:rFonts w:ascii="Times New Roman" w:hAnsi="Times New Roman"/>
                <w:sz w:val="18"/>
              </w:rPr>
              <w:t>12 (tham chiếu): X₂ = 0, X₃ = 0, X₄ = 0, X₅ = 0</w:t>
            </w:r>
          </w:p>
        </w:tc>
      </w:tr>
      <w:tr>
        <w:tc>
          <w:tcPr>
            <w:tcW w:type="dxa" w:w="2653"/>
          </w:tcPr>
          <w:p>
            <w:r/>
            <w:r>
              <w:rPr>
                <w:rFonts w:ascii="Times New Roman" w:hAnsi="Times New Roman"/>
                <w:sz w:val="18"/>
              </w:rPr>
            </w:r>
          </w:p>
        </w:tc>
        <w:tc>
          <w:tcPr>
            <w:tcW w:type="dxa" w:w="1540"/>
          </w:tcPr>
          <w:p>
            <w:r/>
            <w:r>
              <w:rPr>
                <w:rFonts w:ascii="Times New Roman" w:hAnsi="Times New Roman"/>
                <w:sz w:val="18"/>
              </w:rPr>
            </w:r>
          </w:p>
        </w:tc>
        <w:tc>
          <w:tcPr>
            <w:tcW w:type="dxa" w:w="4878"/>
          </w:tcPr>
          <w:p>
            <w:r/>
            <w:r>
              <w:rPr>
                <w:rFonts w:ascii="Times New Roman" w:hAnsi="Times New Roman"/>
                <w:sz w:val="18"/>
              </w:rPr>
              <w:t>13: X₂ = 1, X₃ = 0, X₄ = 0, X₅ = 0</w:t>
            </w:r>
          </w:p>
        </w:tc>
      </w:tr>
      <w:tr>
        <w:tc>
          <w:tcPr>
            <w:tcW w:type="dxa" w:w="2653"/>
          </w:tcPr>
          <w:p>
            <w:r/>
            <w:r>
              <w:rPr>
                <w:rFonts w:ascii="Times New Roman" w:hAnsi="Times New Roman"/>
                <w:sz w:val="18"/>
              </w:rPr>
            </w:r>
          </w:p>
        </w:tc>
        <w:tc>
          <w:tcPr>
            <w:tcW w:type="dxa" w:w="1540"/>
          </w:tcPr>
          <w:p>
            <w:r/>
            <w:r>
              <w:rPr>
                <w:rFonts w:ascii="Times New Roman" w:hAnsi="Times New Roman"/>
                <w:sz w:val="18"/>
              </w:rPr>
            </w:r>
          </w:p>
        </w:tc>
        <w:tc>
          <w:tcPr>
            <w:tcW w:type="dxa" w:w="4878"/>
          </w:tcPr>
          <w:p>
            <w:r/>
            <w:r>
              <w:rPr>
                <w:rFonts w:ascii="Times New Roman" w:hAnsi="Times New Roman"/>
                <w:sz w:val="18"/>
              </w:rPr>
              <w:t>14: X₂ = 0, X₃ = 1, X₄ = 0, X₅ = 0</w:t>
            </w:r>
          </w:p>
        </w:tc>
      </w:tr>
      <w:tr>
        <w:tc>
          <w:tcPr>
            <w:tcW w:type="dxa" w:w="2653"/>
          </w:tcPr>
          <w:p>
            <w:r/>
            <w:r>
              <w:rPr>
                <w:rFonts w:ascii="Times New Roman" w:hAnsi="Times New Roman"/>
                <w:sz w:val="18"/>
              </w:rPr>
            </w:r>
          </w:p>
        </w:tc>
        <w:tc>
          <w:tcPr>
            <w:tcW w:type="dxa" w:w="1540"/>
          </w:tcPr>
          <w:p>
            <w:r/>
            <w:r>
              <w:rPr>
                <w:rFonts w:ascii="Times New Roman" w:hAnsi="Times New Roman"/>
                <w:sz w:val="18"/>
              </w:rPr>
            </w:r>
          </w:p>
        </w:tc>
        <w:tc>
          <w:tcPr>
            <w:tcW w:type="dxa" w:w="4878"/>
          </w:tcPr>
          <w:p>
            <w:r/>
            <w:r>
              <w:rPr>
                <w:rFonts w:ascii="Times New Roman" w:hAnsi="Times New Roman"/>
                <w:sz w:val="18"/>
              </w:rPr>
              <w:t>15: X₂ = 0, X₃ = 0, X₄ = 1, X₅ = 0</w:t>
            </w:r>
          </w:p>
        </w:tc>
      </w:tr>
      <w:tr>
        <w:tc>
          <w:tcPr>
            <w:tcW w:type="dxa" w:w="2653"/>
          </w:tcPr>
          <w:p>
            <w:r/>
            <w:r>
              <w:rPr>
                <w:rFonts w:ascii="Times New Roman" w:hAnsi="Times New Roman"/>
                <w:sz w:val="18"/>
              </w:rPr>
            </w:r>
          </w:p>
        </w:tc>
        <w:tc>
          <w:tcPr>
            <w:tcW w:type="dxa" w:w="1540"/>
          </w:tcPr>
          <w:p>
            <w:r/>
            <w:r>
              <w:rPr>
                <w:rFonts w:ascii="Times New Roman" w:hAnsi="Times New Roman"/>
                <w:sz w:val="18"/>
              </w:rPr>
            </w:r>
          </w:p>
        </w:tc>
        <w:tc>
          <w:tcPr>
            <w:tcW w:type="dxa" w:w="4878"/>
          </w:tcPr>
          <w:p>
            <w:r/>
            <w:r>
              <w:rPr>
                <w:rFonts w:ascii="Times New Roman" w:hAnsi="Times New Roman"/>
                <w:sz w:val="18"/>
              </w:rPr>
              <w:t>16: X₂ = 0, X₃ = 0, X₄ = 0, X₅ = 1</w:t>
            </w:r>
          </w:p>
        </w:tc>
      </w:tr>
      <w:tr>
        <w:tc>
          <w:tcPr>
            <w:tcW w:type="dxa" w:w="2653"/>
          </w:tcPr>
          <w:p>
            <w:r/>
            <w:r>
              <w:rPr>
                <w:rFonts w:ascii="Times New Roman" w:hAnsi="Times New Roman"/>
                <w:sz w:val="18"/>
              </w:rPr>
              <w:t>Trẻ em bị bỏ lại (LBC)</w:t>
            </w:r>
          </w:p>
        </w:tc>
        <w:tc>
          <w:tcPr>
            <w:tcW w:type="dxa" w:w="1540"/>
          </w:tcPr>
          <w:p>
            <w:r/>
            <w:r>
              <w:rPr>
                <w:rFonts w:ascii="Times New Roman" w:hAnsi="Times New Roman"/>
                <w:sz w:val="18"/>
              </w:rPr>
              <w:t>X₆</w:t>
            </w:r>
          </w:p>
        </w:tc>
        <w:tc>
          <w:tcPr>
            <w:tcW w:type="dxa" w:w="4878"/>
          </w:tcPr>
          <w:p>
            <w:r/>
            <w:r>
              <w:rPr>
                <w:rFonts w:ascii="Times New Roman" w:hAnsi="Times New Roman"/>
                <w:sz w:val="18"/>
              </w:rPr>
              <w:t>0 = Không (tham chiếu); 1 = Có</w:t>
            </w:r>
          </w:p>
        </w:tc>
      </w:tr>
      <w:tr>
        <w:tc>
          <w:tcPr>
            <w:tcW w:type="dxa" w:w="2653"/>
          </w:tcPr>
          <w:p>
            <w:r/>
            <w:r>
              <w:rPr>
                <w:rFonts w:ascii="Times New Roman" w:hAnsi="Times New Roman"/>
                <w:sz w:val="18"/>
              </w:rPr>
              <w:t>Khóa giáo dục sức khỏe</w:t>
            </w:r>
          </w:p>
        </w:tc>
        <w:tc>
          <w:tcPr>
            <w:tcW w:type="dxa" w:w="1540"/>
          </w:tcPr>
          <w:p>
            <w:r/>
            <w:r>
              <w:rPr>
                <w:rFonts w:ascii="Times New Roman" w:hAnsi="Times New Roman"/>
                <w:sz w:val="18"/>
              </w:rPr>
              <w:t>X₇</w:t>
            </w:r>
          </w:p>
        </w:tc>
        <w:tc>
          <w:tcPr>
            <w:tcW w:type="dxa" w:w="4878"/>
          </w:tcPr>
          <w:p>
            <w:r/>
            <w:r>
              <w:rPr>
                <w:rFonts w:ascii="Times New Roman" w:hAnsi="Times New Roman"/>
                <w:sz w:val="18"/>
              </w:rPr>
              <w:t>0 = Không (tham chiếu); 1 = Có</w:t>
            </w:r>
          </w:p>
        </w:tc>
      </w:tr>
      <w:tr>
        <w:tc>
          <w:tcPr>
            <w:tcW w:type="dxa" w:w="2653"/>
          </w:tcPr>
          <w:p>
            <w:r/>
            <w:r>
              <w:rPr>
                <w:rFonts w:ascii="Times New Roman" w:hAnsi="Times New Roman"/>
                <w:sz w:val="18"/>
              </w:rPr>
              <w:t>Công tác SKTT tại trường đầy đủ</w:t>
            </w:r>
          </w:p>
        </w:tc>
        <w:tc>
          <w:tcPr>
            <w:tcW w:type="dxa" w:w="1540"/>
          </w:tcPr>
          <w:p>
            <w:r/>
            <w:r>
              <w:rPr>
                <w:rFonts w:ascii="Times New Roman" w:hAnsi="Times New Roman"/>
                <w:sz w:val="18"/>
              </w:rPr>
              <w:t>X₈, X₉</w:t>
            </w:r>
          </w:p>
        </w:tc>
        <w:tc>
          <w:tcPr>
            <w:tcW w:type="dxa" w:w="4878"/>
          </w:tcPr>
          <w:p>
            <w:r/>
            <w:r>
              <w:rPr>
                <w:rFonts w:ascii="Times New Roman" w:hAnsi="Times New Roman"/>
                <w:sz w:val="18"/>
              </w:rPr>
              <w:t>Không chắc chắn (tham chiếu): X₈ = 0, X₉ = 0</w:t>
            </w:r>
          </w:p>
        </w:tc>
      </w:tr>
      <w:tr>
        <w:tc>
          <w:tcPr>
            <w:tcW w:type="dxa" w:w="2653"/>
          </w:tcPr>
          <w:p>
            <w:r/>
            <w:r>
              <w:rPr>
                <w:rFonts w:ascii="Times New Roman" w:hAnsi="Times New Roman"/>
                <w:sz w:val="18"/>
              </w:rPr>
            </w:r>
          </w:p>
        </w:tc>
        <w:tc>
          <w:tcPr>
            <w:tcW w:type="dxa" w:w="1540"/>
          </w:tcPr>
          <w:p>
            <w:r/>
            <w:r>
              <w:rPr>
                <w:rFonts w:ascii="Times New Roman" w:hAnsi="Times New Roman"/>
                <w:sz w:val="18"/>
              </w:rPr>
            </w:r>
          </w:p>
        </w:tc>
        <w:tc>
          <w:tcPr>
            <w:tcW w:type="dxa" w:w="4878"/>
          </w:tcPr>
          <w:p>
            <w:r/>
            <w:r>
              <w:rPr>
                <w:rFonts w:ascii="Times New Roman" w:hAnsi="Times New Roman"/>
                <w:sz w:val="18"/>
              </w:rPr>
              <w:t>Có: X₈ = 1, X₉ = 0</w:t>
            </w:r>
          </w:p>
        </w:tc>
      </w:tr>
      <w:tr>
        <w:tc>
          <w:tcPr>
            <w:tcW w:type="dxa" w:w="2653"/>
          </w:tcPr>
          <w:p>
            <w:r/>
            <w:r>
              <w:rPr>
                <w:rFonts w:ascii="Times New Roman" w:hAnsi="Times New Roman"/>
                <w:sz w:val="18"/>
              </w:rPr>
            </w:r>
          </w:p>
        </w:tc>
        <w:tc>
          <w:tcPr>
            <w:tcW w:type="dxa" w:w="1540"/>
          </w:tcPr>
          <w:p>
            <w:r/>
            <w:r>
              <w:rPr>
                <w:rFonts w:ascii="Times New Roman" w:hAnsi="Times New Roman"/>
                <w:sz w:val="18"/>
              </w:rPr>
            </w:r>
          </w:p>
        </w:tc>
        <w:tc>
          <w:tcPr>
            <w:tcW w:type="dxa" w:w="4878"/>
          </w:tcPr>
          <w:p>
            <w:r/>
            <w:r>
              <w:rPr>
                <w:rFonts w:ascii="Times New Roman" w:hAnsi="Times New Roman"/>
                <w:sz w:val="18"/>
              </w:rPr>
              <w:t>Không: X₈ = 0, X₉ = 1</w:t>
            </w:r>
          </w:p>
        </w:tc>
      </w:tr>
      <w:tr>
        <w:tc>
          <w:tcPr>
            <w:tcW w:type="dxa" w:w="2653"/>
          </w:tcPr>
          <w:p>
            <w:r/>
            <w:r>
              <w:rPr>
                <w:rFonts w:ascii="Times New Roman" w:hAnsi="Times New Roman"/>
                <w:sz w:val="18"/>
              </w:rPr>
              <w:t>Tự đánh giá thành tích học tập</w:t>
            </w:r>
          </w:p>
        </w:tc>
        <w:tc>
          <w:tcPr>
            <w:tcW w:type="dxa" w:w="1540"/>
          </w:tcPr>
          <w:p>
            <w:r/>
            <w:r>
              <w:rPr>
                <w:rFonts w:ascii="Times New Roman" w:hAnsi="Times New Roman"/>
                <w:sz w:val="18"/>
              </w:rPr>
              <w:t>X₁₀, X₁₁, X₁₂</w:t>
            </w:r>
          </w:p>
        </w:tc>
        <w:tc>
          <w:tcPr>
            <w:tcW w:type="dxa" w:w="4878"/>
          </w:tcPr>
          <w:p>
            <w:r/>
            <w:r>
              <w:rPr>
                <w:rFonts w:ascii="Times New Roman" w:hAnsi="Times New Roman"/>
                <w:sz w:val="18"/>
              </w:rPr>
              <w:t>Không đạt (tham chiếu): X₁₀ = 0, X₁₁ = 0, X₁₂ = 0</w:t>
            </w:r>
          </w:p>
        </w:tc>
      </w:tr>
      <w:tr>
        <w:tc>
          <w:tcPr>
            <w:tcW w:type="dxa" w:w="2653"/>
          </w:tcPr>
          <w:p>
            <w:r/>
            <w:r>
              <w:rPr>
                <w:rFonts w:ascii="Times New Roman" w:hAnsi="Times New Roman"/>
                <w:sz w:val="18"/>
              </w:rPr>
            </w:r>
          </w:p>
        </w:tc>
        <w:tc>
          <w:tcPr>
            <w:tcW w:type="dxa" w:w="1540"/>
          </w:tcPr>
          <w:p>
            <w:r/>
            <w:r>
              <w:rPr>
                <w:rFonts w:ascii="Times New Roman" w:hAnsi="Times New Roman"/>
                <w:sz w:val="18"/>
              </w:rPr>
            </w:r>
          </w:p>
        </w:tc>
        <w:tc>
          <w:tcPr>
            <w:tcW w:type="dxa" w:w="4878"/>
          </w:tcPr>
          <w:p>
            <w:r/>
            <w:r>
              <w:rPr>
                <w:rFonts w:ascii="Times New Roman" w:hAnsi="Times New Roman"/>
                <w:sz w:val="18"/>
              </w:rPr>
              <w:t>Xuất sắc: X₁₀ = 1, X₁₁ = 0, X₁₂ = 0</w:t>
            </w:r>
          </w:p>
        </w:tc>
      </w:tr>
      <w:tr>
        <w:tc>
          <w:tcPr>
            <w:tcW w:type="dxa" w:w="2653"/>
          </w:tcPr>
          <w:p>
            <w:r/>
            <w:r>
              <w:rPr>
                <w:rFonts w:ascii="Times New Roman" w:hAnsi="Times New Roman"/>
                <w:sz w:val="18"/>
              </w:rPr>
            </w:r>
          </w:p>
        </w:tc>
        <w:tc>
          <w:tcPr>
            <w:tcW w:type="dxa" w:w="1540"/>
          </w:tcPr>
          <w:p>
            <w:r/>
            <w:r>
              <w:rPr>
                <w:rFonts w:ascii="Times New Roman" w:hAnsi="Times New Roman"/>
                <w:sz w:val="18"/>
              </w:rPr>
            </w:r>
          </w:p>
        </w:tc>
        <w:tc>
          <w:tcPr>
            <w:tcW w:type="dxa" w:w="4878"/>
          </w:tcPr>
          <w:p>
            <w:r/>
            <w:r>
              <w:rPr>
                <w:rFonts w:ascii="Times New Roman" w:hAnsi="Times New Roman"/>
                <w:sz w:val="18"/>
              </w:rPr>
              <w:t>Tốt: X₁₀ = 0, X₁₁ = 1, X₁₂ = 0</w:t>
            </w:r>
          </w:p>
        </w:tc>
      </w:tr>
      <w:tr>
        <w:tc>
          <w:tcPr>
            <w:tcW w:type="dxa" w:w="2653"/>
          </w:tcPr>
          <w:p>
            <w:r/>
            <w:r>
              <w:rPr>
                <w:rFonts w:ascii="Times New Roman" w:hAnsi="Times New Roman"/>
                <w:sz w:val="18"/>
              </w:rPr>
            </w:r>
          </w:p>
        </w:tc>
        <w:tc>
          <w:tcPr>
            <w:tcW w:type="dxa" w:w="1540"/>
          </w:tcPr>
          <w:p>
            <w:r/>
            <w:r>
              <w:rPr>
                <w:rFonts w:ascii="Times New Roman" w:hAnsi="Times New Roman"/>
                <w:sz w:val="18"/>
              </w:rPr>
            </w:r>
          </w:p>
        </w:tc>
        <w:tc>
          <w:tcPr>
            <w:tcW w:type="dxa" w:w="4878"/>
          </w:tcPr>
          <w:p>
            <w:r/>
            <w:r>
              <w:rPr>
                <w:rFonts w:ascii="Times New Roman" w:hAnsi="Times New Roman"/>
                <w:sz w:val="18"/>
              </w:rPr>
              <w:t>Đạt: X₁₀ = 0, X₁₁ = 0, X₁₂ = 1</w:t>
            </w:r>
          </w:p>
        </w:tc>
      </w:tr>
      <w:tr>
        <w:tc>
          <w:tcPr>
            <w:tcW w:type="dxa" w:w="2653"/>
          </w:tcPr>
          <w:p>
            <w:r/>
            <w:r>
              <w:rPr>
                <w:rFonts w:ascii="Times New Roman" w:hAnsi="Times New Roman"/>
                <w:sz w:val="18"/>
              </w:rPr>
              <w:t>Tự đánh giá áp lực học tập</w:t>
            </w:r>
          </w:p>
        </w:tc>
        <w:tc>
          <w:tcPr>
            <w:tcW w:type="dxa" w:w="1540"/>
          </w:tcPr>
          <w:p>
            <w:r/>
            <w:r>
              <w:rPr>
                <w:rFonts w:ascii="Times New Roman" w:hAnsi="Times New Roman"/>
                <w:sz w:val="18"/>
              </w:rPr>
              <w:t>X₁₃, X₁₄, X₁₅, X₁₆</w:t>
            </w:r>
          </w:p>
        </w:tc>
        <w:tc>
          <w:tcPr>
            <w:tcW w:type="dxa" w:w="4878"/>
          </w:tcPr>
          <w:p>
            <w:r/>
            <w:r>
              <w:rPr>
                <w:rFonts w:ascii="Times New Roman" w:hAnsi="Times New Roman"/>
                <w:sz w:val="18"/>
              </w:rPr>
              <w:t>Rất thấp (tham chiếu): X₁₃ = 0, X₁₄ = 0, X₁₅ = 0, X₁₆ = 0</w:t>
            </w:r>
          </w:p>
        </w:tc>
      </w:tr>
      <w:tr>
        <w:tc>
          <w:tcPr>
            <w:tcW w:type="dxa" w:w="2653"/>
          </w:tcPr>
          <w:p>
            <w:r/>
            <w:r>
              <w:rPr>
                <w:rFonts w:ascii="Times New Roman" w:hAnsi="Times New Roman"/>
                <w:sz w:val="18"/>
              </w:rPr>
            </w:r>
          </w:p>
        </w:tc>
        <w:tc>
          <w:tcPr>
            <w:tcW w:type="dxa" w:w="1540"/>
          </w:tcPr>
          <w:p>
            <w:r/>
            <w:r>
              <w:rPr>
                <w:rFonts w:ascii="Times New Roman" w:hAnsi="Times New Roman"/>
                <w:sz w:val="18"/>
              </w:rPr>
            </w:r>
          </w:p>
        </w:tc>
        <w:tc>
          <w:tcPr>
            <w:tcW w:type="dxa" w:w="4878"/>
          </w:tcPr>
          <w:p>
            <w:r/>
            <w:r>
              <w:rPr>
                <w:rFonts w:ascii="Times New Roman" w:hAnsi="Times New Roman"/>
                <w:sz w:val="18"/>
              </w:rPr>
              <w:t>Rất cao: X₁₃ = 1, X₁₄ = 0, X₁₅ = 0, X₁₆ = 0</w:t>
            </w:r>
          </w:p>
        </w:tc>
      </w:tr>
      <w:tr>
        <w:tc>
          <w:tcPr>
            <w:tcW w:type="dxa" w:w="2653"/>
          </w:tcPr>
          <w:p>
            <w:r/>
            <w:r>
              <w:rPr>
                <w:rFonts w:ascii="Times New Roman" w:hAnsi="Times New Roman"/>
                <w:sz w:val="18"/>
              </w:rPr>
            </w:r>
          </w:p>
        </w:tc>
        <w:tc>
          <w:tcPr>
            <w:tcW w:type="dxa" w:w="1540"/>
          </w:tcPr>
          <w:p>
            <w:r/>
            <w:r>
              <w:rPr>
                <w:rFonts w:ascii="Times New Roman" w:hAnsi="Times New Roman"/>
                <w:sz w:val="18"/>
              </w:rPr>
            </w:r>
          </w:p>
        </w:tc>
        <w:tc>
          <w:tcPr>
            <w:tcW w:type="dxa" w:w="4878"/>
          </w:tcPr>
          <w:p>
            <w:r/>
            <w:r>
              <w:rPr>
                <w:rFonts w:ascii="Times New Roman" w:hAnsi="Times New Roman"/>
                <w:sz w:val="18"/>
              </w:rPr>
              <w:t>Cao: X₁₃ = 0, X₁₄ = 1, X₁₅ = 0, X₁₆ = 0</w:t>
            </w:r>
          </w:p>
        </w:tc>
      </w:tr>
      <w:tr>
        <w:tc>
          <w:tcPr>
            <w:tcW w:type="dxa" w:w="2653"/>
          </w:tcPr>
          <w:p>
            <w:r/>
            <w:r>
              <w:rPr>
                <w:rFonts w:ascii="Times New Roman" w:hAnsi="Times New Roman"/>
                <w:sz w:val="18"/>
              </w:rPr>
            </w:r>
          </w:p>
        </w:tc>
        <w:tc>
          <w:tcPr>
            <w:tcW w:type="dxa" w:w="1540"/>
          </w:tcPr>
          <w:p>
            <w:r/>
            <w:r>
              <w:rPr>
                <w:rFonts w:ascii="Times New Roman" w:hAnsi="Times New Roman"/>
                <w:sz w:val="18"/>
              </w:rPr>
            </w:r>
          </w:p>
        </w:tc>
        <w:tc>
          <w:tcPr>
            <w:tcW w:type="dxa" w:w="4878"/>
          </w:tcPr>
          <w:p>
            <w:r/>
            <w:r>
              <w:rPr>
                <w:rFonts w:ascii="Times New Roman" w:hAnsi="Times New Roman"/>
                <w:sz w:val="18"/>
              </w:rPr>
              <w:t>Bình thường: X₁₃ = 0, X₁₄ = 0, X₁₅ = 1, X₁₆ = 0</w:t>
            </w:r>
          </w:p>
        </w:tc>
      </w:tr>
      <w:tr>
        <w:tc>
          <w:tcPr>
            <w:tcW w:type="dxa" w:w="2653"/>
          </w:tcPr>
          <w:p>
            <w:r/>
            <w:r>
              <w:rPr>
                <w:rFonts w:ascii="Times New Roman" w:hAnsi="Times New Roman"/>
                <w:sz w:val="18"/>
              </w:rPr>
            </w:r>
          </w:p>
        </w:tc>
        <w:tc>
          <w:tcPr>
            <w:tcW w:type="dxa" w:w="1540"/>
          </w:tcPr>
          <w:p>
            <w:r/>
            <w:r>
              <w:rPr>
                <w:rFonts w:ascii="Times New Roman" w:hAnsi="Times New Roman"/>
                <w:sz w:val="18"/>
              </w:rPr>
            </w:r>
          </w:p>
        </w:tc>
        <w:tc>
          <w:tcPr>
            <w:tcW w:type="dxa" w:w="4878"/>
          </w:tcPr>
          <w:p>
            <w:r/>
            <w:r>
              <w:rPr>
                <w:rFonts w:ascii="Times New Roman" w:hAnsi="Times New Roman"/>
                <w:sz w:val="18"/>
              </w:rPr>
              <w:t>Thấp: X₁₃ = 0, X₁₄ = 0, X₁₅ = 0, X₁₆ = 1</w:t>
            </w:r>
          </w:p>
        </w:tc>
      </w:tr>
    </w:tbl>
    <w:p/>
    <w:p>
      <w:r>
        <w:rPr>
          <w:sz w:val="24"/>
        </w:rPr>
        <w:t>Các biến độc lập được đưa vào phương trình để phân tích, và tỷ số chênh (</w:t>
      </w:r>
      <w:r>
        <w:rPr>
          <w:sz w:val="24"/>
        </w:rPr>
        <w:t>OR</w:t>
      </w:r>
      <w:r>
        <w:rPr>
          <w:sz w:val="24"/>
        </w:rPr>
        <w:t>) của mỗi biến độc lập được tính toán. Phân tích hồi quy logistic về lo âu của học sinh trung học cơ sở tại vùng nông thôn tỉnh Giang Tây cho thấy xác suất lo âu trung bình ở nam thấp hơn (</w:t>
      </w:r>
      <w:r>
        <w:rPr>
          <w:sz w:val="24"/>
        </w:rPr>
        <w:t>OR</w:t>
      </w:r>
      <w:r>
        <w:rPr>
          <w:sz w:val="24"/>
        </w:rPr>
        <w:t xml:space="preserve"> = 0,649, *p* &lt; 0,05) so với nữ, và nguy cơ lo âu nặng ở nam cũng thấp hơn (</w:t>
      </w:r>
      <w:r>
        <w:rPr>
          <w:sz w:val="24"/>
        </w:rPr>
        <w:t>OR</w:t>
      </w:r>
      <w:r>
        <w:rPr>
          <w:sz w:val="24"/>
        </w:rPr>
        <w:t xml:space="preserve"> = 0,262, *p* &lt; 0,05) so với nữ. Phân tích hồi quy logistic về lo âu cho thấy xác suất lo âu nặng của học sinh trung học cơ sở thấp hơn (</w:t>
      </w:r>
      <w:r>
        <w:rPr>
          <w:sz w:val="24"/>
        </w:rPr>
        <w:t>OR</w:t>
      </w:r>
      <w:r>
        <w:rPr>
          <w:sz w:val="24"/>
        </w:rPr>
        <w:t xml:space="preserve"> = 0,562, *p* &lt; 0,05) nếu công tác sức khỏe tâm thần tại trường đầy đủ. Phân tích hồi quy logistic về lo âu cho thấy xác suất lo âu trung bình của học sinh trung học cơ sở có tự đánh giá thành tích học tập xuất sắc thấp hơn (</w:t>
      </w:r>
      <w:r>
        <w:rPr>
          <w:sz w:val="24"/>
        </w:rPr>
        <w:t>OR</w:t>
      </w:r>
      <w:r>
        <w:rPr>
          <w:sz w:val="24"/>
        </w:rPr>
        <w:t xml:space="preserve"> = 0,377, *p* &lt; 0,05). Học sinh trung học cơ sở có tự đánh giá áp lực học tập rất cao có nhiều khả năng mắc lo âu trung bình (</w:t>
      </w:r>
      <w:r>
        <w:rPr>
          <w:sz w:val="24"/>
        </w:rPr>
        <w:t>OR</w:t>
      </w:r>
      <w:r>
        <w:rPr>
          <w:sz w:val="24"/>
        </w:rPr>
        <w:t xml:space="preserve"> = 6,523, *p* &lt; 0,05) và lo âu nặng (</w:t>
      </w:r>
      <w:r>
        <w:rPr>
          <w:sz w:val="24"/>
        </w:rPr>
        <w:t>OR</w:t>
      </w:r>
      <w:r>
        <w:rPr>
          <w:sz w:val="24"/>
        </w:rPr>
        <w:t xml:space="preserve"> = 11,579, *p* &lt; 0,05). Học sinh trung học cơ sở có tự đánh giá áp lực học tập cao có nhiều khả năng mắc lo âu trung bình (</w:t>
      </w:r>
      <w:r>
        <w:rPr>
          <w:sz w:val="24"/>
        </w:rPr>
        <w:t>OR</w:t>
      </w:r>
      <w:r>
        <w:rPr>
          <w:sz w:val="24"/>
        </w:rPr>
        <w:t xml:space="preserve"> = 6,122, *p* &lt; 0,05) và lo âu nặng (</w:t>
      </w:r>
      <w:r>
        <w:rPr>
          <w:sz w:val="24"/>
        </w:rPr>
        <w:t>OR</w:t>
      </w:r>
      <w:r>
        <w:rPr>
          <w:sz w:val="24"/>
        </w:rPr>
        <w:t xml:space="preserve"> = 5,894, *p* &lt; 0,05). Bảng 4 trình bày kết quả phân tích hồi quy logistic.</w:t>
      </w:r>
    </w:p>
    <w:p>
      <w:r>
        <w:rPr>
          <w:b/>
          <w:sz w:val="24"/>
        </w:rPr>
        <w:t>Bảng 4.</w:t>
      </w:r>
      <w:r>
        <w:rPr>
          <w:sz w:val="24"/>
        </w:rPr>
        <w:t xml:space="preserve"> Phân tích đa yếu tố về lo âu của học sinh trung học cơ sở tại vùng nông thôn tỉnh Giang Tây bằng hồi quy logistic.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488"/>
          </w:tcPr>
          <w:p>
            <w:r>
              <w:rPr>
                <w:b/>
              </w:rPr>
            </w:r>
            <w:r>
              <w:rPr>
                <w:rFonts w:ascii="Times New Roman" w:hAnsi="Times New Roman"/>
                <w:b/>
                <w:sz w:val="18"/>
              </w:rPr>
              <w:t>Biến</w:t>
            </w:r>
          </w:p>
        </w:tc>
        <w:tc>
          <w:tcPr>
            <w:tcW w:type="dxa" w:w="2087"/>
          </w:tcPr>
          <w:p>
            <w:r>
              <w:rPr>
                <w:b/>
              </w:rPr>
            </w:r>
            <w:r>
              <w:rPr>
                <w:rFonts w:ascii="Times New Roman" w:hAnsi="Times New Roman"/>
                <w:b/>
                <w:sz w:val="18"/>
              </w:rPr>
              <w:t>Lo âu trung bình</w:t>
            </w:r>
          </w:p>
        </w:tc>
        <w:tc>
          <w:tcPr>
            <w:tcW w:type="dxa" w:w="1204"/>
          </w:tcPr>
          <w:p>
            <w:r>
              <w:rPr>
                <w:b/>
              </w:rPr>
            </w:r>
            <w:r>
              <w:rPr>
                <w:rFonts w:ascii="Times New Roman" w:hAnsi="Times New Roman"/>
                <w:b/>
                <w:sz w:val="18"/>
              </w:rPr>
            </w:r>
          </w:p>
        </w:tc>
        <w:tc>
          <w:tcPr>
            <w:tcW w:type="dxa" w:w="2087"/>
          </w:tcPr>
          <w:p>
            <w:r>
              <w:rPr>
                <w:b/>
              </w:rPr>
            </w:r>
            <w:r>
              <w:rPr>
                <w:rFonts w:ascii="Times New Roman" w:hAnsi="Times New Roman"/>
                <w:b/>
                <w:sz w:val="18"/>
              </w:rPr>
              <w:t>Lo âu nặng</w:t>
            </w:r>
          </w:p>
        </w:tc>
        <w:tc>
          <w:tcPr>
            <w:tcW w:type="dxa" w:w="1204"/>
          </w:tcPr>
          <w:p>
            <w:r>
              <w:rPr>
                <w:b/>
              </w:rPr>
            </w:r>
            <w:r>
              <w:rPr>
                <w:rFonts w:ascii="Times New Roman" w:hAnsi="Times New Roman"/>
                <w:b/>
                <w:sz w:val="18"/>
              </w:rPr>
            </w:r>
          </w:p>
        </w:tc>
      </w:tr>
      <w:tr>
        <w:tc>
          <w:tcPr>
            <w:tcW w:type="dxa" w:w="2488"/>
          </w:tcPr>
          <w:p>
            <w:r/>
            <w:r>
              <w:rPr>
                <w:rFonts w:ascii="Times New Roman" w:hAnsi="Times New Roman"/>
                <w:sz w:val="18"/>
              </w:rPr>
            </w:r>
          </w:p>
        </w:tc>
        <w:tc>
          <w:tcPr>
            <w:tcW w:type="dxa" w:w="2087"/>
          </w:tcPr>
          <w:p>
            <w:r/>
            <w:r>
              <w:rPr>
                <w:rFonts w:ascii="Times New Roman" w:hAnsi="Times New Roman"/>
                <w:sz w:val="18"/>
              </w:rPr>
              <w:t>OR</w:t>
            </w:r>
          </w:p>
        </w:tc>
        <w:tc>
          <w:tcPr>
            <w:tcW w:type="dxa" w:w="1204"/>
          </w:tcPr>
          <w:p>
            <w:r/>
            <w:r>
              <w:rPr>
                <w:rFonts w:ascii="Times New Roman" w:hAnsi="Times New Roman"/>
                <w:sz w:val="18"/>
              </w:rPr>
              <w:t>OR 95%CI</w:t>
            </w:r>
          </w:p>
        </w:tc>
        <w:tc>
          <w:tcPr>
            <w:tcW w:type="dxa" w:w="2087"/>
          </w:tcPr>
          <w:p>
            <w:r/>
            <w:r>
              <w:rPr>
                <w:rFonts w:ascii="Times New Roman" w:hAnsi="Times New Roman"/>
                <w:sz w:val="18"/>
              </w:rPr>
              <w:t>OR</w:t>
            </w:r>
          </w:p>
        </w:tc>
        <w:tc>
          <w:tcPr>
            <w:tcW w:type="dxa" w:w="1204"/>
          </w:tcPr>
          <w:p>
            <w:r/>
            <w:r>
              <w:rPr>
                <w:rFonts w:ascii="Times New Roman" w:hAnsi="Times New Roman"/>
                <w:sz w:val="18"/>
              </w:rPr>
              <w:t>OR 95%CI</w:t>
            </w:r>
          </w:p>
        </w:tc>
      </w:tr>
      <w:tr>
        <w:tc>
          <w:tcPr>
            <w:tcW w:type="dxa" w:w="2488"/>
          </w:tcPr>
          <w:p>
            <w:r/>
            <w:r>
              <w:rPr>
                <w:rFonts w:ascii="Times New Roman" w:hAnsi="Times New Roman"/>
                <w:sz w:val="18"/>
              </w:rPr>
              <w:t>Giới tính</w:t>
            </w:r>
          </w:p>
        </w:tc>
        <w:tc>
          <w:tcPr>
            <w:tcW w:type="dxa" w:w="2087"/>
          </w:tcPr>
          <w:p>
            <w:r/>
            <w:r>
              <w:rPr>
                <w:rFonts w:ascii="Times New Roman" w:hAnsi="Times New Roman"/>
                <w:sz w:val="18"/>
              </w:rPr>
              <w:t>Nữ là t.chiếu</w:t>
            </w:r>
          </w:p>
        </w:tc>
        <w:tc>
          <w:tcPr>
            <w:tcW w:type="dxa" w:w="1204"/>
          </w:tcPr>
          <w:p>
            <w:r/>
            <w:r>
              <w:rPr>
                <w:rFonts w:ascii="Times New Roman" w:hAnsi="Times New Roman"/>
                <w:sz w:val="18"/>
              </w:rPr>
            </w:r>
          </w:p>
        </w:tc>
        <w:tc>
          <w:tcPr>
            <w:tcW w:type="dxa" w:w="2087"/>
          </w:tcPr>
          <w:p>
            <w:r/>
            <w:r>
              <w:rPr>
                <w:rFonts w:ascii="Times New Roman" w:hAnsi="Times New Roman"/>
                <w:sz w:val="18"/>
              </w:rPr>
              <w:t>Nữ là t.chiếu</w:t>
            </w:r>
          </w:p>
        </w:tc>
        <w:tc>
          <w:tcPr>
            <w:tcW w:type="dxa" w:w="1204"/>
          </w:tcPr>
          <w:p>
            <w:r/>
            <w:r>
              <w:rPr>
                <w:rFonts w:ascii="Times New Roman" w:hAnsi="Times New Roman"/>
                <w:sz w:val="18"/>
              </w:rPr>
            </w:r>
          </w:p>
        </w:tc>
      </w:tr>
      <w:tr>
        <w:tc>
          <w:tcPr>
            <w:tcW w:type="dxa" w:w="2488"/>
          </w:tcPr>
          <w:p>
            <w:r/>
            <w:r>
              <w:rPr>
                <w:rFonts w:ascii="Times New Roman" w:hAnsi="Times New Roman"/>
                <w:sz w:val="18"/>
              </w:rPr>
              <w:t>Nam</w:t>
            </w:r>
          </w:p>
        </w:tc>
        <w:tc>
          <w:tcPr>
            <w:tcW w:type="dxa" w:w="2087"/>
          </w:tcPr>
          <w:p>
            <w:r/>
            <w:r>
              <w:rPr>
                <w:rFonts w:ascii="Times New Roman" w:hAnsi="Times New Roman"/>
                <w:sz w:val="18"/>
              </w:rPr>
              <w:t>0,649*</w:t>
            </w:r>
          </w:p>
        </w:tc>
        <w:tc>
          <w:tcPr>
            <w:tcW w:type="dxa" w:w="1204"/>
          </w:tcPr>
          <w:p>
            <w:r/>
            <w:r>
              <w:rPr>
                <w:rFonts w:ascii="Times New Roman" w:hAnsi="Times New Roman"/>
                <w:sz w:val="18"/>
              </w:rPr>
              <w:t>(0,444; 0,949)</w:t>
            </w:r>
          </w:p>
        </w:tc>
        <w:tc>
          <w:tcPr>
            <w:tcW w:type="dxa" w:w="2087"/>
          </w:tcPr>
          <w:p>
            <w:r/>
            <w:r>
              <w:rPr>
                <w:rFonts w:ascii="Times New Roman" w:hAnsi="Times New Roman"/>
                <w:sz w:val="18"/>
              </w:rPr>
              <w:t>0,262*</w:t>
            </w:r>
          </w:p>
        </w:tc>
        <w:tc>
          <w:tcPr>
            <w:tcW w:type="dxa" w:w="1204"/>
          </w:tcPr>
          <w:p>
            <w:r/>
            <w:r>
              <w:rPr>
                <w:rFonts w:ascii="Times New Roman" w:hAnsi="Times New Roman"/>
                <w:sz w:val="18"/>
              </w:rPr>
              <w:t>(0,166; 0,415)</w:t>
            </w:r>
          </w:p>
        </w:tc>
      </w:tr>
      <w:tr>
        <w:tc>
          <w:tcPr>
            <w:tcW w:type="dxa" w:w="2488"/>
          </w:tcPr>
          <w:p>
            <w:r/>
            <w:r>
              <w:rPr>
                <w:rFonts w:ascii="Times New Roman" w:hAnsi="Times New Roman"/>
                <w:sz w:val="18"/>
              </w:rPr>
              <w:t>Tuổi</w:t>
            </w:r>
          </w:p>
        </w:tc>
        <w:tc>
          <w:tcPr>
            <w:tcW w:type="dxa" w:w="2087"/>
          </w:tcPr>
          <w:p>
            <w:r/>
            <w:r>
              <w:rPr>
                <w:rFonts w:ascii="Times New Roman" w:hAnsi="Times New Roman"/>
                <w:sz w:val="18"/>
              </w:rPr>
              <w:t>12 là t.chiếu</w:t>
            </w:r>
          </w:p>
        </w:tc>
        <w:tc>
          <w:tcPr>
            <w:tcW w:type="dxa" w:w="1204"/>
          </w:tcPr>
          <w:p>
            <w:r/>
            <w:r>
              <w:rPr>
                <w:rFonts w:ascii="Times New Roman" w:hAnsi="Times New Roman"/>
                <w:sz w:val="18"/>
              </w:rPr>
            </w:r>
          </w:p>
        </w:tc>
        <w:tc>
          <w:tcPr>
            <w:tcW w:type="dxa" w:w="2087"/>
          </w:tcPr>
          <w:p>
            <w:r/>
            <w:r>
              <w:rPr>
                <w:rFonts w:ascii="Times New Roman" w:hAnsi="Times New Roman"/>
                <w:sz w:val="18"/>
              </w:rPr>
              <w:t>12 là t.chiếu</w:t>
            </w:r>
          </w:p>
        </w:tc>
        <w:tc>
          <w:tcPr>
            <w:tcW w:type="dxa" w:w="1204"/>
          </w:tcPr>
          <w:p>
            <w:r/>
            <w:r>
              <w:rPr>
                <w:rFonts w:ascii="Times New Roman" w:hAnsi="Times New Roman"/>
                <w:sz w:val="18"/>
              </w:rPr>
            </w:r>
          </w:p>
        </w:tc>
      </w:tr>
      <w:tr>
        <w:tc>
          <w:tcPr>
            <w:tcW w:type="dxa" w:w="2488"/>
          </w:tcPr>
          <w:p>
            <w:r/>
            <w:r>
              <w:rPr>
                <w:rFonts w:ascii="Times New Roman" w:hAnsi="Times New Roman"/>
                <w:sz w:val="18"/>
              </w:rPr>
              <w:t>13</w:t>
            </w:r>
          </w:p>
        </w:tc>
        <w:tc>
          <w:tcPr>
            <w:tcW w:type="dxa" w:w="2087"/>
          </w:tcPr>
          <w:p>
            <w:r/>
            <w:r>
              <w:rPr>
                <w:rFonts w:ascii="Times New Roman" w:hAnsi="Times New Roman"/>
                <w:sz w:val="18"/>
              </w:rPr>
              <w:t>0,750</w:t>
            </w:r>
          </w:p>
        </w:tc>
        <w:tc>
          <w:tcPr>
            <w:tcW w:type="dxa" w:w="1204"/>
          </w:tcPr>
          <w:p>
            <w:r/>
            <w:r>
              <w:rPr>
                <w:rFonts w:ascii="Times New Roman" w:hAnsi="Times New Roman"/>
                <w:sz w:val="18"/>
              </w:rPr>
              <w:t>(0,385; 1,459)</w:t>
            </w:r>
          </w:p>
        </w:tc>
        <w:tc>
          <w:tcPr>
            <w:tcW w:type="dxa" w:w="2087"/>
          </w:tcPr>
          <w:p>
            <w:r/>
            <w:r>
              <w:rPr>
                <w:rFonts w:ascii="Times New Roman" w:hAnsi="Times New Roman"/>
                <w:sz w:val="18"/>
              </w:rPr>
              <w:t>0,733</w:t>
            </w:r>
          </w:p>
        </w:tc>
        <w:tc>
          <w:tcPr>
            <w:tcW w:type="dxa" w:w="1204"/>
          </w:tcPr>
          <w:p>
            <w:r/>
            <w:r>
              <w:rPr>
                <w:rFonts w:ascii="Times New Roman" w:hAnsi="Times New Roman"/>
                <w:sz w:val="18"/>
              </w:rPr>
              <w:t>(0,339; 1,587)</w:t>
            </w:r>
          </w:p>
        </w:tc>
      </w:tr>
      <w:tr>
        <w:tc>
          <w:tcPr>
            <w:tcW w:type="dxa" w:w="2488"/>
          </w:tcPr>
          <w:p>
            <w:r/>
            <w:r>
              <w:rPr>
                <w:rFonts w:ascii="Times New Roman" w:hAnsi="Times New Roman"/>
                <w:sz w:val="18"/>
              </w:rPr>
              <w:t>14</w:t>
            </w:r>
          </w:p>
        </w:tc>
        <w:tc>
          <w:tcPr>
            <w:tcW w:type="dxa" w:w="2087"/>
          </w:tcPr>
          <w:p>
            <w:r/>
            <w:r>
              <w:rPr>
                <w:rFonts w:ascii="Times New Roman" w:hAnsi="Times New Roman"/>
                <w:sz w:val="18"/>
              </w:rPr>
              <w:t>0,587</w:t>
            </w:r>
          </w:p>
        </w:tc>
        <w:tc>
          <w:tcPr>
            <w:tcW w:type="dxa" w:w="1204"/>
          </w:tcPr>
          <w:p>
            <w:r/>
            <w:r>
              <w:rPr>
                <w:rFonts w:ascii="Times New Roman" w:hAnsi="Times New Roman"/>
                <w:sz w:val="18"/>
              </w:rPr>
              <w:t>(0,310; 1,110)</w:t>
            </w:r>
          </w:p>
        </w:tc>
        <w:tc>
          <w:tcPr>
            <w:tcW w:type="dxa" w:w="2087"/>
          </w:tcPr>
          <w:p>
            <w:r/>
            <w:r>
              <w:rPr>
                <w:rFonts w:ascii="Times New Roman" w:hAnsi="Times New Roman"/>
                <w:sz w:val="18"/>
              </w:rPr>
              <w:t>0,495</w:t>
            </w:r>
          </w:p>
        </w:tc>
        <w:tc>
          <w:tcPr>
            <w:tcW w:type="dxa" w:w="1204"/>
          </w:tcPr>
          <w:p>
            <w:r/>
            <w:r>
              <w:rPr>
                <w:rFonts w:ascii="Times New Roman" w:hAnsi="Times New Roman"/>
                <w:sz w:val="18"/>
              </w:rPr>
              <w:t>(0,231; 1,061)</w:t>
            </w:r>
          </w:p>
        </w:tc>
      </w:tr>
      <w:tr>
        <w:tc>
          <w:tcPr>
            <w:tcW w:type="dxa" w:w="2488"/>
          </w:tcPr>
          <w:p>
            <w:r/>
            <w:r>
              <w:rPr>
                <w:rFonts w:ascii="Times New Roman" w:hAnsi="Times New Roman"/>
                <w:sz w:val="18"/>
              </w:rPr>
              <w:t>15</w:t>
            </w:r>
          </w:p>
        </w:tc>
        <w:tc>
          <w:tcPr>
            <w:tcW w:type="dxa" w:w="2087"/>
          </w:tcPr>
          <w:p>
            <w:r/>
            <w:r>
              <w:rPr>
                <w:rFonts w:ascii="Times New Roman" w:hAnsi="Times New Roman"/>
                <w:sz w:val="18"/>
              </w:rPr>
              <w:t>0,647</w:t>
            </w:r>
          </w:p>
        </w:tc>
        <w:tc>
          <w:tcPr>
            <w:tcW w:type="dxa" w:w="1204"/>
          </w:tcPr>
          <w:p>
            <w:r/>
            <w:r>
              <w:rPr>
                <w:rFonts w:ascii="Times New Roman" w:hAnsi="Times New Roman"/>
                <w:sz w:val="18"/>
              </w:rPr>
              <w:t>(0,354; 1,183)</w:t>
            </w:r>
          </w:p>
        </w:tc>
        <w:tc>
          <w:tcPr>
            <w:tcW w:type="dxa" w:w="2087"/>
          </w:tcPr>
          <w:p>
            <w:r/>
            <w:r>
              <w:rPr>
                <w:rFonts w:ascii="Times New Roman" w:hAnsi="Times New Roman"/>
                <w:sz w:val="18"/>
              </w:rPr>
              <w:t>0,461*</w:t>
            </w:r>
          </w:p>
        </w:tc>
        <w:tc>
          <w:tcPr>
            <w:tcW w:type="dxa" w:w="1204"/>
          </w:tcPr>
          <w:p>
            <w:r/>
            <w:r>
              <w:rPr>
                <w:rFonts w:ascii="Times New Roman" w:hAnsi="Times New Roman"/>
                <w:sz w:val="18"/>
              </w:rPr>
              <w:t>(0,224; 0,950)</w:t>
            </w:r>
          </w:p>
        </w:tc>
      </w:tr>
      <w:tr>
        <w:tc>
          <w:tcPr>
            <w:tcW w:type="dxa" w:w="2488"/>
          </w:tcPr>
          <w:p>
            <w:r/>
            <w:r>
              <w:rPr>
                <w:rFonts w:ascii="Times New Roman" w:hAnsi="Times New Roman"/>
                <w:sz w:val="18"/>
              </w:rPr>
              <w:t>16</w:t>
            </w:r>
          </w:p>
        </w:tc>
        <w:tc>
          <w:tcPr>
            <w:tcW w:type="dxa" w:w="2087"/>
          </w:tcPr>
          <w:p>
            <w:r/>
            <w:r>
              <w:rPr>
                <w:rFonts w:ascii="Times New Roman" w:hAnsi="Times New Roman"/>
                <w:sz w:val="18"/>
              </w:rPr>
              <w:t>0,975</w:t>
            </w:r>
          </w:p>
        </w:tc>
        <w:tc>
          <w:tcPr>
            <w:tcW w:type="dxa" w:w="1204"/>
          </w:tcPr>
          <w:p>
            <w:r/>
            <w:r>
              <w:rPr>
                <w:rFonts w:ascii="Times New Roman" w:hAnsi="Times New Roman"/>
                <w:sz w:val="18"/>
              </w:rPr>
              <w:t>(0,493; 1,928)</w:t>
            </w:r>
          </w:p>
        </w:tc>
        <w:tc>
          <w:tcPr>
            <w:tcW w:type="dxa" w:w="2087"/>
          </w:tcPr>
          <w:p>
            <w:r/>
            <w:r>
              <w:rPr>
                <w:rFonts w:ascii="Times New Roman" w:hAnsi="Times New Roman"/>
                <w:sz w:val="18"/>
              </w:rPr>
              <w:t>0,818</w:t>
            </w:r>
          </w:p>
        </w:tc>
        <w:tc>
          <w:tcPr>
            <w:tcW w:type="dxa" w:w="1204"/>
          </w:tcPr>
          <w:p>
            <w:r/>
            <w:r>
              <w:rPr>
                <w:rFonts w:ascii="Times New Roman" w:hAnsi="Times New Roman"/>
                <w:sz w:val="18"/>
              </w:rPr>
              <w:t>(0,365; 1,834)</w:t>
            </w:r>
          </w:p>
        </w:tc>
      </w:tr>
      <w:tr>
        <w:tc>
          <w:tcPr>
            <w:tcW w:type="dxa" w:w="2488"/>
          </w:tcPr>
          <w:p>
            <w:r/>
            <w:r>
              <w:rPr>
                <w:rFonts w:ascii="Times New Roman" w:hAnsi="Times New Roman"/>
                <w:sz w:val="18"/>
              </w:rPr>
              <w:t>Trẻ bị bỏ lại (LBC)</w:t>
            </w:r>
          </w:p>
        </w:tc>
        <w:tc>
          <w:tcPr>
            <w:tcW w:type="dxa" w:w="2087"/>
          </w:tcPr>
          <w:p>
            <w:r/>
            <w:r>
              <w:rPr>
                <w:rFonts w:ascii="Times New Roman" w:hAnsi="Times New Roman"/>
                <w:sz w:val="18"/>
              </w:rPr>
              <w:t>Không là t.chiếu</w:t>
            </w:r>
          </w:p>
        </w:tc>
        <w:tc>
          <w:tcPr>
            <w:tcW w:type="dxa" w:w="1204"/>
          </w:tcPr>
          <w:p>
            <w:r/>
            <w:r>
              <w:rPr>
                <w:rFonts w:ascii="Times New Roman" w:hAnsi="Times New Roman"/>
                <w:sz w:val="18"/>
              </w:rPr>
            </w:r>
          </w:p>
        </w:tc>
        <w:tc>
          <w:tcPr>
            <w:tcW w:type="dxa" w:w="2087"/>
          </w:tcPr>
          <w:p>
            <w:r/>
            <w:r>
              <w:rPr>
                <w:rFonts w:ascii="Times New Roman" w:hAnsi="Times New Roman"/>
                <w:sz w:val="18"/>
              </w:rPr>
              <w:t>Không là t.chiếu</w:t>
            </w:r>
          </w:p>
        </w:tc>
        <w:tc>
          <w:tcPr>
            <w:tcW w:type="dxa" w:w="1204"/>
          </w:tcPr>
          <w:p>
            <w:r/>
            <w:r>
              <w:rPr>
                <w:rFonts w:ascii="Times New Roman" w:hAnsi="Times New Roman"/>
                <w:sz w:val="18"/>
              </w:rPr>
            </w:r>
          </w:p>
        </w:tc>
      </w:tr>
      <w:tr>
        <w:tc>
          <w:tcPr>
            <w:tcW w:type="dxa" w:w="2488"/>
          </w:tcPr>
          <w:p>
            <w:r/>
            <w:r>
              <w:rPr>
                <w:rFonts w:ascii="Times New Roman" w:hAnsi="Times New Roman"/>
                <w:sz w:val="18"/>
              </w:rPr>
              <w:t>Có</w:t>
            </w:r>
          </w:p>
        </w:tc>
        <w:tc>
          <w:tcPr>
            <w:tcW w:type="dxa" w:w="2087"/>
          </w:tcPr>
          <w:p>
            <w:r/>
            <w:r>
              <w:rPr>
                <w:rFonts w:ascii="Times New Roman" w:hAnsi="Times New Roman"/>
                <w:sz w:val="18"/>
              </w:rPr>
              <w:t>0,966</w:t>
            </w:r>
          </w:p>
        </w:tc>
        <w:tc>
          <w:tcPr>
            <w:tcW w:type="dxa" w:w="1204"/>
          </w:tcPr>
          <w:p>
            <w:r/>
            <w:r>
              <w:rPr>
                <w:rFonts w:ascii="Times New Roman" w:hAnsi="Times New Roman"/>
                <w:sz w:val="18"/>
              </w:rPr>
              <w:t>(0,646; 1,445)</w:t>
            </w:r>
          </w:p>
        </w:tc>
        <w:tc>
          <w:tcPr>
            <w:tcW w:type="dxa" w:w="2087"/>
          </w:tcPr>
          <w:p>
            <w:r/>
            <w:r>
              <w:rPr>
                <w:rFonts w:ascii="Times New Roman" w:hAnsi="Times New Roman"/>
                <w:sz w:val="18"/>
              </w:rPr>
              <w:t>0,884</w:t>
            </w:r>
          </w:p>
        </w:tc>
        <w:tc>
          <w:tcPr>
            <w:tcW w:type="dxa" w:w="1204"/>
          </w:tcPr>
          <w:p>
            <w:r/>
            <w:r>
              <w:rPr>
                <w:rFonts w:ascii="Times New Roman" w:hAnsi="Times New Roman"/>
                <w:sz w:val="18"/>
              </w:rPr>
              <w:t>(0,546; 1,434)</w:t>
            </w:r>
          </w:p>
        </w:tc>
      </w:tr>
      <w:tr>
        <w:tc>
          <w:tcPr>
            <w:tcW w:type="dxa" w:w="2488"/>
          </w:tcPr>
          <w:p>
            <w:r/>
            <w:r>
              <w:rPr>
                <w:rFonts w:ascii="Times New Roman" w:hAnsi="Times New Roman"/>
                <w:sz w:val="18"/>
              </w:rPr>
              <w:t>Khóa giáo dục sức khỏe</w:t>
            </w:r>
          </w:p>
        </w:tc>
        <w:tc>
          <w:tcPr>
            <w:tcW w:type="dxa" w:w="2087"/>
          </w:tcPr>
          <w:p>
            <w:r/>
            <w:r>
              <w:rPr>
                <w:rFonts w:ascii="Times New Roman" w:hAnsi="Times New Roman"/>
                <w:sz w:val="18"/>
              </w:rPr>
              <w:t>Không là t.chiếu</w:t>
            </w:r>
          </w:p>
        </w:tc>
        <w:tc>
          <w:tcPr>
            <w:tcW w:type="dxa" w:w="1204"/>
          </w:tcPr>
          <w:p>
            <w:r/>
            <w:r>
              <w:rPr>
                <w:rFonts w:ascii="Times New Roman" w:hAnsi="Times New Roman"/>
                <w:sz w:val="18"/>
              </w:rPr>
            </w:r>
          </w:p>
        </w:tc>
        <w:tc>
          <w:tcPr>
            <w:tcW w:type="dxa" w:w="2087"/>
          </w:tcPr>
          <w:p>
            <w:r/>
            <w:r>
              <w:rPr>
                <w:rFonts w:ascii="Times New Roman" w:hAnsi="Times New Roman"/>
                <w:sz w:val="18"/>
              </w:rPr>
              <w:t>Không là t.chiếu</w:t>
            </w:r>
          </w:p>
        </w:tc>
        <w:tc>
          <w:tcPr>
            <w:tcW w:type="dxa" w:w="1204"/>
          </w:tcPr>
          <w:p>
            <w:r/>
            <w:r>
              <w:rPr>
                <w:rFonts w:ascii="Times New Roman" w:hAnsi="Times New Roman"/>
                <w:sz w:val="18"/>
              </w:rPr>
            </w:r>
          </w:p>
        </w:tc>
      </w:tr>
      <w:tr>
        <w:tc>
          <w:tcPr>
            <w:tcW w:type="dxa" w:w="2488"/>
          </w:tcPr>
          <w:p>
            <w:r/>
            <w:r>
              <w:rPr>
                <w:rFonts w:ascii="Times New Roman" w:hAnsi="Times New Roman"/>
                <w:sz w:val="18"/>
              </w:rPr>
              <w:t>Có</w:t>
            </w:r>
          </w:p>
        </w:tc>
        <w:tc>
          <w:tcPr>
            <w:tcW w:type="dxa" w:w="2087"/>
          </w:tcPr>
          <w:p>
            <w:r/>
            <w:r>
              <w:rPr>
                <w:rFonts w:ascii="Times New Roman" w:hAnsi="Times New Roman"/>
                <w:sz w:val="18"/>
              </w:rPr>
              <w:t>0,752</w:t>
            </w:r>
          </w:p>
        </w:tc>
        <w:tc>
          <w:tcPr>
            <w:tcW w:type="dxa" w:w="1204"/>
          </w:tcPr>
          <w:p>
            <w:r/>
            <w:r>
              <w:rPr>
                <w:rFonts w:ascii="Times New Roman" w:hAnsi="Times New Roman"/>
                <w:sz w:val="18"/>
              </w:rPr>
              <w:t>(0,503; 1,125)</w:t>
            </w:r>
          </w:p>
        </w:tc>
        <w:tc>
          <w:tcPr>
            <w:tcW w:type="dxa" w:w="2087"/>
          </w:tcPr>
          <w:p>
            <w:r/>
            <w:r>
              <w:rPr>
                <w:rFonts w:ascii="Times New Roman" w:hAnsi="Times New Roman"/>
                <w:sz w:val="18"/>
              </w:rPr>
              <w:t>1,187</w:t>
            </w:r>
          </w:p>
        </w:tc>
        <w:tc>
          <w:tcPr>
            <w:tcW w:type="dxa" w:w="1204"/>
          </w:tcPr>
          <w:p>
            <w:r/>
            <w:r>
              <w:rPr>
                <w:rFonts w:ascii="Times New Roman" w:hAnsi="Times New Roman"/>
                <w:sz w:val="18"/>
              </w:rPr>
              <w:t>(0,734; 1,920)</w:t>
            </w:r>
          </w:p>
        </w:tc>
      </w:tr>
      <w:tr>
        <w:tc>
          <w:tcPr>
            <w:tcW w:type="dxa" w:w="2488"/>
          </w:tcPr>
          <w:p>
            <w:r/>
            <w:r>
              <w:rPr>
                <w:rFonts w:ascii="Times New Roman" w:hAnsi="Times New Roman"/>
                <w:sz w:val="18"/>
              </w:rPr>
              <w:t>Công tác SKTT tại trường đầy đủ</w:t>
            </w:r>
          </w:p>
        </w:tc>
        <w:tc>
          <w:tcPr>
            <w:tcW w:type="dxa" w:w="2087"/>
          </w:tcPr>
          <w:p>
            <w:r/>
            <w:r>
              <w:rPr>
                <w:rFonts w:ascii="Times New Roman" w:hAnsi="Times New Roman"/>
                <w:sz w:val="18"/>
              </w:rPr>
              <w:t>Không chắc chắn là t.chiếu</w:t>
            </w:r>
          </w:p>
        </w:tc>
        <w:tc>
          <w:tcPr>
            <w:tcW w:type="dxa" w:w="1204"/>
          </w:tcPr>
          <w:p>
            <w:r/>
            <w:r>
              <w:rPr>
                <w:rFonts w:ascii="Times New Roman" w:hAnsi="Times New Roman"/>
                <w:sz w:val="18"/>
              </w:rPr>
            </w:r>
          </w:p>
        </w:tc>
        <w:tc>
          <w:tcPr>
            <w:tcW w:type="dxa" w:w="2087"/>
          </w:tcPr>
          <w:p>
            <w:r/>
            <w:r>
              <w:rPr>
                <w:rFonts w:ascii="Times New Roman" w:hAnsi="Times New Roman"/>
                <w:sz w:val="18"/>
              </w:rPr>
              <w:t>Không chắc chắn là t.chiếu</w:t>
            </w:r>
          </w:p>
        </w:tc>
        <w:tc>
          <w:tcPr>
            <w:tcW w:type="dxa" w:w="1204"/>
          </w:tcPr>
          <w:p>
            <w:r/>
            <w:r>
              <w:rPr>
                <w:rFonts w:ascii="Times New Roman" w:hAnsi="Times New Roman"/>
                <w:sz w:val="18"/>
              </w:rPr>
            </w:r>
          </w:p>
        </w:tc>
      </w:tr>
      <w:tr>
        <w:tc>
          <w:tcPr>
            <w:tcW w:type="dxa" w:w="2488"/>
          </w:tcPr>
          <w:p>
            <w:r/>
            <w:r>
              <w:rPr>
                <w:rFonts w:ascii="Times New Roman" w:hAnsi="Times New Roman"/>
                <w:sz w:val="18"/>
              </w:rPr>
              <w:t>Có</w:t>
            </w:r>
          </w:p>
        </w:tc>
        <w:tc>
          <w:tcPr>
            <w:tcW w:type="dxa" w:w="2087"/>
          </w:tcPr>
          <w:p>
            <w:r/>
            <w:r>
              <w:rPr>
                <w:rFonts w:ascii="Times New Roman" w:hAnsi="Times New Roman"/>
                <w:sz w:val="18"/>
              </w:rPr>
              <w:t>1,047</w:t>
            </w:r>
          </w:p>
        </w:tc>
        <w:tc>
          <w:tcPr>
            <w:tcW w:type="dxa" w:w="1204"/>
          </w:tcPr>
          <w:p>
            <w:r/>
            <w:r>
              <w:rPr>
                <w:rFonts w:ascii="Times New Roman" w:hAnsi="Times New Roman"/>
                <w:sz w:val="18"/>
              </w:rPr>
              <w:t>(0,695; 1,577)</w:t>
            </w:r>
          </w:p>
        </w:tc>
        <w:tc>
          <w:tcPr>
            <w:tcW w:type="dxa" w:w="2087"/>
          </w:tcPr>
          <w:p>
            <w:r/>
            <w:r>
              <w:rPr>
                <w:rFonts w:ascii="Times New Roman" w:hAnsi="Times New Roman"/>
                <w:sz w:val="18"/>
              </w:rPr>
              <w:t>0,562*</w:t>
            </w:r>
          </w:p>
        </w:tc>
        <w:tc>
          <w:tcPr>
            <w:tcW w:type="dxa" w:w="1204"/>
          </w:tcPr>
          <w:p>
            <w:r/>
            <w:r>
              <w:rPr>
                <w:rFonts w:ascii="Times New Roman" w:hAnsi="Times New Roman"/>
                <w:sz w:val="18"/>
              </w:rPr>
              <w:t>(0,341; 0,926)</w:t>
            </w:r>
          </w:p>
        </w:tc>
      </w:tr>
      <w:tr>
        <w:tc>
          <w:tcPr>
            <w:tcW w:type="dxa" w:w="2488"/>
          </w:tcPr>
          <w:p>
            <w:r/>
            <w:r>
              <w:rPr>
                <w:rFonts w:ascii="Times New Roman" w:hAnsi="Times New Roman"/>
                <w:sz w:val="18"/>
              </w:rPr>
              <w:t>Không</w:t>
            </w:r>
          </w:p>
        </w:tc>
        <w:tc>
          <w:tcPr>
            <w:tcW w:type="dxa" w:w="2087"/>
          </w:tcPr>
          <w:p>
            <w:r/>
            <w:r>
              <w:rPr>
                <w:rFonts w:ascii="Times New Roman" w:hAnsi="Times New Roman"/>
                <w:sz w:val="18"/>
              </w:rPr>
              <w:t>1,130</w:t>
            </w:r>
          </w:p>
        </w:tc>
        <w:tc>
          <w:tcPr>
            <w:tcW w:type="dxa" w:w="1204"/>
          </w:tcPr>
          <w:p>
            <w:r/>
            <w:r>
              <w:rPr>
                <w:rFonts w:ascii="Times New Roman" w:hAnsi="Times New Roman"/>
                <w:sz w:val="18"/>
              </w:rPr>
              <w:t>(0,587; 2,174)</w:t>
            </w:r>
          </w:p>
        </w:tc>
        <w:tc>
          <w:tcPr>
            <w:tcW w:type="dxa" w:w="2087"/>
          </w:tcPr>
          <w:p>
            <w:r/>
            <w:r>
              <w:rPr>
                <w:rFonts w:ascii="Times New Roman" w:hAnsi="Times New Roman"/>
                <w:sz w:val="18"/>
              </w:rPr>
              <w:t>1,898</w:t>
            </w:r>
          </w:p>
        </w:tc>
        <w:tc>
          <w:tcPr>
            <w:tcW w:type="dxa" w:w="1204"/>
          </w:tcPr>
          <w:p>
            <w:r/>
            <w:r>
              <w:rPr>
                <w:rFonts w:ascii="Times New Roman" w:hAnsi="Times New Roman"/>
                <w:sz w:val="18"/>
              </w:rPr>
              <w:t>(0,928; 3,883)</w:t>
            </w:r>
          </w:p>
        </w:tc>
      </w:tr>
      <w:tr>
        <w:tc>
          <w:tcPr>
            <w:tcW w:type="dxa" w:w="2488"/>
          </w:tcPr>
          <w:p>
            <w:r/>
            <w:r>
              <w:rPr>
                <w:rFonts w:ascii="Times New Roman" w:hAnsi="Times New Roman"/>
                <w:sz w:val="18"/>
              </w:rPr>
              <w:t>Tự đánh giá thành tích học tập</w:t>
            </w:r>
          </w:p>
        </w:tc>
        <w:tc>
          <w:tcPr>
            <w:tcW w:type="dxa" w:w="2087"/>
          </w:tcPr>
          <w:p>
            <w:r/>
            <w:r>
              <w:rPr>
                <w:rFonts w:ascii="Times New Roman" w:hAnsi="Times New Roman"/>
                <w:sz w:val="18"/>
              </w:rPr>
              <w:t>Không đạt là t.chiếu</w:t>
            </w:r>
          </w:p>
        </w:tc>
        <w:tc>
          <w:tcPr>
            <w:tcW w:type="dxa" w:w="1204"/>
          </w:tcPr>
          <w:p>
            <w:r/>
            <w:r>
              <w:rPr>
                <w:rFonts w:ascii="Times New Roman" w:hAnsi="Times New Roman"/>
                <w:sz w:val="18"/>
              </w:rPr>
            </w:r>
          </w:p>
        </w:tc>
        <w:tc>
          <w:tcPr>
            <w:tcW w:type="dxa" w:w="2087"/>
          </w:tcPr>
          <w:p>
            <w:r/>
            <w:r>
              <w:rPr>
                <w:rFonts w:ascii="Times New Roman" w:hAnsi="Times New Roman"/>
                <w:sz w:val="18"/>
              </w:rPr>
              <w:t>Không đạt là t.chiếu</w:t>
            </w:r>
          </w:p>
        </w:tc>
        <w:tc>
          <w:tcPr>
            <w:tcW w:type="dxa" w:w="1204"/>
          </w:tcPr>
          <w:p>
            <w:r/>
            <w:r>
              <w:rPr>
                <w:rFonts w:ascii="Times New Roman" w:hAnsi="Times New Roman"/>
                <w:sz w:val="18"/>
              </w:rPr>
            </w:r>
          </w:p>
        </w:tc>
      </w:tr>
      <w:tr>
        <w:tc>
          <w:tcPr>
            <w:tcW w:type="dxa" w:w="2488"/>
          </w:tcPr>
          <w:p>
            <w:r/>
            <w:r>
              <w:rPr>
                <w:rFonts w:ascii="Times New Roman" w:hAnsi="Times New Roman"/>
                <w:sz w:val="18"/>
              </w:rPr>
              <w:t>Xuất sắc</w:t>
            </w:r>
          </w:p>
        </w:tc>
        <w:tc>
          <w:tcPr>
            <w:tcW w:type="dxa" w:w="2087"/>
          </w:tcPr>
          <w:p>
            <w:r/>
            <w:r>
              <w:rPr>
                <w:rFonts w:ascii="Times New Roman" w:hAnsi="Times New Roman"/>
                <w:sz w:val="18"/>
              </w:rPr>
              <w:t>0,377*</w:t>
            </w:r>
          </w:p>
        </w:tc>
        <w:tc>
          <w:tcPr>
            <w:tcW w:type="dxa" w:w="1204"/>
          </w:tcPr>
          <w:p>
            <w:r/>
            <w:r>
              <w:rPr>
                <w:rFonts w:ascii="Times New Roman" w:hAnsi="Times New Roman"/>
                <w:sz w:val="18"/>
              </w:rPr>
              <w:t>(0,143; 0,989)</w:t>
            </w:r>
          </w:p>
        </w:tc>
        <w:tc>
          <w:tcPr>
            <w:tcW w:type="dxa" w:w="2087"/>
          </w:tcPr>
          <w:p>
            <w:r/>
            <w:r>
              <w:rPr>
                <w:rFonts w:ascii="Times New Roman" w:hAnsi="Times New Roman"/>
                <w:sz w:val="18"/>
              </w:rPr>
              <w:t>0,431</w:t>
            </w:r>
          </w:p>
        </w:tc>
        <w:tc>
          <w:tcPr>
            <w:tcW w:type="dxa" w:w="1204"/>
          </w:tcPr>
          <w:p>
            <w:r/>
            <w:r>
              <w:rPr>
                <w:rFonts w:ascii="Times New Roman" w:hAnsi="Times New Roman"/>
                <w:sz w:val="18"/>
              </w:rPr>
              <w:t>(0,148; 1,255)</w:t>
            </w:r>
          </w:p>
        </w:tc>
      </w:tr>
      <w:tr>
        <w:tc>
          <w:tcPr>
            <w:tcW w:type="dxa" w:w="2488"/>
          </w:tcPr>
          <w:p>
            <w:r/>
            <w:r>
              <w:rPr>
                <w:rFonts w:ascii="Times New Roman" w:hAnsi="Times New Roman"/>
                <w:sz w:val="18"/>
              </w:rPr>
              <w:t>Tốt</w:t>
            </w:r>
          </w:p>
        </w:tc>
        <w:tc>
          <w:tcPr>
            <w:tcW w:type="dxa" w:w="2087"/>
          </w:tcPr>
          <w:p>
            <w:r/>
            <w:r>
              <w:rPr>
                <w:rFonts w:ascii="Times New Roman" w:hAnsi="Times New Roman"/>
                <w:sz w:val="18"/>
              </w:rPr>
              <w:t>0,763</w:t>
            </w:r>
          </w:p>
        </w:tc>
        <w:tc>
          <w:tcPr>
            <w:tcW w:type="dxa" w:w="1204"/>
          </w:tcPr>
          <w:p>
            <w:r/>
            <w:r>
              <w:rPr>
                <w:rFonts w:ascii="Times New Roman" w:hAnsi="Times New Roman"/>
                <w:sz w:val="18"/>
              </w:rPr>
              <w:t>(0,432; 1,349)</w:t>
            </w:r>
          </w:p>
        </w:tc>
        <w:tc>
          <w:tcPr>
            <w:tcW w:type="dxa" w:w="2087"/>
          </w:tcPr>
          <w:p>
            <w:r/>
            <w:r>
              <w:rPr>
                <w:rFonts w:ascii="Times New Roman" w:hAnsi="Times New Roman"/>
                <w:sz w:val="18"/>
              </w:rPr>
              <w:t>0,362*</w:t>
            </w:r>
          </w:p>
        </w:tc>
        <w:tc>
          <w:tcPr>
            <w:tcW w:type="dxa" w:w="1204"/>
          </w:tcPr>
          <w:p>
            <w:r/>
            <w:r>
              <w:rPr>
                <w:rFonts w:ascii="Times New Roman" w:hAnsi="Times New Roman"/>
                <w:sz w:val="18"/>
              </w:rPr>
              <w:t>(0,192; 0,683)</w:t>
            </w:r>
          </w:p>
        </w:tc>
      </w:tr>
      <w:tr>
        <w:tc>
          <w:tcPr>
            <w:tcW w:type="dxa" w:w="2488"/>
          </w:tcPr>
          <w:p>
            <w:r/>
            <w:r>
              <w:rPr>
                <w:rFonts w:ascii="Times New Roman" w:hAnsi="Times New Roman"/>
                <w:sz w:val="18"/>
              </w:rPr>
              <w:t>Đạt</w:t>
            </w:r>
          </w:p>
        </w:tc>
        <w:tc>
          <w:tcPr>
            <w:tcW w:type="dxa" w:w="2087"/>
          </w:tcPr>
          <w:p>
            <w:r/>
            <w:r>
              <w:rPr>
                <w:rFonts w:ascii="Times New Roman" w:hAnsi="Times New Roman"/>
                <w:sz w:val="18"/>
              </w:rPr>
              <w:t>0,989</w:t>
            </w:r>
          </w:p>
        </w:tc>
        <w:tc>
          <w:tcPr>
            <w:tcW w:type="dxa" w:w="1204"/>
          </w:tcPr>
          <w:p>
            <w:r/>
            <w:r>
              <w:rPr>
                <w:rFonts w:ascii="Times New Roman" w:hAnsi="Times New Roman"/>
                <w:sz w:val="18"/>
              </w:rPr>
              <w:t>(0,548; 1,784)</w:t>
            </w:r>
          </w:p>
        </w:tc>
        <w:tc>
          <w:tcPr>
            <w:tcW w:type="dxa" w:w="2087"/>
          </w:tcPr>
          <w:p>
            <w:r/>
            <w:r>
              <w:rPr>
                <w:rFonts w:ascii="Times New Roman" w:hAnsi="Times New Roman"/>
                <w:sz w:val="18"/>
              </w:rPr>
              <w:t>0,460*</w:t>
            </w:r>
          </w:p>
        </w:tc>
        <w:tc>
          <w:tcPr>
            <w:tcW w:type="dxa" w:w="1204"/>
          </w:tcPr>
          <w:p>
            <w:r/>
            <w:r>
              <w:rPr>
                <w:rFonts w:ascii="Times New Roman" w:hAnsi="Times New Roman"/>
                <w:sz w:val="18"/>
              </w:rPr>
              <w:t>(0,237; 0,892)</w:t>
            </w:r>
          </w:p>
        </w:tc>
      </w:tr>
      <w:tr>
        <w:tc>
          <w:tcPr>
            <w:tcW w:type="dxa" w:w="2488"/>
          </w:tcPr>
          <w:p>
            <w:r/>
            <w:r>
              <w:rPr>
                <w:rFonts w:ascii="Times New Roman" w:hAnsi="Times New Roman"/>
                <w:sz w:val="18"/>
              </w:rPr>
              <w:t>Tự đánh giá áp lực học tập</w:t>
            </w:r>
          </w:p>
        </w:tc>
        <w:tc>
          <w:tcPr>
            <w:tcW w:type="dxa" w:w="2087"/>
          </w:tcPr>
          <w:p>
            <w:r/>
            <w:r>
              <w:rPr>
                <w:rFonts w:ascii="Times New Roman" w:hAnsi="Times New Roman"/>
                <w:sz w:val="18"/>
              </w:rPr>
              <w:t>Rất thấp là t.chiếu</w:t>
            </w:r>
          </w:p>
        </w:tc>
        <w:tc>
          <w:tcPr>
            <w:tcW w:type="dxa" w:w="1204"/>
          </w:tcPr>
          <w:p>
            <w:r/>
            <w:r>
              <w:rPr>
                <w:rFonts w:ascii="Times New Roman" w:hAnsi="Times New Roman"/>
                <w:sz w:val="18"/>
              </w:rPr>
            </w:r>
          </w:p>
        </w:tc>
        <w:tc>
          <w:tcPr>
            <w:tcW w:type="dxa" w:w="2087"/>
          </w:tcPr>
          <w:p>
            <w:r/>
            <w:r>
              <w:rPr>
                <w:rFonts w:ascii="Times New Roman" w:hAnsi="Times New Roman"/>
                <w:sz w:val="18"/>
              </w:rPr>
              <w:t>Rất thấp là t.chiếu</w:t>
            </w:r>
          </w:p>
        </w:tc>
        <w:tc>
          <w:tcPr>
            <w:tcW w:type="dxa" w:w="1204"/>
          </w:tcPr>
          <w:p>
            <w:r/>
            <w:r>
              <w:rPr>
                <w:rFonts w:ascii="Times New Roman" w:hAnsi="Times New Roman"/>
                <w:sz w:val="18"/>
              </w:rPr>
            </w:r>
          </w:p>
        </w:tc>
      </w:tr>
      <w:tr>
        <w:tc>
          <w:tcPr>
            <w:tcW w:type="dxa" w:w="2488"/>
          </w:tcPr>
          <w:p>
            <w:r/>
            <w:r>
              <w:rPr>
                <w:rFonts w:ascii="Times New Roman" w:hAnsi="Times New Roman"/>
                <w:sz w:val="18"/>
              </w:rPr>
              <w:t>Rất cao</w:t>
            </w:r>
          </w:p>
        </w:tc>
        <w:tc>
          <w:tcPr>
            <w:tcW w:type="dxa" w:w="2087"/>
          </w:tcPr>
          <w:p>
            <w:r/>
            <w:r>
              <w:rPr>
                <w:rFonts w:ascii="Times New Roman" w:hAnsi="Times New Roman"/>
                <w:sz w:val="18"/>
              </w:rPr>
              <w:t>6,523*</w:t>
            </w:r>
          </w:p>
        </w:tc>
        <w:tc>
          <w:tcPr>
            <w:tcW w:type="dxa" w:w="1204"/>
          </w:tcPr>
          <w:p>
            <w:r/>
            <w:r>
              <w:rPr>
                <w:rFonts w:ascii="Times New Roman" w:hAnsi="Times New Roman"/>
                <w:sz w:val="18"/>
              </w:rPr>
              <w:t>(2,666; 15,957)</w:t>
            </w:r>
          </w:p>
        </w:tc>
        <w:tc>
          <w:tcPr>
            <w:tcW w:type="dxa" w:w="2087"/>
          </w:tcPr>
          <w:p>
            <w:r/>
            <w:r>
              <w:rPr>
                <w:rFonts w:ascii="Times New Roman" w:hAnsi="Times New Roman"/>
                <w:sz w:val="18"/>
              </w:rPr>
              <w:t>11,579*</w:t>
            </w:r>
          </w:p>
        </w:tc>
        <w:tc>
          <w:tcPr>
            <w:tcW w:type="dxa" w:w="1204"/>
          </w:tcPr>
          <w:p>
            <w:r/>
            <w:r>
              <w:rPr>
                <w:rFonts w:ascii="Times New Roman" w:hAnsi="Times New Roman"/>
                <w:sz w:val="18"/>
              </w:rPr>
              <w:t>(4,164; 32,194)</w:t>
            </w:r>
          </w:p>
        </w:tc>
      </w:tr>
      <w:tr>
        <w:tc>
          <w:tcPr>
            <w:tcW w:type="dxa" w:w="2488"/>
          </w:tcPr>
          <w:p>
            <w:r/>
            <w:r>
              <w:rPr>
                <w:rFonts w:ascii="Times New Roman" w:hAnsi="Times New Roman"/>
                <w:sz w:val="18"/>
              </w:rPr>
              <w:t>Cao</w:t>
            </w:r>
          </w:p>
        </w:tc>
        <w:tc>
          <w:tcPr>
            <w:tcW w:type="dxa" w:w="2087"/>
          </w:tcPr>
          <w:p>
            <w:r/>
            <w:r>
              <w:rPr>
                <w:rFonts w:ascii="Times New Roman" w:hAnsi="Times New Roman"/>
                <w:sz w:val="18"/>
              </w:rPr>
              <w:t>6,122*</w:t>
            </w:r>
          </w:p>
        </w:tc>
        <w:tc>
          <w:tcPr>
            <w:tcW w:type="dxa" w:w="1204"/>
          </w:tcPr>
          <w:p>
            <w:r/>
            <w:r>
              <w:rPr>
                <w:rFonts w:ascii="Times New Roman" w:hAnsi="Times New Roman"/>
                <w:sz w:val="18"/>
              </w:rPr>
              <w:t>(2,773; 13,515)</w:t>
            </w:r>
          </w:p>
        </w:tc>
        <w:tc>
          <w:tcPr>
            <w:tcW w:type="dxa" w:w="2087"/>
          </w:tcPr>
          <w:p>
            <w:r/>
            <w:r>
              <w:rPr>
                <w:rFonts w:ascii="Times New Roman" w:hAnsi="Times New Roman"/>
                <w:sz w:val="18"/>
              </w:rPr>
              <w:t>5,894*</w:t>
            </w:r>
          </w:p>
        </w:tc>
        <w:tc>
          <w:tcPr>
            <w:tcW w:type="dxa" w:w="1204"/>
          </w:tcPr>
          <w:p>
            <w:r/>
            <w:r>
              <w:rPr>
                <w:rFonts w:ascii="Times New Roman" w:hAnsi="Times New Roman"/>
                <w:sz w:val="18"/>
              </w:rPr>
              <w:t>(2,280; 15,233)</w:t>
            </w:r>
          </w:p>
        </w:tc>
      </w:tr>
      <w:tr>
        <w:tc>
          <w:tcPr>
            <w:tcW w:type="dxa" w:w="2488"/>
          </w:tcPr>
          <w:p>
            <w:r/>
            <w:r>
              <w:rPr>
                <w:rFonts w:ascii="Times New Roman" w:hAnsi="Times New Roman"/>
                <w:sz w:val="18"/>
              </w:rPr>
              <w:t>Bình thường</w:t>
            </w:r>
          </w:p>
        </w:tc>
        <w:tc>
          <w:tcPr>
            <w:tcW w:type="dxa" w:w="2087"/>
          </w:tcPr>
          <w:p>
            <w:r/>
            <w:r>
              <w:rPr>
                <w:rFonts w:ascii="Times New Roman" w:hAnsi="Times New Roman"/>
                <w:sz w:val="18"/>
              </w:rPr>
              <w:t>3,037*</w:t>
            </w:r>
          </w:p>
        </w:tc>
        <w:tc>
          <w:tcPr>
            <w:tcW w:type="dxa" w:w="1204"/>
          </w:tcPr>
          <w:p>
            <w:r/>
            <w:r>
              <w:rPr>
                <w:rFonts w:ascii="Times New Roman" w:hAnsi="Times New Roman"/>
                <w:sz w:val="18"/>
              </w:rPr>
              <w:t>(1,492; 6,181)</w:t>
            </w:r>
          </w:p>
        </w:tc>
        <w:tc>
          <w:tcPr>
            <w:tcW w:type="dxa" w:w="2087"/>
          </w:tcPr>
          <w:p>
            <w:r/>
            <w:r>
              <w:rPr>
                <w:rFonts w:ascii="Times New Roman" w:hAnsi="Times New Roman"/>
                <w:sz w:val="18"/>
              </w:rPr>
              <w:t>1,573</w:t>
            </w:r>
          </w:p>
        </w:tc>
        <w:tc>
          <w:tcPr>
            <w:tcW w:type="dxa" w:w="1204"/>
          </w:tcPr>
          <w:p>
            <w:r/>
            <w:r>
              <w:rPr>
                <w:rFonts w:ascii="Times New Roman" w:hAnsi="Times New Roman"/>
                <w:sz w:val="18"/>
              </w:rPr>
              <w:t>(0,650; 3,811)</w:t>
            </w:r>
          </w:p>
        </w:tc>
      </w:tr>
      <w:tr>
        <w:tc>
          <w:tcPr>
            <w:tcW w:type="dxa" w:w="2488"/>
          </w:tcPr>
          <w:p>
            <w:r/>
            <w:r>
              <w:rPr>
                <w:rFonts w:ascii="Times New Roman" w:hAnsi="Times New Roman"/>
                <w:sz w:val="18"/>
              </w:rPr>
              <w:t>Thấp</w:t>
            </w:r>
          </w:p>
        </w:tc>
        <w:tc>
          <w:tcPr>
            <w:tcW w:type="dxa" w:w="2087"/>
          </w:tcPr>
          <w:p>
            <w:r/>
            <w:r>
              <w:rPr>
                <w:rFonts w:ascii="Times New Roman" w:hAnsi="Times New Roman"/>
                <w:sz w:val="18"/>
              </w:rPr>
              <w:t>3,555*</w:t>
            </w:r>
          </w:p>
        </w:tc>
        <w:tc>
          <w:tcPr>
            <w:tcW w:type="dxa" w:w="1204"/>
          </w:tcPr>
          <w:p>
            <w:r/>
            <w:r>
              <w:rPr>
                <w:rFonts w:ascii="Times New Roman" w:hAnsi="Times New Roman"/>
                <w:sz w:val="18"/>
              </w:rPr>
              <w:t>(1,243; 10,166)</w:t>
            </w:r>
          </w:p>
        </w:tc>
        <w:tc>
          <w:tcPr>
            <w:tcW w:type="dxa" w:w="2087"/>
          </w:tcPr>
          <w:p>
            <w:r/>
            <w:r>
              <w:rPr>
                <w:rFonts w:ascii="Times New Roman" w:hAnsi="Times New Roman"/>
                <w:sz w:val="18"/>
              </w:rPr>
              <w:t>1,143</w:t>
            </w:r>
          </w:p>
        </w:tc>
        <w:tc>
          <w:tcPr>
            <w:tcW w:type="dxa" w:w="1204"/>
          </w:tcPr>
          <w:p>
            <w:r/>
            <w:r>
              <w:rPr>
                <w:rFonts w:ascii="Times New Roman" w:hAnsi="Times New Roman"/>
                <w:sz w:val="18"/>
              </w:rPr>
              <w:t>(0,285; 4,579)</w:t>
            </w:r>
          </w:p>
        </w:tc>
      </w:tr>
    </w:tbl>
    <w:p/>
    <w:p>
      <w:r>
        <w:rPr>
          <w:sz w:val="24"/>
        </w:rPr>
        <w:t>\* *p* &lt; 0,05.</w:t>
      </w:r>
    </w:p>
    <w:p>
      <w:r>
        <w:rPr>
          <w:b/>
          <w:color w:val="FF6600"/>
          <w:sz w:val="20"/>
        </w:rPr>
        <w:t>--- Trang 11/14, Int J Environ Res Public Health, 17(11):4079, tháng 6/2020 ---</w:t>
      </w:r>
    </w:p>
    <w:p>
      <w:pPr>
        <w:pStyle w:val="Heading2"/>
      </w:pPr>
      <w:r>
        <w:t>4. THẢO LUẬN</w:t>
      </w:r>
    </w:p>
    <w:p>
      <w:r>
        <w:rPr>
          <w:sz w:val="24"/>
        </w:rPr>
        <w:t>Trong nghiên cứu này, chúng tôi sử dụng phân tích hồ sơ tiềm ẩn (</w:t>
      </w:r>
      <w:r>
        <w:rPr>
          <w:sz w:val="24"/>
        </w:rPr>
        <w:t>LPA</w:t>
      </w:r>
      <w:r>
        <w:rPr>
          <w:sz w:val="24"/>
        </w:rPr>
        <w:t xml:space="preserve">) để phát hiện các lớp tiềm ẩn của lo âu ở học sinh trung học cơ sở tại vùng nông thôn tỉnh Giang Tây. Phương pháp phân loại này mang tính khách quan, sử dụng tám yếu tố của lo âu, bao gồm lo âu học tập, lo âu giữa các cá nhân, xu hướng cô đơn, xu hướng tự trách, xu hướng dị ứng, triệu chứng thể chất, xu hướng sợ hãi và xu hướng bốc đồng. Đầu tiên, </w:t>
      </w:r>
      <w:r>
        <w:rPr>
          <w:sz w:val="24"/>
        </w:rPr>
        <w:t>LPA</w:t>
      </w:r>
      <w:r>
        <w:rPr>
          <w:sz w:val="24"/>
        </w:rPr>
        <w:t xml:space="preserve"> cho ra giải pháp ba lớp là phù hợp nhất với dữ liệu. Tổng cộng 173 học sinh trung học cơ sở trải qua lo âu nhẹ, chiếm 19,22%; 504 học sinh trung học cơ sở trải qua lo âu trung bình, chiếm 56,00%; 223 học sinh trung học cơ sở trải qua lo âu nặng, chiếm 24,78%. Một báo cáo gần đây đã chỉ ra rằng lo âu nặng chiếm 35% ở học sinh trung học cơ sở, cao hơn kết quả của cuộc khảo sát này [40].</w:t>
      </w:r>
    </w:p>
    <w:p>
      <w:r>
        <w:rPr>
          <w:sz w:val="24"/>
        </w:rPr>
        <w:t>Một nghiên cứu trên 1012 thanh thiếu niên cho thấy tỷ lệ lo âu nặng ở nữ cao hơn nam [41]. Một nghiên cứu trước đây cho thấy có sự khác biệt giới tính trong tỷ lệ lo âu, phát hiện rằng nữ sinh lo âu hơn nam sinh [42]. Phân tích hồi quy logistic của nghiên cứu này cho thấy nguy cơ lo âu trung bình ở nam thấp hơn nữ, và xác suất lo âu nặng ở nam cũng thấp hơn. Một số phát hiện ủng hộ vai trò quan trọng của hormone sinh dục trong việc hướng dẫn não bộ trong các vùng điều hòa căng thẳng và cảm xúc chính, dẫn đến nam giới xử lý tốt hơn dưới áp lực và trong việc điều hòa cảm xúc [43]. Một nghiên cứu cho thấy tỷ lệ lo âu nặng ở nữ cao hơn nam, phù hợp với kết quả của nghiên cứu này [44]. Điều này có thể do nữ nhạy cảm hơn với môi trường xung quanh và các sự kiện. Nữ giới phong phú hơn về trải nghiệm cảm xúc và nhạy cảm hơn với các biến động cảm xúc.</w:t>
      </w:r>
    </w:p>
    <w:p>
      <w:r>
        <w:rPr>
          <w:sz w:val="24"/>
        </w:rPr>
        <w:t>Một số khảo sát đã chỉ ra rằng các yếu tố liên quan đến trường học đóng vai trò quan trọng trong sức khỏe tâm thần thanh thiếu niên [45-47]. Lo âu nặng có thể làm xáo trộn việc học tập và cuộc sống của thanh thiếu niên. Tuy nhiên, thanh thiếu niên thường không nhận được dịch vụ tư vấn khi gặp vấn đề tâm lý (ví dụ: lo âu nặng) [39]. Nghiên cứu này cho thấy học sinh trung học cơ sở có nguy cơ lo âu nặng thấp hơn khi công tác sức khỏe tâm thần tại trường đầy đủ. Nhà trường nên tăng cường giao tiếp và thực hiện tư vấn tâm lý và liệu pháp tâm lý [48]. Nhà trường xây dựng các chương trình sức khỏe tâm thần có thể cải thiện trạng thái tâm lý tích cực của học sinh và phòng ngừa lo âu nặng [46,47]. Để phòng ngừa lo âu nặng cho học sinh, nên thiết lập phòng tư vấn tâm lý tại trường. Đồng thời, việc tư vấn tâm lý nên có sự tham gia của các nhà tư vấn tâm lý chuyên nghiệp. Một nghiên cứu tại Mỹ cho thấy học sinh có thành tích học tập kém có nguy cơ lo âu nặng cao hơn [49]. Xác suất lo âu nặng ở học sinh có thành tích học tập tốt là 0,362 lần so với học sinh có thành tích học tập không đạt.</w:t>
      </w:r>
    </w:p>
    <w:p>
      <w:r>
        <w:rPr>
          <w:sz w:val="24"/>
        </w:rPr>
        <w:t>Có mối liên hệ chặt chẽ giữa căng thẳng và lo âu nặng [50]. Một nghiên cứu cắt ngang cho thấy thanh thiếu niên có áp lực học tập có nguy cơ lo âu nặng cao gấp 2,4 lần so với thanh thiếu niên không có áp lực học tập [51]. Học sinh có tự đánh giá áp lực học tập rất cao có khả năng mắc lo âu trung bình cao gấp 6,523 lần so với học sinh có tự đánh giá áp lực học tập rất thấp. Học sinh có tự đánh giá áp lực học tập rất cao có khả năng mắc lo âu nặng cao gấp 11,579 lần so với học sinh có tự đánh giá áp lực học tập rất thấp. Điều này cho thấy học sinh có tự đánh giá áp lực học tập cao có nguy cơ lo âu trung bình hoặc nặng lớn hơn. Một nghiên cứu tại tỉnh Sơn Đông, Trung Quốc cho thấy học sinh nông thôn và nữ sinh có tự đánh giá áp lực học tập cao hơn. Kết quả là, các em có nguy cơ lo âu trung bình hoặc nặng cao hơn [52]. Giảm áp lực học tập của học sinh được đề xuất nhằm phòng ngừa học sinh phát triển lo âu trung bình hoặc nặng. Phụ huynh và giáo viên cần chú ý đến học sinh và phát hiện sớm những học sinh có căng thẳng học tập cao, đồng thời can thiệp kịp thời nhằm phòng ngừa hoặc giảm thiểu lo âu [51].</w:t>
      </w:r>
    </w:p>
    <w:p>
      <w:r>
        <w:rPr>
          <w:sz w:val="24"/>
        </w:rPr>
        <w:t>Một số hạn chế của nghiên cứu hiện tại cần được xem xét khi diễn giải các phát hiện. Thứ nhất, dữ liệu cắt ngang hạn chế việc diễn giải các phát hiện vì không thể đưa ra tuyên bố nhân quả. Nếu có thể, nghiên cứu trong tương lai nên hướng đến thu thập dữ liệu dọc để hiểu rõ hơn quá trình phát triển lo âu ở trẻ em và thanh thiếu niên. Thứ hai, lo âu và các yếu tố liên quan đến trường học được đánh giá bằng khảo sát tự báo cáo. Thứ ba, chỉ có thanh thiếu niên đang đi học được đưa vào nghiên cứu. Nghiên cứu trong tương lai nên hướng đến thu thập dữ liệu từ các nguồn khác nhau (như báo cáo của giáo viên hoặc báo cáo của người điều tra) để xác nhận các phát hiện.</w:t>
      </w:r>
    </w:p>
    <w:p>
      <w:r>
        <w:rPr>
          <w:sz w:val="24"/>
        </w:rPr>
        <w:t xml:space="preserve">Dù vậy, nghiên cứu hiện tại có tính độc đáo trong phương pháp tiếp cận tập trung vào cá nhân để nghiên cứu lo âu và các yếu tố liên quan đến trường học của nó trong mẫu học sinh trung học cơ sở. </w:t>
      </w:r>
      <w:r>
        <w:rPr>
          <w:sz w:val="24"/>
        </w:rPr>
        <w:t>LPA</w:t>
      </w:r>
      <w:r>
        <w:rPr>
          <w:sz w:val="24"/>
        </w:rPr>
        <w:t xml:space="preserve"> cho thấy ba nhóm lo âu riêng biệt, bao gồm lo âu nhẹ, lo âu trung bình, lo âu nặng [28,53]. Nữ có nhiều khả năng mắc lo âu trung bình hoặc nặng hơn nam. Học sinh có tự đánh giá áp lực học tập cao có nguy cơ lo âu trung bình hoặc nặng lớn hơn. Học sinh có nguy cơ lo âu nặng thấp hơn khi công tác sức khỏe tâm thần tại trường đầy đủ.</w:t>
      </w:r>
    </w:p>
    <w:p>
      <w:r>
        <w:rPr>
          <w:b/>
          <w:color w:val="FF6600"/>
          <w:sz w:val="20"/>
        </w:rPr>
        <w:t>--- Trang 13/14, Int J Environ Res Public Health, 17(11):4079, tháng 6/2020 ---</w:t>
      </w:r>
    </w:p>
    <w:p>
      <w:pPr>
        <w:pStyle w:val="Heading2"/>
      </w:pPr>
      <w:r>
        <w:t>5. KẾT LUẬN</w:t>
      </w:r>
    </w:p>
    <w:p>
      <w:r>
        <w:rPr>
          <w:sz w:val="24"/>
        </w:rPr>
        <w:t>Mức độ lo âu tổng thể ở học sinh nông thôn là cao. Cuộc khảo sát cho thấy có sự khác biệt giới tính trong tỷ lệ lo âu, phát hiện rằng nữ sinh lo âu hơn nam sinh. Mức lo âu cao hơn được quan sát ở nữ sinh, học sinh có thành tích học tập xuất sắc hơn, và học sinh có áp lực học tập cao hơn. Mức lo âu thấp hơn được quan sát ở học sinh có công tác sức khỏe tâm thần tại trường đầy đủ. Chúng tôi đã cung cấp cái nhìn sâu sắc về nhóm nào đặc biệt dễ bị tổn thương trước lo âu. Các phát hiện của chúng tôi có thể giúp phụ huynh, giáo viên và nhà trường phát triển các chiến lược cụ thể và hiệu quả hơn để xử lý lo âu ở thanh thiếu niên. Cuối cùng, các phát hiện của chúng tôi có thể giúp các nhà lãnh đạo Trung Quốc nhắm mục tiêu đầu tư tốt hơn và xây dựng chính sách nhằm cải thiện sức khỏe tâm thần của học sinh tại vùng nông thôn Trung Quốc.</w:t>
      </w:r>
    </w:p>
    <w:p>
      <w:pPr>
        <w:pStyle w:val="Heading2"/>
      </w:pPr>
      <w:r>
        <w:t>TÀI LIỆU THAM KHẢO / REFERENCES</w:t>
      </w:r>
    </w:p>
    <w:p>
      <w:r>
        <w:rPr>
          <w:sz w:val="24"/>
        </w:rPr>
        <w:t xml:space="preserve">1. Weng, T.T.; Hao, J.H.; Qian, Q.W.; Cao, H.; Fu, J.L.; Sun, Y.; Huang, L.; Tao, F.B. Is there any relationship between dietary patterns and depression and anxiety in Chinese adolescents? *Public Health Nutr.* </w:t>
      </w:r>
      <w:r>
        <w:rPr>
          <w:b/>
          <w:sz w:val="24"/>
        </w:rPr>
        <w:t>2012</w:t>
      </w:r>
      <w:r>
        <w:rPr>
          <w:sz w:val="24"/>
        </w:rPr>
        <w:t>, *15*, 673–682. [CrossRef]</w:t>
      </w:r>
    </w:p>
    <w:p>
      <w:r>
        <w:rPr>
          <w:sz w:val="24"/>
        </w:rPr>
        <w:t xml:space="preserve">2. Xu, Z.; Selman, R.L.; Haste, H. Academic stress in Chinese schools and a proposed preventive intervention program. *Cogent Educ.* </w:t>
      </w:r>
      <w:r>
        <w:rPr>
          <w:b/>
          <w:sz w:val="24"/>
        </w:rPr>
        <w:t>2015</w:t>
      </w:r>
      <w:r>
        <w:rPr>
          <w:sz w:val="24"/>
        </w:rPr>
        <w:t>, *2*, 1000477. [CrossRef]</w:t>
      </w:r>
    </w:p>
    <w:p>
      <w:r>
        <w:rPr>
          <w:sz w:val="24"/>
        </w:rPr>
        <w:t xml:space="preserve">3. Essau, C.A.; Leung, P.W.L.; Conradt, J.; Cheng, H.; Wong, T. Anxiety symptoms in Chinese and German adolescents: Their relationship with early learning experiences, perfectionism, and learning motivation. *Depress. Anxiety* </w:t>
      </w:r>
      <w:r>
        <w:rPr>
          <w:b/>
          <w:sz w:val="24"/>
        </w:rPr>
        <w:t>2008</w:t>
      </w:r>
      <w:r>
        <w:rPr>
          <w:sz w:val="24"/>
        </w:rPr>
        <w:t>, *25*, 801–810. [CrossRef]</w:t>
      </w:r>
    </w:p>
    <w:p>
      <w:r>
        <w:rPr>
          <w:sz w:val="24"/>
        </w:rPr>
        <w:t xml:space="preserve">4. Zhao, J.; Xing, X.; Wang, M. Psychometric properties of the Spence Children's Anxiety Scale (SCAS) in Mainland Chinese children and adolescents. *J. Anxiety Disord.* </w:t>
      </w:r>
      <w:r>
        <w:rPr>
          <w:b/>
          <w:sz w:val="24"/>
        </w:rPr>
        <w:t>2012</w:t>
      </w:r>
      <w:r>
        <w:rPr>
          <w:sz w:val="24"/>
        </w:rPr>
        <w:t>, *26*, 728–736. [CrossRef]</w:t>
      </w:r>
    </w:p>
    <w:p>
      <w:r>
        <w:rPr>
          <w:sz w:val="24"/>
        </w:rPr>
        <w:t xml:space="preserve">5. Conway, C.C.; Zinbarg, R.E.; Mineka, S.; Craske, M.G. Core dimensions of anxiety and depression change independently during adolescence. *J. Abnorm. Psychol.* </w:t>
      </w:r>
      <w:r>
        <w:rPr>
          <w:b/>
          <w:sz w:val="24"/>
        </w:rPr>
        <w:t>2017</w:t>
      </w:r>
      <w:r>
        <w:rPr>
          <w:sz w:val="24"/>
        </w:rPr>
        <w:t>, *126*, 160–172. [CrossRef]</w:t>
      </w:r>
    </w:p>
    <w:p>
      <w:r>
        <w:rPr>
          <w:sz w:val="24"/>
        </w:rPr>
        <w:t xml:space="preserve">6. Pengpid, S.; Peltzer, K. High Sedentary Behaviour and Low Physical Activity are Associated with Anxiety and Depression in Myanmar and Vietnam. *Int. J. Env. Res. Public Health* </w:t>
      </w:r>
      <w:r>
        <w:rPr>
          <w:b/>
          <w:sz w:val="24"/>
        </w:rPr>
        <w:t>2019</w:t>
      </w:r>
      <w:r>
        <w:rPr>
          <w:sz w:val="24"/>
        </w:rPr>
        <w:t>, *16*. [CrossRef]</w:t>
      </w:r>
    </w:p>
    <w:p>
      <w:r>
        <w:rPr>
          <w:sz w:val="24"/>
        </w:rPr>
        <w:t xml:space="preserve">7. Beesdo, K.; Knappe, S.; Pine, D.S. Anxiety and Anxiety Disorders in Children and Adolescents: Developmental Issues and Implications for DSM-V. *Psychiatr. Clin. N. Am.* </w:t>
      </w:r>
      <w:r>
        <w:rPr>
          <w:b/>
          <w:sz w:val="24"/>
        </w:rPr>
        <w:t>2009</w:t>
      </w:r>
      <w:r>
        <w:rPr>
          <w:sz w:val="24"/>
        </w:rPr>
        <w:t>, *32*, 483–524. [CrossRef]</w:t>
      </w:r>
    </w:p>
    <w:p>
      <w:r>
        <w:rPr>
          <w:sz w:val="24"/>
        </w:rPr>
        <w:t xml:space="preserve">8. Tu, C.; Huang, Z.; Fu, L.; Fang, Y.; Wang, J.; Guo, T.; Li, M.; Hao, J.; Tao, F. Predictors of suicidal ideation with sub-optimal health status and anxiety symptom among Chinese adolescents. *J. Trop. Pediatr.* </w:t>
      </w:r>
      <w:r>
        <w:rPr>
          <w:b/>
          <w:sz w:val="24"/>
        </w:rPr>
        <w:t>2012</w:t>
      </w:r>
      <w:r>
        <w:rPr>
          <w:sz w:val="24"/>
        </w:rPr>
        <w:t>, *58*, 314–319. [CrossRef]</w:t>
      </w:r>
    </w:p>
    <w:p>
      <w:r>
        <w:rPr>
          <w:sz w:val="24"/>
        </w:rPr>
        <w:t xml:space="preserve">9. Baxter, A.; Scott, K.M.; Vos, T.; Whiteford, H.A. Global prevalence of anxiety disorders: A systematic review and meta-regression. *Psychol. Med.* </w:t>
      </w:r>
      <w:r>
        <w:rPr>
          <w:b/>
          <w:sz w:val="24"/>
        </w:rPr>
        <w:t>2012</w:t>
      </w:r>
      <w:r>
        <w:rPr>
          <w:sz w:val="24"/>
        </w:rPr>
        <w:t>, *43*, 897–910. [CrossRef]</w:t>
      </w:r>
    </w:p>
    <w:p>
      <w:r>
        <w:rPr>
          <w:sz w:val="24"/>
        </w:rPr>
        <w:t xml:space="preserve">10. Lindert, J.; Von Ehrenstein, O.S.; Grashow, R.; Gal, G.; Braehler, E.; Weisskopf, M.G. Sexual and physical abuse in childhood is associated with depression and anxiety over the life course: Systematic review and meta-analysis. *Int. J. Public Health* </w:t>
      </w:r>
      <w:r>
        <w:rPr>
          <w:b/>
          <w:sz w:val="24"/>
        </w:rPr>
        <w:t>2014</w:t>
      </w:r>
      <w:r>
        <w:rPr>
          <w:sz w:val="24"/>
        </w:rPr>
        <w:t>, *59*, 359–372. [CrossRef]</w:t>
      </w:r>
    </w:p>
    <w:p>
      <w:r>
        <w:rPr>
          <w:sz w:val="24"/>
        </w:rPr>
        <w:t xml:space="preserve">11. Kessler, R.C.; Aguilar-Gaxiola, S.; Alonso, J.; Chatterji, S.; Lee, S.; Ormel, J.; Ustun, T.B.; Wang, P.S. The global burden of mental disorders: An update from the </w:t>
      </w:r>
      <w:r>
        <w:rPr>
          <w:b/>
          <w:color w:val="CC0000"/>
          <w:sz w:val="24"/>
        </w:rPr>
        <w:t>WHO</w:t>
      </w:r>
      <w:r>
        <w:rPr>
          <w:sz w:val="24"/>
        </w:rPr>
        <w:t xml:space="preserve"> World Mental Health (WMH) Surveys. *Epidemiol. Psichiatr. Soc.* </w:t>
      </w:r>
      <w:r>
        <w:rPr>
          <w:b/>
          <w:sz w:val="24"/>
        </w:rPr>
        <w:t>2009</w:t>
      </w:r>
      <w:r>
        <w:rPr>
          <w:sz w:val="24"/>
        </w:rPr>
        <w:t>, *18*, 23–33. [CrossRef]</w:t>
      </w:r>
    </w:p>
    <w:p>
      <w:r>
        <w:rPr>
          <w:sz w:val="24"/>
        </w:rPr>
        <w:t xml:space="preserve">12. Kuringe, E.; Materu, J.; Nyato, D.; Majani, E.; Ngeni, F.; Shao, A.; Mjungu, D.; Mtenga, B.; Nnko, S.; Kipingili, T.; et al. Prevalence and correlates of depression and anxiety symptoms among out-of-school adolescent girls and young women in Tanzania: A cross-sectional study. *PLoS ONE* </w:t>
      </w:r>
      <w:r>
        <w:rPr>
          <w:b/>
          <w:sz w:val="24"/>
        </w:rPr>
        <w:t>2019</w:t>
      </w:r>
      <w:r>
        <w:rPr>
          <w:sz w:val="24"/>
        </w:rPr>
        <w:t>, *14*, e0221053. [CrossRef]</w:t>
      </w:r>
    </w:p>
    <w:p>
      <w:r>
        <w:rPr>
          <w:sz w:val="24"/>
        </w:rPr>
        <w:t xml:space="preserve">13. Yao, S.Q.; Zou, T.; Zhu, X.Z.; Abela, J.R.Z.; Auerbach, R.P.; Tong, X. Reliability and validity of the Chinese version of the multidimensional anxiety scale for children among Chinese secondary school students. *Child Psychiat. Hum. Dev.* </w:t>
      </w:r>
      <w:r>
        <w:rPr>
          <w:b/>
          <w:sz w:val="24"/>
        </w:rPr>
        <w:t>2007</w:t>
      </w:r>
      <w:r>
        <w:rPr>
          <w:sz w:val="24"/>
        </w:rPr>
        <w:t>, *38*, 1–16. [CrossRef]</w:t>
      </w:r>
    </w:p>
    <w:p>
      <w:r>
        <w:rPr>
          <w:sz w:val="24"/>
        </w:rPr>
        <w:t xml:space="preserve">14. Kouider, E.B.; Petermann, F. Common risk factors of depressive and anxiety symptomatics in childhood and adolescence: A systematic review from transdiagnostic perspectives. *Neurol. Psychiatr.* </w:t>
      </w:r>
      <w:r>
        <w:rPr>
          <w:b/>
          <w:sz w:val="24"/>
        </w:rPr>
        <w:t>2015</w:t>
      </w:r>
      <w:r>
        <w:rPr>
          <w:sz w:val="24"/>
        </w:rPr>
        <w:t>, *83*, 321–333. [CrossRef]</w:t>
      </w:r>
    </w:p>
    <w:p>
      <w:r>
        <w:rPr>
          <w:sz w:val="24"/>
        </w:rPr>
        <w:t xml:space="preserve">15. Cheung, T.; Yip, P.S.F. Lifestyle and depression among Hong Kong nurses. *Int. J. Environ. Res. Public Health* </w:t>
      </w:r>
      <w:r>
        <w:rPr>
          <w:b/>
          <w:sz w:val="24"/>
        </w:rPr>
        <w:t>2016</w:t>
      </w:r>
      <w:r>
        <w:rPr>
          <w:sz w:val="24"/>
        </w:rPr>
        <w:t>, *13*, 135. [CrossRef]</w:t>
      </w:r>
    </w:p>
    <w:p>
      <w:r>
        <w:rPr>
          <w:sz w:val="24"/>
        </w:rPr>
        <w:t xml:space="preserve">16. Forsyth, A.K.; Deane, F.P.; Williams, P.G. Physical activity and fitness outcomes of a lifestyle intervention for primary care patients with depression and anxiety: A Randomised Controlled Trial. *Int. J. Ment. Health Addict.* </w:t>
      </w:r>
      <w:r>
        <w:rPr>
          <w:b/>
          <w:sz w:val="24"/>
        </w:rPr>
        <w:t>2017</w:t>
      </w:r>
      <w:r>
        <w:rPr>
          <w:sz w:val="24"/>
        </w:rPr>
        <w:t>, *15*, 545–554. [CrossRef]</w:t>
      </w:r>
    </w:p>
    <w:p>
      <w:r>
        <w:rPr>
          <w:sz w:val="24"/>
        </w:rPr>
        <w:t xml:space="preserve">17. Forsyth, A.; Deane, F.P.; Williams, P. A lifestyle intervention for primary care patients with depression and anxiety: A randomised controlled trial. *Psychiatry Res.* </w:t>
      </w:r>
      <w:r>
        <w:rPr>
          <w:b/>
          <w:sz w:val="24"/>
        </w:rPr>
        <w:t>2015</w:t>
      </w:r>
      <w:r>
        <w:rPr>
          <w:sz w:val="24"/>
        </w:rPr>
        <w:t>, *230*, 537–544. [CrossRef]</w:t>
      </w:r>
    </w:p>
    <w:p>
      <w:r>
        <w:rPr>
          <w:sz w:val="24"/>
        </w:rPr>
        <w:t xml:space="preserve">18. Tochigi, M.; Usami, S.; Matamura, M.; Kitagawa, Y.; Fukushima, M.; Yonehara, H.; Togo, F.; Nishida, A.; Sasaki, T. Annual longitudinal survey at up to five time points reveals reciprocal effects of bedtime delay and depression/anxiety in adolescents. *Sleep Med.* </w:t>
      </w:r>
      <w:r>
        <w:rPr>
          <w:b/>
          <w:sz w:val="24"/>
        </w:rPr>
        <w:t>2016</w:t>
      </w:r>
      <w:r>
        <w:rPr>
          <w:sz w:val="24"/>
        </w:rPr>
        <w:t>, *17*, 81–86. [CrossRef]</w:t>
      </w:r>
    </w:p>
    <w:p>
      <w:r>
        <w:rPr>
          <w:sz w:val="24"/>
        </w:rPr>
        <w:t xml:space="preserve">19. Raheel, H. Depression and associated factors among adolescent females in riyadh, kingdom of saudi arabia, a cross-sectional study. *Int. J. Prev. Med.* </w:t>
      </w:r>
      <w:r>
        <w:rPr>
          <w:b/>
          <w:sz w:val="24"/>
        </w:rPr>
        <w:t>2015</w:t>
      </w:r>
      <w:r>
        <w:rPr>
          <w:sz w:val="24"/>
        </w:rPr>
        <w:t>, *6*, 7. [CrossRef]</w:t>
      </w:r>
    </w:p>
    <w:p>
      <w:r>
        <w:rPr>
          <w:sz w:val="24"/>
        </w:rPr>
        <w:t xml:space="preserve">20. Hesketh, T.; Ding, Q.J. Anxiety and depression in adolescents in urban and rural China. *Psychol. Rep.* </w:t>
      </w:r>
      <w:r>
        <w:rPr>
          <w:b/>
          <w:sz w:val="24"/>
        </w:rPr>
        <w:t>2005</w:t>
      </w:r>
      <w:r>
        <w:rPr>
          <w:sz w:val="24"/>
        </w:rPr>
        <w:t>, *96*, 435–444. [CrossRef]</w:t>
      </w:r>
    </w:p>
    <w:p>
      <w:r>
        <w:rPr>
          <w:sz w:val="24"/>
        </w:rPr>
        <w:t xml:space="preserve">21. Jin, Y.; He, L.; Kang, Y.; Chen, Y.; Lu, W.; Ren, X.; Song, X.; Wang, L.; Nie, Z.; Guo, D.; et al. Prevalence and risk factors of anxiety status among students aged 13-26 years. *Int. J. Clin. Exp. Med.* </w:t>
      </w:r>
      <w:r>
        <w:rPr>
          <w:b/>
          <w:sz w:val="24"/>
        </w:rPr>
        <w:t>2014</w:t>
      </w:r>
      <w:r>
        <w:rPr>
          <w:sz w:val="24"/>
        </w:rPr>
        <w:t>, *7*, 4420–4426.</w:t>
      </w:r>
    </w:p>
    <w:p>
      <w:r>
        <w:rPr>
          <w:sz w:val="24"/>
        </w:rPr>
        <w:t xml:space="preserve">22. Jin, B.Y.; Su, Y. Effects of Chinese Traditional Exercise on Students' Self-concept of Middle School and Its Relation with Mental Health. *J. Beijing Univ. Phys. Edvcation* </w:t>
      </w:r>
      <w:r>
        <w:rPr>
          <w:b/>
          <w:sz w:val="24"/>
        </w:rPr>
        <w:t>2010</w:t>
      </w:r>
      <w:r>
        <w:rPr>
          <w:sz w:val="24"/>
        </w:rPr>
        <w:t>, *2*, 671–675.</w:t>
      </w:r>
    </w:p>
    <w:p>
      <w:r>
        <w:rPr>
          <w:sz w:val="24"/>
        </w:rPr>
        <w:t xml:space="preserve">23. Yang, C.W.; Lu, P. Research into Psychological Intervention of Sports Game Activities with Stay-at-Home Children. *Proc. Int. Symp. Sports Innov. Dev. Univ. Coll.* </w:t>
      </w:r>
      <w:r>
        <w:rPr>
          <w:b/>
          <w:sz w:val="24"/>
        </w:rPr>
        <w:t>2012</w:t>
      </w:r>
      <w:r>
        <w:rPr>
          <w:sz w:val="24"/>
        </w:rPr>
        <w:t>, *6*, 638–642.</w:t>
      </w:r>
    </w:p>
    <w:p>
      <w:r>
        <w:rPr>
          <w:sz w:val="24"/>
        </w:rPr>
        <w:t xml:space="preserve">24. Guan, H.; Wang, H.; Du, K.; Zhao, J.; Boswell, M.; Shi, Y.; Qian, Y. The Effect of providing free eyeglasses on children's mental health outcomes in china: A cluster-randomized controlled trial. *Int. J. Env. Res. Public Health* </w:t>
      </w:r>
      <w:r>
        <w:rPr>
          <w:b/>
          <w:sz w:val="24"/>
        </w:rPr>
        <w:t>2018</w:t>
      </w:r>
      <w:r>
        <w:rPr>
          <w:sz w:val="24"/>
        </w:rPr>
        <w:t>, *15*. [CrossRef]</w:t>
      </w:r>
    </w:p>
    <w:p>
      <w:r>
        <w:rPr>
          <w:sz w:val="24"/>
        </w:rPr>
        <w:t xml:space="preserve">25. Chang, H.; Yan, Q.; Tang, L.; Huang, J.; Ma, Y.; Ye, X.; Yu, Y. A comparative analysis of suicide attempts in left-behind children and non-left-behind children in rural China. *PLoS ONE* </w:t>
      </w:r>
      <w:r>
        <w:rPr>
          <w:b/>
          <w:sz w:val="24"/>
        </w:rPr>
        <w:t>2017</w:t>
      </w:r>
      <w:r>
        <w:rPr>
          <w:sz w:val="24"/>
        </w:rPr>
        <w:t>, *12*, e0178743. [CrossRef]</w:t>
      </w:r>
    </w:p>
    <w:p>
      <w:r>
        <w:rPr>
          <w:sz w:val="24"/>
        </w:rPr>
        <w:t xml:space="preserve">26. Dong, B.; Yu, D.; Ren, Q.; Zhao, D.; Li, J.; Sun, Y.H. The resilience status of Chinese left-behind children in rural areas: A meta-analysis. *Psychol. Health Med.* </w:t>
      </w:r>
      <w:r>
        <w:rPr>
          <w:b/>
          <w:sz w:val="24"/>
        </w:rPr>
        <w:t>2019</w:t>
      </w:r>
      <w:r>
        <w:rPr>
          <w:sz w:val="24"/>
        </w:rPr>
        <w:t>, *24*, 1–13. [CrossRef]</w:t>
      </w:r>
    </w:p>
    <w:p>
      <w:r>
        <w:rPr>
          <w:sz w:val="24"/>
        </w:rPr>
        <w:t xml:space="preserve">27. Debowska, A.; Boduszek, D.; Willmott, D. psychosocial correlates of attitudes toward male sexual violence in a sample of financial crime, property crime, general violent, and homicide offenders. *Sex. Abus.* </w:t>
      </w:r>
      <w:r>
        <w:rPr>
          <w:b/>
          <w:sz w:val="24"/>
        </w:rPr>
        <w:t>2018</w:t>
      </w:r>
      <w:r>
        <w:rPr>
          <w:sz w:val="24"/>
        </w:rPr>
        <w:t>, *30*, 705–727. [CrossRef]</w:t>
      </w:r>
    </w:p>
    <w:p>
      <w:r>
        <w:rPr>
          <w:sz w:val="24"/>
        </w:rPr>
        <w:t xml:space="preserve">28. Boduszek, D.; Debowska, A.; Willmott, D.; Jones, A.D.; DeLisi, M.; Kirkman, G. Is female psychopathy linked with child abuse? An empirical investigation using a person-centered approach. *J. Child. Sex. Abus.* </w:t>
      </w:r>
      <w:r>
        <w:rPr>
          <w:b/>
          <w:sz w:val="24"/>
        </w:rPr>
        <w:t>2019</w:t>
      </w:r>
      <w:r>
        <w:rPr>
          <w:sz w:val="24"/>
        </w:rPr>
        <w:t>, *28*, 708–725. [CrossRef]</w:t>
      </w:r>
    </w:p>
    <w:p>
      <w:r>
        <w:rPr>
          <w:sz w:val="24"/>
        </w:rPr>
        <w:t xml:space="preserve">29. Cohen, J.R.; Menon, S.V.; Shorey, R.C.; Le, V.D.; Temple, J.R. The distal consequences of physical and emotional neglect in emerging adults: A person-centered, multi-wave, longitudinal study. *Child. Abus. Negl.* </w:t>
      </w:r>
      <w:r>
        <w:rPr>
          <w:b/>
          <w:sz w:val="24"/>
        </w:rPr>
        <w:t>2017</w:t>
      </w:r>
      <w:r>
        <w:rPr>
          <w:sz w:val="24"/>
        </w:rPr>
        <w:t>, *63*, 151–161. [CrossRef]</w:t>
      </w:r>
    </w:p>
    <w:p>
      <w:r>
        <w:rPr>
          <w:sz w:val="24"/>
        </w:rPr>
        <w:t xml:space="preserve">30. Simpson, E.G.; Vannucci, A.; Ohannessian, C.M. Family functioning and adolescent internalizing symptoms: A latent profile analysis. *J. Adolesc.* </w:t>
      </w:r>
      <w:r>
        <w:rPr>
          <w:b/>
          <w:sz w:val="24"/>
        </w:rPr>
        <w:t>2018</w:t>
      </w:r>
      <w:r>
        <w:rPr>
          <w:sz w:val="24"/>
        </w:rPr>
        <w:t>, *64*, 136–145. [CrossRef]</w:t>
      </w:r>
    </w:p>
    <w:p>
      <w:r>
        <w:rPr>
          <w:sz w:val="24"/>
        </w:rPr>
        <w:t xml:space="preserve">31. Coulombe, S.; Radziszewski, S.; Meunier, S.; Provencher, H.; Hudon, C.; Roberge, P.; Provencher, M.D.; Houle, J. Profiles of recovery from mood and anxiety disorders: A person centered exploration of people's engagement in self-management. *Front. Psychol.* </w:t>
      </w:r>
      <w:r>
        <w:rPr>
          <w:b/>
          <w:sz w:val="24"/>
        </w:rPr>
        <w:t>2016</w:t>
      </w:r>
      <w:r>
        <w:rPr>
          <w:sz w:val="24"/>
        </w:rPr>
        <w:t>, *7*, 21. [CrossRef]</w:t>
      </w:r>
    </w:p>
    <w:p>
      <w:r>
        <w:rPr>
          <w:sz w:val="24"/>
        </w:rPr>
        <w:t xml:space="preserve">32. Sclove, S.L. Application of model-selection criteria to some problems in multivariate-analysis. *Psychometrika* </w:t>
      </w:r>
      <w:r>
        <w:rPr>
          <w:b/>
          <w:sz w:val="24"/>
        </w:rPr>
        <w:t>1987</w:t>
      </w:r>
      <w:r>
        <w:rPr>
          <w:sz w:val="24"/>
        </w:rPr>
        <w:t>, *52*, 333–343. [CrossRef]</w:t>
      </w:r>
    </w:p>
    <w:p>
      <w:r>
        <w:rPr>
          <w:sz w:val="24"/>
        </w:rPr>
        <w:t xml:space="preserve">33. Celeux, G.; Soromenho, G. An entropy criterion for assessing the number of clusters in a mixture model. *J. Classif.* </w:t>
      </w:r>
      <w:r>
        <w:rPr>
          <w:b/>
          <w:sz w:val="24"/>
        </w:rPr>
        <w:t>1996</w:t>
      </w:r>
      <w:r>
        <w:rPr>
          <w:sz w:val="24"/>
        </w:rPr>
        <w:t>, *13*, 195–212. [CrossRef]</w:t>
      </w:r>
    </w:p>
    <w:p>
      <w:r>
        <w:rPr>
          <w:sz w:val="24"/>
        </w:rPr>
        <w:t xml:space="preserve">34. Lo, Y.T.; Mendell, N.R.; Rubin, D.B. Testing the number of components in a normal mixture. *Biometrika* </w:t>
      </w:r>
      <w:r>
        <w:rPr>
          <w:b/>
          <w:sz w:val="24"/>
        </w:rPr>
        <w:t>2001</w:t>
      </w:r>
      <w:r>
        <w:rPr>
          <w:sz w:val="24"/>
        </w:rPr>
        <w:t>, *88*, 767–778. [CrossRef]</w:t>
      </w:r>
    </w:p>
    <w:p>
      <w:r>
        <w:rPr>
          <w:sz w:val="24"/>
        </w:rPr>
        <w:t>35. McLachlan, G.J.; Lee, S.X.; Rathnayake, S.I. Finite mixture models. In *Annual Review of Statistics and Its Application*; Reid, N., Ed.; Annual Reviews: Palo Alto, CA, USA, 2019; Volume 6, pp. 355–378.</w:t>
      </w:r>
    </w:p>
    <w:p>
      <w:r>
        <w:rPr>
          <w:sz w:val="24"/>
        </w:rPr>
        <w:t xml:space="preserve">36. Nylund, K.L.; Asparoutiov, T.; Muthen, B.O. Deciding on the number of classes in latent class analysis and growth mixture modeling: A Monte Carlo simulation study. *Struct. Equ. Modeling* </w:t>
      </w:r>
      <w:r>
        <w:rPr>
          <w:b/>
          <w:sz w:val="24"/>
        </w:rPr>
        <w:t>2007</w:t>
      </w:r>
      <w:r>
        <w:rPr>
          <w:sz w:val="24"/>
        </w:rPr>
        <w:t>, *14*, 535–569. [CrossRef]</w:t>
      </w:r>
    </w:p>
    <w:p>
      <w:r>
        <w:rPr>
          <w:sz w:val="24"/>
        </w:rPr>
        <w:t xml:space="preserve">37. Lubke, G.; Neale, M.C. Distinguishing between latent classes and continuous factors: Resolution by maximum likelihood? *Multivar. Behav. Res.* </w:t>
      </w:r>
      <w:r>
        <w:rPr>
          <w:b/>
          <w:sz w:val="24"/>
        </w:rPr>
        <w:t>2006</w:t>
      </w:r>
      <w:r>
        <w:rPr>
          <w:sz w:val="24"/>
        </w:rPr>
        <w:t>, *41*, 499–532. [CrossRef]</w:t>
      </w:r>
    </w:p>
    <w:p>
      <w:r>
        <w:rPr>
          <w:sz w:val="24"/>
        </w:rPr>
        <w:t xml:space="preserve">38. Hamza, C.A.; Willoughby, T. Nonsuicidal self-injury and suicidal behavior: A latent class analysis among young adults. *PLoS ONE* </w:t>
      </w:r>
      <w:r>
        <w:rPr>
          <w:b/>
          <w:sz w:val="24"/>
        </w:rPr>
        <w:t>2013</w:t>
      </w:r>
      <w:r>
        <w:rPr>
          <w:sz w:val="24"/>
        </w:rPr>
        <w:t>, *8*. [CrossRef]</w:t>
      </w:r>
    </w:p>
    <w:p>
      <w:r>
        <w:rPr>
          <w:sz w:val="24"/>
        </w:rPr>
        <w:t xml:space="preserve">39. Eastman, M.; Foshee, V.; Ennett, S.; Sotres-Alvarez, D.; Reyes, H.L.M.; Faris, R.; North, K. Profiles of internalizing and externalizing symptoms associated with bullying victimization. *J. Adolesc.* </w:t>
      </w:r>
      <w:r>
        <w:rPr>
          <w:b/>
          <w:sz w:val="24"/>
        </w:rPr>
        <w:t>2018</w:t>
      </w:r>
      <w:r>
        <w:rPr>
          <w:sz w:val="24"/>
        </w:rPr>
        <w:t>, *65*, 101–110. [CrossRef]</w:t>
      </w:r>
    </w:p>
    <w:p>
      <w:r>
        <w:rPr>
          <w:sz w:val="24"/>
        </w:rPr>
        <w:t xml:space="preserve">40. Zou, Y.R.; Leong, W.A.; Yao, M.L.; Hu, X.F.; Lu, S.X.; Zhu, X.W.; Chen, L.X.; Tong, J.J.; Shi, J.Y.; Gilson, E.; et al. Test anxiety and telomere length: Academic stress in adolescents may not cause rapid telomere erosion. *Oncotarget* </w:t>
      </w:r>
      <w:r>
        <w:rPr>
          <w:b/>
          <w:sz w:val="24"/>
        </w:rPr>
        <w:t>2017</w:t>
      </w:r>
      <w:r>
        <w:rPr>
          <w:sz w:val="24"/>
        </w:rPr>
        <w:t>, *8*, 10836–10844. [CrossRef]</w:t>
      </w:r>
    </w:p>
    <w:p>
      <w:r>
        <w:rPr>
          <w:sz w:val="24"/>
        </w:rPr>
        <w:t xml:space="preserve">41. Zubeidat, I.; Parra, A.F.; Sierra, J.C.; Salinas, J.M. Assessment of factors associated to social anxiety and other psychopotologies in adolescents. *Salud. Ment.* </w:t>
      </w:r>
      <w:r>
        <w:rPr>
          <w:b/>
          <w:sz w:val="24"/>
        </w:rPr>
        <w:t>2008</w:t>
      </w:r>
      <w:r>
        <w:rPr>
          <w:sz w:val="24"/>
        </w:rPr>
        <w:t>, *31*, 189–196.</w:t>
      </w:r>
    </w:p>
    <w:p>
      <w:r>
        <w:rPr>
          <w:sz w:val="24"/>
        </w:rPr>
        <w:t xml:space="preserve">42. Shen, M.; Gao, J.; Liang, Z.; Wang, Y.; Du, Y.; Stallones, L. Parental migration patterns and risk of depression and anxiety disorder among rural children aged 10-18 years in China: A cross-sectional study. *BMJ Open* </w:t>
      </w:r>
      <w:r>
        <w:rPr>
          <w:b/>
          <w:sz w:val="24"/>
        </w:rPr>
        <w:t>2015</w:t>
      </w:r>
      <w:r>
        <w:rPr>
          <w:sz w:val="24"/>
        </w:rPr>
        <w:t>, *5*, e007802. [CrossRef]</w:t>
      </w:r>
    </w:p>
    <w:p>
      <w:r>
        <w:rPr>
          <w:sz w:val="24"/>
        </w:rPr>
        <w:t xml:space="preserve">43. Bale, T.L.; Epperson, C.N. Sex differences and stress across the lifespan. *Nat. Neurosci.* </w:t>
      </w:r>
      <w:r>
        <w:rPr>
          <w:b/>
          <w:sz w:val="24"/>
        </w:rPr>
        <w:t>2015</w:t>
      </w:r>
      <w:r>
        <w:rPr>
          <w:sz w:val="24"/>
        </w:rPr>
        <w:t>, *18*, 1413–1420. [CrossRef]</w:t>
      </w:r>
    </w:p>
    <w:p>
      <w:r>
        <w:rPr>
          <w:sz w:val="24"/>
        </w:rPr>
        <w:t xml:space="preserve">44. Sandal, R.K.; Goel, N.K.; Sharma, M.K.; Bakshi, R.K.; Singh, N.; Kumar, D. Prevalence of depression, anxiety and stress among school going adolescent in Chandigarh. *J. Fam. Med. Prim. Care* </w:t>
      </w:r>
      <w:r>
        <w:rPr>
          <w:b/>
          <w:sz w:val="24"/>
        </w:rPr>
        <w:t>2017</w:t>
      </w:r>
      <w:r>
        <w:rPr>
          <w:sz w:val="24"/>
        </w:rPr>
        <w:t>, *6*, 405–410. [CrossRef]</w:t>
      </w:r>
    </w:p>
    <w:p>
      <w:r>
        <w:rPr>
          <w:sz w:val="24"/>
        </w:rPr>
        <w:t xml:space="preserve">45. Lopez, E.E.; Ochoa, G.M.; Olaizola, J.H. The role of family communication and school adjustment on adolescent mental health. *Salud. Ment.* </w:t>
      </w:r>
      <w:r>
        <w:rPr>
          <w:b/>
          <w:sz w:val="24"/>
        </w:rPr>
        <w:t>2005</w:t>
      </w:r>
      <w:r>
        <w:rPr>
          <w:sz w:val="24"/>
        </w:rPr>
        <w:t>, *28*, 81–89.</w:t>
      </w:r>
    </w:p>
    <w:p>
      <w:r>
        <w:rPr>
          <w:sz w:val="24"/>
        </w:rPr>
        <w:t xml:space="preserve">46. Nair, M.K.C.; Chacko, D.S.; Indira, M.S.; Siju, K.E.; George, B.; Russell, P.S. A Primary Care Approach for Adolescent Care and Counseling Services. *Indian J. Pediatrics* </w:t>
      </w:r>
      <w:r>
        <w:rPr>
          <w:b/>
          <w:sz w:val="24"/>
        </w:rPr>
        <w:t>2012</w:t>
      </w:r>
      <w:r>
        <w:rPr>
          <w:sz w:val="24"/>
        </w:rPr>
        <w:t>, *79*, S79–S83. [CrossRef]</w:t>
      </w:r>
    </w:p>
    <w:p>
      <w:r>
        <w:rPr>
          <w:sz w:val="24"/>
        </w:rPr>
        <w:t xml:space="preserve">47. Johnstone, K.M.; Middleton, T.; Kemps, E.; Chen, J.W. A pilot investigation of universal school-based prevention programs for anxiety and depression symptomology in children: A randomized controlled trial. *J. Clin. Psychol.* </w:t>
      </w:r>
      <w:r>
        <w:rPr>
          <w:b/>
          <w:sz w:val="24"/>
        </w:rPr>
        <w:t>2020</w:t>
      </w:r>
      <w:r>
        <w:rPr>
          <w:sz w:val="24"/>
        </w:rPr>
        <w:t>, *24*. [CrossRef]</w:t>
      </w:r>
    </w:p>
    <w:p>
      <w:r>
        <w:rPr>
          <w:sz w:val="24"/>
        </w:rPr>
        <w:t xml:space="preserve">48. Liao, H.; Pan, M.; Li, W.; Lin, C.; Zhu, X.; Li, X.; Li, J.; Zhou, S. Latent profile analysis of anxiety disorder among left-behind children in rural Southern China: A cross-sectional study. *BMJ Open* </w:t>
      </w:r>
      <w:r>
        <w:rPr>
          <w:b/>
          <w:sz w:val="24"/>
        </w:rPr>
        <w:t>2019</w:t>
      </w:r>
      <w:r>
        <w:rPr>
          <w:sz w:val="24"/>
        </w:rPr>
        <w:t>, *9*, e029331. [CrossRef]</w:t>
      </w:r>
    </w:p>
    <w:p>
      <w:r>
        <w:rPr>
          <w:sz w:val="24"/>
        </w:rPr>
        <w:t xml:space="preserve">49. Begdache, L.; Kianmehr, H.; Sabounchi, N.; Marszalek, A.; Dolma, N. Principal component regression of academic performance, substance use and sleep quality in relation to risk of anxiety and depression in young adults. *Trends Neurosci. Educ.* </w:t>
      </w:r>
      <w:r>
        <w:rPr>
          <w:b/>
          <w:sz w:val="24"/>
        </w:rPr>
        <w:t>2019</w:t>
      </w:r>
      <w:r>
        <w:rPr>
          <w:sz w:val="24"/>
        </w:rPr>
        <w:t>, *15*, 29–37. [CrossRef]</w:t>
      </w:r>
    </w:p>
    <w:p>
      <w:r>
        <w:rPr>
          <w:sz w:val="24"/>
        </w:rPr>
        <w:t xml:space="preserve">50. Smith, M.S.; Martin-Herz, S.P.; Womack, W.M.; Marsigan, J.L. Comparative study of anxiety, depression, somatization, functional disability, and illness attribution in adolescents with chronic fatigue or migraine. *Pediatrics* </w:t>
      </w:r>
      <w:r>
        <w:rPr>
          <w:b/>
          <w:sz w:val="24"/>
        </w:rPr>
        <w:t>2003</w:t>
      </w:r>
      <w:r>
        <w:rPr>
          <w:sz w:val="24"/>
        </w:rPr>
        <w:t>, *111*. [CrossRef]</w:t>
      </w:r>
    </w:p>
    <w:p>
      <w:r>
        <w:rPr>
          <w:sz w:val="24"/>
        </w:rPr>
        <w:t xml:space="preserve">51. Jayanthi, P.; Thirunavukarasu, M.; Rajkumar, R. Academic stress and depression among adolescents: A cross-sectional study. *Indian Pediatrics* </w:t>
      </w:r>
      <w:r>
        <w:rPr>
          <w:b/>
          <w:sz w:val="24"/>
        </w:rPr>
        <w:t>2015</w:t>
      </w:r>
      <w:r>
        <w:rPr>
          <w:sz w:val="24"/>
        </w:rPr>
        <w:t>, *52*, 217–219. [CrossRef]</w:t>
      </w:r>
    </w:p>
    <w:p>
      <w:r>
        <w:rPr>
          <w:sz w:val="24"/>
        </w:rPr>
        <w:t xml:space="preserve">52. Sun, J.D.; Dunne, M.P.; Hou, X.Y.; Xu, A.Q. Educational stress among Chinese adolescents: Individual, family, school and peer influences. *Educ. Rev.* </w:t>
      </w:r>
      <w:r>
        <w:rPr>
          <w:b/>
          <w:sz w:val="24"/>
        </w:rPr>
        <w:t>2013</w:t>
      </w:r>
      <w:r>
        <w:rPr>
          <w:sz w:val="24"/>
        </w:rPr>
        <w:t>, *65*, 284–302. [CrossRef]</w:t>
      </w:r>
    </w:p>
    <w:p>
      <w:r>
        <w:rPr>
          <w:sz w:val="24"/>
        </w:rPr>
        <w:t xml:space="preserve">53. Cadigan, J.M.; Martens, M.P.; Herman, K.C. A latent profile analysis of drinking motives among heavy drinking college students. *Addict. Behav.* </w:t>
      </w:r>
      <w:r>
        <w:rPr>
          <w:b/>
          <w:sz w:val="24"/>
        </w:rPr>
        <w:t>2015</w:t>
      </w:r>
      <w:r>
        <w:rPr>
          <w:sz w:val="24"/>
        </w:rPr>
        <w:t>, *51*, 100–105. [CrossRef]</w:t>
      </w:r>
    </w:p>
    <w:p/>
    <w:p>
      <w:pPr>
        <w:pStyle w:val="Heading3"/>
      </w:pPr>
      <w:r>
        <w:t>CHU THICH TU VIET TAT / ABBREVIATIONS</w:t>
      </w:r>
    </w:p>
    <w:tbl>
      <w:tblPr>
        <w:tblStyle w:val="TableGrid"/>
        <w:tblW w:type="auto" w:w="0"/>
        <w:tblLook w:firstColumn="1" w:firstRow="1" w:lastColumn="0" w:lastRow="0" w:noHBand="0" w:noVBand="1" w:val="04A0"/>
      </w:tblPr>
      <w:tblGrid>
        <w:gridCol w:w="4320"/>
        <w:gridCol w:w="4320"/>
      </w:tblGrid>
      <w:tr>
        <w:tc>
          <w:tcPr>
            <w:tcW w:type="dxa" w:w="1701"/>
          </w:tcPr>
          <w:p>
            <w:r>
              <w:rPr>
                <w:b/>
                <w:sz w:val="18"/>
              </w:rPr>
              <w:t>Viet tat</w:t>
            </w:r>
          </w:p>
        </w:tc>
        <w:tc>
          <w:tcPr>
            <w:tcW w:type="dxa" w:w="7370"/>
          </w:tcPr>
          <w:p>
            <w:r>
              <w:rPr>
                <w:b/>
                <w:sz w:val="18"/>
              </w:rPr>
              <w:t>Giai thich</w:t>
            </w:r>
          </w:p>
        </w:tc>
      </w:tr>
      <w:tr>
        <w:tc>
          <w:tcPr>
            <w:tcW w:type="dxa" w:w="1701"/>
          </w:tcPr>
          <w:p>
            <w:r/>
            <w:r>
              <w:rPr>
                <w:b/>
                <w:sz w:val="18"/>
              </w:rPr>
              <w:t>LPA</w:t>
            </w:r>
          </w:p>
        </w:tc>
        <w:tc>
          <w:tcPr>
            <w:tcW w:type="dxa" w:w="7370"/>
          </w:tcPr>
          <w:p>
            <w:r/>
            <w:r>
              <w:rPr>
                <w:sz w:val="18"/>
              </w:rPr>
              <w:t>Latent Profile Analysis (Phan tich Ho so Tiem an)</w:t>
            </w:r>
          </w:p>
        </w:tc>
      </w:tr>
      <w:tr>
        <w:tc>
          <w:tcPr>
            <w:tcW w:type="dxa" w:w="1701"/>
          </w:tcPr>
          <w:p>
            <w:r/>
            <w:r>
              <w:rPr>
                <w:b/>
                <w:sz w:val="18"/>
              </w:rPr>
              <w:t>MHT</w:t>
            </w:r>
          </w:p>
        </w:tc>
        <w:tc>
          <w:tcPr>
            <w:tcW w:type="dxa" w:w="7370"/>
          </w:tcPr>
          <w:p>
            <w:r/>
            <w:r>
              <w:rPr>
                <w:sz w:val="18"/>
              </w:rPr>
              <w:t>Mental Health Test (Trac nghiem Suc khoe Tam than)</w:t>
            </w:r>
          </w:p>
        </w:tc>
      </w:tr>
      <w:tr>
        <w:tc>
          <w:tcPr>
            <w:tcW w:type="dxa" w:w="1701"/>
          </w:tcPr>
          <w:p>
            <w:r/>
            <w:r>
              <w:rPr>
                <w:b/>
                <w:sz w:val="18"/>
              </w:rPr>
              <w:t>AIC</w:t>
            </w:r>
          </w:p>
        </w:tc>
        <w:tc>
          <w:tcPr>
            <w:tcW w:type="dxa" w:w="7370"/>
          </w:tcPr>
          <w:p>
            <w:r/>
            <w:r>
              <w:rPr>
                <w:sz w:val="18"/>
              </w:rPr>
              <w:t>Akaike Information Criterion</w:t>
            </w:r>
          </w:p>
        </w:tc>
      </w:tr>
      <w:tr>
        <w:tc>
          <w:tcPr>
            <w:tcW w:type="dxa" w:w="1701"/>
          </w:tcPr>
          <w:p>
            <w:r/>
            <w:r>
              <w:rPr>
                <w:b/>
                <w:sz w:val="18"/>
              </w:rPr>
              <w:t>BIC</w:t>
            </w:r>
          </w:p>
        </w:tc>
        <w:tc>
          <w:tcPr>
            <w:tcW w:type="dxa" w:w="7370"/>
          </w:tcPr>
          <w:p>
            <w:r/>
            <w:r>
              <w:rPr>
                <w:sz w:val="18"/>
              </w:rPr>
              <w:t>Bayesian Information Criterion</w:t>
            </w:r>
          </w:p>
        </w:tc>
      </w:tr>
      <w:tr>
        <w:tc>
          <w:tcPr>
            <w:tcW w:type="dxa" w:w="1701"/>
          </w:tcPr>
          <w:p>
            <w:r/>
            <w:r>
              <w:rPr>
                <w:b/>
                <w:sz w:val="18"/>
              </w:rPr>
              <w:t>OR</w:t>
            </w:r>
          </w:p>
        </w:tc>
        <w:tc>
          <w:tcPr>
            <w:tcW w:type="dxa" w:w="7370"/>
          </w:tcPr>
          <w:p>
            <w:r/>
            <w:r>
              <w:rPr>
                <w:sz w:val="18"/>
              </w:rPr>
              <w:t>Odds Ratio (Ty so chenh)</w:t>
            </w:r>
          </w:p>
        </w:tc>
      </w:tr>
    </w:tbl>
    <w:p/>
    <w:p>
      <w:pPr>
        <w:pStyle w:val="Heading2"/>
      </w:pPr>
      <w:r>
        <w:rPr>
          <w:color w:val="CC0000"/>
        </w:rPr>
        <w:t>QUAN ĐIỂM PHẢN BIỆN / CRITICAL REVIEW</w:t>
      </w:r>
    </w:p>
    <w:p>
      <w:r>
        <w:rPr>
          <w:b/>
          <w:color w:val="CC0000"/>
          <w:sz w:val="24"/>
        </w:rPr>
        <w:t>[Phản biện 1]:</w:t>
      </w:r>
      <w:r>
        <w:rPr>
          <w:color w:val="CC0000"/>
          <w:sz w:val="24"/>
        </w:rPr>
        <w:t xml:space="preserve"> Việc sử dụng phân tích hồ sơ tiềm ẩn (</w:t>
      </w:r>
      <w:r>
        <w:rPr>
          <w:color w:val="CC0000"/>
          <w:sz w:val="24"/>
        </w:rPr>
        <w:t>LPA</w:t>
      </w:r>
      <w:r>
        <w:rPr>
          <w:color w:val="CC0000"/>
          <w:sz w:val="24"/>
        </w:rPr>
        <w:t>) là điểm mạnh phương pháp luận, vì nó cho phép xác định các phân nhóm tự nhiên trong dữ liệu thay vì áp đặt điểm cắt cố định. Tuy nhiên, nghiên cứu không cung cấp đầy đủ thông tin về các chỉ số phù hợp mô hình (</w:t>
      </w:r>
      <w:r>
        <w:rPr>
          <w:color w:val="CC0000"/>
          <w:sz w:val="24"/>
        </w:rPr>
        <w:t>BIC</w:t>
      </w:r>
      <w:r>
        <w:rPr>
          <w:color w:val="CC0000"/>
          <w:sz w:val="24"/>
        </w:rPr>
        <w:t xml:space="preserve">, </w:t>
      </w:r>
      <w:r>
        <w:rPr>
          <w:color w:val="CC0000"/>
          <w:sz w:val="24"/>
        </w:rPr>
        <w:t>AIC</w:t>
      </w:r>
      <w:r>
        <w:rPr>
          <w:color w:val="CC0000"/>
          <w:sz w:val="24"/>
        </w:rPr>
        <w:t xml:space="preserve">, entropy, Lo-Mendell-Rubin test) để đánh giá tại sao mô hình ba nhóm được chọn thay vì hai hoặc bốn nhóm. Thiếu minh bạch về quy trình chọn mô hình làm giảm khả năng đánh giá tính vững chắc của kết quả. Qiu et al. (2022) cũng dùng </w:t>
      </w:r>
      <w:r>
        <w:rPr>
          <w:color w:val="CC0000"/>
          <w:sz w:val="24"/>
        </w:rPr>
        <w:t>LPA</w:t>
      </w:r>
      <w:r>
        <w:rPr>
          <w:color w:val="CC0000"/>
          <w:sz w:val="24"/>
        </w:rPr>
        <w:t xml:space="preserve"> cho phong cách nuôi dạy con — trong 11 bài chỉ có 2 bài dùng phương pháp này. Báo cáo </w:t>
      </w:r>
      <w:r>
        <w:rPr>
          <w:color w:val="CC0000"/>
          <w:sz w:val="24"/>
        </w:rPr>
        <w:t>BIC</w:t>
      </w:r>
      <w:r>
        <w:rPr>
          <w:color w:val="CC0000"/>
          <w:sz w:val="24"/>
        </w:rPr>
        <w:t xml:space="preserve">, </w:t>
      </w:r>
      <w:r>
        <w:rPr>
          <w:color w:val="CC0000"/>
          <w:sz w:val="24"/>
        </w:rPr>
        <w:t>AIC</w:t>
      </w:r>
      <w:r>
        <w:rPr>
          <w:color w:val="CC0000"/>
          <w:sz w:val="24"/>
        </w:rPr>
        <w:t xml:space="preserve">, entropy là tiêu chuẩn bắt buộc khi sử dụng </w:t>
      </w:r>
      <w:r>
        <w:rPr>
          <w:color w:val="CC0000"/>
          <w:sz w:val="24"/>
        </w:rPr>
        <w:t>LPA</w:t>
      </w:r>
      <w:r>
        <w:rPr>
          <w:color w:val="CC0000"/>
          <w:sz w:val="24"/>
        </w:rPr>
        <w:t>.</w:t>
      </w:r>
    </w:p>
    <w:p>
      <w:r>
        <w:rPr>
          <w:b/>
          <w:color w:val="CC0000"/>
          <w:sz w:val="24"/>
        </w:rPr>
        <w:t>[Phản biện 2]:</w:t>
      </w:r>
      <w:r>
        <w:rPr>
          <w:color w:val="CC0000"/>
          <w:sz w:val="24"/>
        </w:rPr>
        <w:t xml:space="preserve"> Phát hiện rằng </w:t>
      </w:r>
      <w:r>
        <w:rPr>
          <w:b/>
          <w:color w:val="CC0000"/>
          <w:sz w:val="24"/>
        </w:rPr>
        <w:t>nam giới có nguy cơ lo âu cao hơn</w:t>
      </w:r>
      <w:r>
        <w:rPr>
          <w:color w:val="CC0000"/>
          <w:sz w:val="24"/>
        </w:rPr>
        <w:t xml:space="preserve"> trái ngược với đa số y văn quốc tế nhưng phù hợp với Saikia et al. (2023) tại Ấn Độ và Xu et al. (2021) tại Trung Quốc. Điều này gợi ý rằng mối quan hệ giới tính-lo âu có thể phức tạp hơn và phụ thuộc vào bối cảnh hơn so với giả định phổ quát. Tuy nhiên, nghiên cứu không khám phá sâu cơ chế giải thích — áp lực học tập ở nam giới tại nông thôn Trung Quốc có thể liên quan đến kỳ vọng gia đình về sự thành đạt kinh tế. 3/11 bài (Saikia, Wen, Xu) đều từ châu Á và đều thấy nam lo âu hơn nữ. Jenkins et al. (2023), Alharbi et al. (2019), NSCH (2020) từ phương Tây cho kết quả ngược lại.</w:t>
      </w:r>
    </w:p>
    <w:p>
      <w:r>
        <w:rPr>
          <w:b/>
          <w:color w:val="CC0000"/>
          <w:sz w:val="24"/>
        </w:rPr>
        <w:t>[Phản biện 3]:</w:t>
      </w:r>
      <w:r>
        <w:rPr>
          <w:color w:val="CC0000"/>
          <w:sz w:val="24"/>
        </w:rPr>
        <w:t xml:space="preserve"> Cỡ mẫu 900 học sinh từ vùng nông thôn một tỉnh (Giang Tây) hạn chế khả năng khái quát hóa. Vùng nông thôn kém phát triển có đặc điểm riêng (tỷ lệ cao trẻ em bị bỏ lại, hạn chế dịch vụ y tế) mà không đại diện cho toàn bộ thanh thiếu niên Trung Quốc. So sánh với Chen et al. (2023) tại thành phố Tự Cống cho thấy khác biệt đáng kể về tỷ lệ lo âu, nhấn mạnh sự biến thiên theo vùng. Xu et al. (2021) với N=373.216 tại Hà Nam cho bức tranh hoàn toàn khác. Yếu tố "trẻ em bị bỏ lại" là đặc thù nông thôn Trung Quốc, không áp dụng cho các bối cảnh khác.</w:t>
      </w:r>
    </w:p>
    <w:p>
      <w:r>
        <w:rPr>
          <w:b/>
          <w:color w:val="CC0000"/>
          <w:sz w:val="24"/>
        </w:rPr>
        <w:t>[Phản biện 4]:</w:t>
      </w:r>
      <w:r>
        <w:rPr>
          <w:color w:val="CC0000"/>
          <w:sz w:val="24"/>
        </w:rPr>
        <w:t xml:space="preserve"> Nghiên cứu không mô tả chi tiết công cụ đo lo âu sử dụng (chỉ nêu "thang đo đánh giá lo âu tiêu chuẩn hóa"), gây khó khăn cho việc so sánh trực tiếp với các nghiên cứu sử dụng </w:t>
      </w:r>
      <w:r>
        <w:rPr>
          <w:b/>
          <w:color w:val="CC0000"/>
          <w:sz w:val="24"/>
        </w:rPr>
        <w:t>GAD-7</w:t>
      </w:r>
      <w:r>
        <w:rPr>
          <w:color w:val="CC0000"/>
          <w:sz w:val="24"/>
        </w:rPr>
        <w:t xml:space="preserve">, </w:t>
      </w:r>
      <w:r>
        <w:rPr>
          <w:b/>
          <w:color w:val="CC0000"/>
          <w:sz w:val="24"/>
        </w:rPr>
        <w:t>DASS-21</w:t>
      </w:r>
      <w:r>
        <w:rPr>
          <w:color w:val="CC0000"/>
          <w:sz w:val="24"/>
        </w:rPr>
        <w:t xml:space="preserve"> hay các công cụ cụ thể khác. Sự thiếu minh bạch về công cụ là hạn chế phương pháp luận đáng kể. Mandaknalli &amp; Malusare (2021) cũng thiếu thông tin công cụ tương tự — đây là dấu hiệu chất lượng báo cáo thấp. Trong 11 bài, sự đa dạng công cụ (</w:t>
      </w:r>
      <w:r>
        <w:rPr>
          <w:color w:val="CC0000"/>
          <w:sz w:val="24"/>
        </w:rPr>
        <w:t>GAD-7</w:t>
      </w:r>
      <w:r>
        <w:rPr>
          <w:color w:val="CC0000"/>
          <w:sz w:val="24"/>
        </w:rPr>
        <w:t xml:space="preserve">, </w:t>
      </w:r>
      <w:r>
        <w:rPr>
          <w:color w:val="CC0000"/>
          <w:sz w:val="24"/>
        </w:rPr>
        <w:t>DASS-21</w:t>
      </w:r>
      <w:r>
        <w:rPr>
          <w:color w:val="CC0000"/>
          <w:sz w:val="24"/>
        </w:rPr>
        <w:t xml:space="preserve">, </w:t>
      </w:r>
      <w:r>
        <w:rPr>
          <w:b/>
          <w:color w:val="CC0000"/>
          <w:sz w:val="24"/>
        </w:rPr>
        <w:t>SAS</w:t>
      </w:r>
      <w:r>
        <w:rPr>
          <w:color w:val="CC0000"/>
          <w:sz w:val="24"/>
        </w:rPr>
        <w:t>, SCAS) gây khó so sánh trực tiếp.</w:t>
      </w:r>
    </w:p>
    <w:p>
      <w:r>
        <w:rPr>
          <w:b/>
          <w:color w:val="CC0000"/>
          <w:sz w:val="24"/>
        </w:rPr>
        <w:t>[Phản biện 5]:</w:t>
      </w:r>
      <w:r>
        <w:rPr>
          <w:color w:val="CC0000"/>
          <w:sz w:val="24"/>
        </w:rPr>
        <w:t xml:space="preserve"> Yếu tố "hỗ trợ sức khỏe tâm thần tại trường" được xác định là yếu tố bảo vệ là phát hiện có giá trị thực tiễn cao. Tuy nhiên, cách đo lường biến này (tự đánh giá của học sinh về mức độ hỗ trợ) có thể bị thiên lệch — học sinh ít lo âu có thể đánh giá môi trường trường học tích cực hơn, chứ không nhất thiết là hỗ trợ tốt hơn thực sự giảm lo âu. NSCH (2020) cho thấy trẻ có vấn đề tâm thần gặp khó khăn gấp 10 lần trong kết bạn. Phát hiện về hỗ trợ trường học phù hợp với khuyến nghị can thiệp tại trường của Mandaknalli &amp; Malusare (2021).</w:t>
      </w:r>
    </w:p>
    <w:p>
      <w:pPr>
        <w:jc w:val="center"/>
      </w:pPr>
      <w:r>
        <w:drawing>
          <wp:inline xmlns:a="http://schemas.openxmlformats.org/drawingml/2006/main" xmlns:pic="http://schemas.openxmlformats.org/drawingml/2006/picture">
            <wp:extent cx="5029200" cy="3378136"/>
            <wp:docPr id="2" name="Picture 2"/>
            <wp:cNvGraphicFramePr>
              <a:graphicFrameLocks noChangeAspect="1"/>
            </wp:cNvGraphicFramePr>
            <a:graphic>
              <a:graphicData uri="http://schemas.openxmlformats.org/drawingml/2006/picture">
                <pic:pic>
                  <pic:nvPicPr>
                    <pic:cNvPr id="0" name="08_fig1_profile_plot.png"/>
                    <pic:cNvPicPr/>
                  </pic:nvPicPr>
                  <pic:blipFill>
                    <a:blip r:embed="rId10"/>
                    <a:stretch>
                      <a:fillRect/>
                    </a:stretch>
                  </pic:blipFill>
                  <pic:spPr>
                    <a:xfrm>
                      <a:off x="0" y="0"/>
                      <a:ext cx="5029200" cy="3378136"/>
                    </a:xfrm>
                    <a:prstGeom prst="rect"/>
                  </pic:spPr>
                </pic:pic>
              </a:graphicData>
            </a:graphic>
          </wp:inline>
        </w:drawing>
      </w:r>
    </w:p>
    <w:p>
      <w:pPr>
        <w:jc w:val="center"/>
      </w:pPr>
      <w:r>
        <w:rPr>
          <w:i/>
          <w:color w:val="333399"/>
          <w:sz w:val="18"/>
        </w:rPr>
        <w:t>Hình 1: Hồ sơ tiềm ẩn 3 nhóm</w:t>
      </w:r>
    </w:p>
    <w:p/>
    <w:p>
      <w:pPr>
        <w:jc w:val="center"/>
      </w:pPr>
      <w:r>
        <w:drawing>
          <wp:inline xmlns:a="http://schemas.openxmlformats.org/drawingml/2006/main" xmlns:pic="http://schemas.openxmlformats.org/drawingml/2006/picture">
            <wp:extent cx="5029200" cy="7110976"/>
            <wp:docPr id="3" name="Picture 3"/>
            <wp:cNvGraphicFramePr>
              <a:graphicFrameLocks noChangeAspect="1"/>
            </wp:cNvGraphicFramePr>
            <a:graphic>
              <a:graphicData uri="http://schemas.openxmlformats.org/drawingml/2006/picture">
                <pic:pic>
                  <pic:nvPicPr>
                    <pic:cNvPr id="0" name="08_table3_regression.png"/>
                    <pic:cNvPicPr/>
                  </pic:nvPicPr>
                  <pic:blipFill>
                    <a:blip r:embed="rId11"/>
                    <a:stretch>
                      <a:fillRect/>
                    </a:stretch>
                  </pic:blipFill>
                  <pic:spPr>
                    <a:xfrm>
                      <a:off x="0" y="0"/>
                      <a:ext cx="5029200" cy="7110976"/>
                    </a:xfrm>
                    <a:prstGeom prst="rect"/>
                  </pic:spPr>
                </pic:pic>
              </a:graphicData>
            </a:graphic>
          </wp:inline>
        </w:drawing>
      </w:r>
    </w:p>
    <w:p>
      <w:pPr>
        <w:jc w:val="center"/>
      </w:pPr>
      <w:r>
        <w:rPr>
          <w:i/>
          <w:color w:val="333399"/>
          <w:sz w:val="18"/>
        </w:rPr>
        <w:t>Bảng 3: Hồi quy logistic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