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Link bai bao goc: </w:t>
      </w:r>
      <w:r>
        <w:rPr>
          <w:color w:val="0000CC"/>
          <w:sz w:val="20"/>
          <w:u w:val="single"/>
        </w:rPr>
        <w:t>https://doi.org/10.3389/fpsyg.2022.897339</w:t>
      </w:r>
    </w:p>
    <w:p>
      <w:r>
        <w:rPr>
          <w:i/>
          <w:color w:val="666666"/>
          <w:sz w:val="18"/>
        </w:rPr>
        <w:t>* Day la tap chi truc tuyen (online/open access). Bai bao duoc xuat ban dang dien tu, khong co so trang tap chi truyen thong. So trang trong ban dich nay la so thu tu trang cua bai bao (Page X of Y).</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09_qr.png"/>
                    <pic:cNvPicPr/>
                  </pic:nvPicPr>
                  <pic:blipFill>
                    <a:blip r:embed="rId9"/>
                    <a:stretch>
                      <a:fillRect/>
                    </a:stretch>
                  </pic:blipFill>
                  <pic:spPr>
                    <a:xfrm>
                      <a:off x="0" y="0"/>
                      <a:ext cx="1097280" cy="1097280"/>
                    </a:xfrm>
                    <a:prstGeom prst="rect"/>
                  </pic:spPr>
                </pic:pic>
              </a:graphicData>
            </a:graphic>
          </wp:inline>
        </w:drawing>
      </w:r>
    </w:p>
    <w:p>
      <w:r>
        <w:rPr>
          <w:i/>
          <w:sz w:val="16"/>
        </w:rPr>
        <w:t>Quet QR de truy cap bai bao goc</w:t>
      </w:r>
    </w:p>
    <w:p/>
    <w:p>
      <w:pPr>
        <w:pStyle w:val="Heading1"/>
      </w:pPr>
      <w:r>
        <w:t>BÀI BÁO 9: Mối liên hệ giữa phong cách nuôi dạy con và khả năng phục hồi với triệu chứng trầm cảm và lo âu ở học sinh trung học cơ sở Trung Quốc</w:t>
      </w:r>
    </w:p>
    <w:p>
      <w:pPr>
        <w:pStyle w:val="Heading2"/>
      </w:pPr>
      <w:r>
        <w:t>THÔNG TIN THƯ MỤC / BIBLIOGRAPHIC INFORMATION</w:t>
      </w:r>
    </w:p>
    <w:p>
      <w:pPr>
        <w:pStyle w:val="ListBullet"/>
      </w:pPr>
      <w:r>
        <w:rPr>
          <w:b/>
          <w:sz w:val="22"/>
        </w:rPr>
        <w:t>Tiêu đề gốc (English):</w:t>
      </w:r>
      <w:r>
        <w:rPr>
          <w:sz w:val="22"/>
        </w:rPr>
        <w:t xml:space="preserve"> Associations of Parenting Style and Resilience With Depression and Anxiety Symptoms in Chinese Middle School Students</w:t>
      </w:r>
    </w:p>
    <w:p>
      <w:pPr>
        <w:pStyle w:val="ListBullet"/>
      </w:pPr>
      <w:r>
        <w:rPr>
          <w:b/>
          <w:sz w:val="22"/>
        </w:rPr>
        <w:t>Tiêu đề dịch (Vietnamese):</w:t>
      </w:r>
      <w:r>
        <w:rPr>
          <w:sz w:val="22"/>
        </w:rPr>
        <w:t xml:space="preserve"> Mối liên hệ giữa phong cách nuôi dạy con và khả năng phục hồi với triệu chứng trầm cảm và lo âu ở học sinh trung học cơ sở Trung Quốc</w:t>
      </w:r>
    </w:p>
    <w:p>
      <w:pPr>
        <w:pStyle w:val="ListBullet"/>
      </w:pPr>
      <w:r>
        <w:rPr>
          <w:b/>
          <w:sz w:val="22"/>
        </w:rPr>
        <w:t>Tác giả:</w:t>
      </w:r>
      <w:r>
        <w:rPr>
          <w:sz w:val="22"/>
        </w:rPr>
        <w:t xml:space="preserve"> Zhihai Qiu, Ying Guo, Jun Wang, Hongbo Zhang</w:t>
      </w:r>
    </w:p>
    <w:p>
      <w:pPr>
        <w:pStyle w:val="ListBullet"/>
      </w:pPr>
      <w:r>
        <w:rPr>
          <w:b/>
          <w:sz w:val="22"/>
        </w:rPr>
        <w:t>Cơ quan:</w:t>
      </w:r>
      <w:r>
        <w:rPr>
          <w:sz w:val="22"/>
        </w:rPr>
        <w:t xml:space="preserve"> Trường Sức khỏe Tâm thần và Khoa học Tâm lý, Đại học Y khoa An Huy; Trung tâm Tâm lý Trường THPT Hợp Phì Số 1; Khoa Sức khỏe Bà mẹ, Trẻ em và Thanh thiếu niên, Đại học Y khoa An Huy</w:t>
      </w:r>
    </w:p>
    <w:p>
      <w:pPr>
        <w:pStyle w:val="ListBullet"/>
      </w:pPr>
      <w:r>
        <w:rPr>
          <w:b/>
          <w:sz w:val="22"/>
        </w:rPr>
        <w:t>Tạp chí:</w:t>
      </w:r>
      <w:r>
        <w:rPr>
          <w:sz w:val="22"/>
        </w:rPr>
        <w:t xml:space="preserve"> Frontiers in Psychology, Volume 13, 2022, Article 897339</w:t>
      </w:r>
    </w:p>
    <w:p>
      <w:pPr>
        <w:pStyle w:val="ListBullet"/>
      </w:pPr>
      <w:r>
        <w:rPr>
          <w:b/>
          <w:sz w:val="22"/>
        </w:rPr>
        <w:t>DOI:</w:t>
      </w:r>
      <w:r>
        <w:rPr>
          <w:sz w:val="22"/>
        </w:rPr>
        <w:t xml:space="preserve"> 10.3389/fpsyg.2022.897339</w:t>
      </w:r>
    </w:p>
    <w:p>
      <w:pPr>
        <w:pStyle w:val="ListBullet"/>
      </w:pPr>
      <w:r>
        <w:rPr>
          <w:b/>
          <w:sz w:val="22"/>
        </w:rPr>
        <w:t>PMID:</w:t>
      </w:r>
      <w:r>
        <w:rPr>
          <w:sz w:val="22"/>
        </w:rPr>
        <w:t xml:space="preserve"> 35846635 | </w:t>
      </w:r>
      <w:r>
        <w:rPr>
          <w:b/>
          <w:sz w:val="22"/>
        </w:rPr>
        <w:t>PMCID:</w:t>
      </w:r>
      <w:r>
        <w:rPr>
          <w:sz w:val="22"/>
        </w:rPr>
        <w:t xml:space="preserve"> PMC9285101</w:t>
      </w:r>
    </w:p>
    <w:p>
      <w:r>
        <w:rPr>
          <w:b/>
          <w:color w:val="FF6600"/>
          <w:sz w:val="20"/>
        </w:rPr>
        <w:t>--- Trang 1/9, Frontiers in Psychology, Vol. 13, Article 897339, tháng 7/2022 ---</w:t>
      </w:r>
    </w:p>
    <w:p>
      <w:pPr>
        <w:pStyle w:val="Heading2"/>
      </w:pPr>
      <w:r>
        <w:t>TÓM TẮT</w:t>
      </w:r>
    </w:p>
    <w:p>
      <w:r>
        <w:rPr>
          <w:b/>
          <w:sz w:val="24"/>
        </w:rPr>
        <w:t>Bối cảnh:</w:t>
      </w:r>
      <w:r>
        <w:rPr>
          <w:sz w:val="24"/>
        </w:rPr>
        <w:t xml:space="preserve"> Phong cách nuôi dạy con và khả năng phục hồi có mối liên quan độc lập với các triệu chứng trầm cảm và lo âu. Tuy nhiên, chưa có nghiên cứu nào kiểm tra hiệu ứng tương tác giữa các mô hình phong cách nuôi dạy con và khả năng phục hồi đối với sức khỏe tâm thần trong nhóm dân số thanh thiếu niên. Do đó, nghiên cứu này nhằm mục đích khám phá hiệu ứng tương tác giữa các mô hình phong cách nuôi dạy con và khả năng phục hồi đối với các triệu chứng trầm cảm/lo âu ở học sinh trung học phổ thông tại Trung Quốc.</w:t>
      </w:r>
    </w:p>
    <w:p>
      <w:r>
        <w:rPr>
          <w:b/>
          <w:sz w:val="24"/>
        </w:rPr>
        <w:t>Phương pháp:</w:t>
      </w:r>
      <w:r>
        <w:rPr>
          <w:sz w:val="24"/>
        </w:rPr>
        <w:t xml:space="preserve"> Mẫu nghiên cứu bao gồm 2.179 học sinh trung học phổ thông Trung Quốc. Phân tích hồ sơ tiềm ẩn (</w:t>
      </w:r>
      <w:r>
        <w:rPr>
          <w:b/>
          <w:color w:val="CC0000"/>
          <w:sz w:val="24"/>
        </w:rPr>
        <w:t>LPA</w:t>
      </w:r>
      <w:r>
        <w:rPr>
          <w:sz w:val="24"/>
        </w:rPr>
        <w:t>) được sử dụng để khảo sát các mô hình phong cách nuôi dạy con. Hồi quy logistic đa biến được sử dụng để phân tích mối liên quan giữa các mô hình nuôi dạy khác nhau và khả năng phục hồi với triệu chứng trầm cảm/lo âu, cũng như hiệu ứng tương tác.</w:t>
      </w:r>
    </w:p>
    <w:p>
      <w:r>
        <w:rPr>
          <w:b/>
          <w:sz w:val="24"/>
        </w:rPr>
        <w:t>Kết quả:</w:t>
      </w:r>
      <w:r>
        <w:rPr>
          <w:sz w:val="24"/>
        </w:rPr>
        <w:t xml:space="preserve"> Kết quả phân tích hồ sơ tiềm ẩn cho thấy mô hình phù hợp nhất bao gồm giải pháp ba hồ sơ, được gán nhãn là nuôi dạy tích cực, nuôi dạy tiêu cực và nuôi dạy trung bình. Các phân tích tiếp theo cho thấy học sinh thuộc các hồ sơ khác nhau có sự khác biệt có ý nghĩa thống kê về triệu chứng trầm cảm/lo âu. Cụ thể, so với nuôi dạy trung bình, nuôi dạy tiêu cực có mối liên quan thuận với triệu chứng trầm cảm/lo âu, trong khi nuôi dạy tích cực có mối liên quan nghịch với các triệu chứng này. Hơn nữa, mức khả năng phục hồi thấp có mối liên quan thuận với triệu chứng trầm cảm/lo âu so với mức khả năng phục hồi cao. Mặc dù hiệu ứng tương tác không đạt ý nghĩa thống kê, vẫn có sự khác biệt trong mối liên quan giữa các mô hình nuôi dạy khác nhau và triệu chứng trầm cảm và lo âu khi phân tầng theo khả năng phục hồi.</w:t>
      </w:r>
    </w:p>
    <w:p>
      <w:r>
        <w:rPr>
          <w:b/>
          <w:sz w:val="24"/>
        </w:rPr>
        <w:t>Kết luận:</w:t>
      </w:r>
      <w:r>
        <w:rPr>
          <w:sz w:val="24"/>
        </w:rPr>
        <w:t xml:space="preserve"> Nghiên cứu hiện tại đã xác định được giải pháp ba hồ sơ về phong cách nuôi dạy con ở học sinh trung học phổ thông Trung Quốc sử dụng </w:t>
      </w:r>
      <w:r>
        <w:rPr>
          <w:sz w:val="24"/>
        </w:rPr>
        <w:t>LPA</w:t>
      </w:r>
      <w:r>
        <w:rPr>
          <w:sz w:val="24"/>
        </w:rPr>
        <w:t xml:space="preserve"> như một cách tiếp cận lấy con người làm trung tâm. Các can thiệp trong tương lai nhắm đến triệu chứng trầm cảm/lo âu ở thanh thiếu niên có thể cân nhắc ảnh hưởng tiềm tàng của các mô hình phong cách nuôi dạy, hoặc cải thiện khả năng phục hồi, để đạt được kết quả can thiệp tốt hơn.</w:t>
      </w:r>
    </w:p>
    <w:p>
      <w:r>
        <w:rPr>
          <w:b/>
          <w:sz w:val="24"/>
        </w:rPr>
        <w:t>Từ khóa:</w:t>
      </w:r>
      <w:r>
        <w:rPr>
          <w:sz w:val="24"/>
        </w:rPr>
        <w:t xml:space="preserve"> phong cách nuôi dạy con, khả năng phục hồi, triệu chứng trầm cảm, triệu chứng lo âu, phân tích hồ sơ tiềm ẩn (</w:t>
      </w:r>
      <w:r>
        <w:rPr>
          <w:sz w:val="24"/>
        </w:rPr>
        <w:t>LPA</w:t>
      </w:r>
      <w:r>
        <w:rPr>
          <w:sz w:val="24"/>
        </w:rPr>
        <w:t>)</w:t>
      </w:r>
    </w:p>
    <w:p>
      <w:pPr>
        <w:pStyle w:val="Heading2"/>
      </w:pPr>
      <w:r>
        <w:t>GIỚI THIỆU</w:t>
      </w:r>
    </w:p>
    <w:p>
      <w:r>
        <w:rPr>
          <w:sz w:val="24"/>
        </w:rPr>
        <w:t>Trầm cảm và lo âu là những triệu chứng tâm bệnh lý phổ biến nhất ở thanh thiếu niên. Triệu chứng trầm cảm biểu hiện dưới dạng nỗi buồn dai dẳng, mất hứng thú, sợ hãi tương lai và có khả năng tự tử (Naab và cs., 2015; Wartberg và cs., 2018). Lo âu là một cảm xúc được đặc trưng bởi cảm giác căng thẳng, lo lắng và các thay đổi thể chất như tăng huyết áp (Organization, 2013). Trong khi thanh thiếu niên đang trong giai đoạn chuyển tiếp từ thời thơ ấu sang trưởng thành, đồng thời trải qua những thay đổi lớn về vai trò xã hội và môi trường sống, điều đó có nghĩa là họ dễ mắc trầm cảm, lo âu và các cảm xúc tiêu cực khác hơn. Tỷ lệ toàn cầu của triệu chứng trầm cảm/lo âu tăng cao trên lâm sàng ở thanh thiếu niên lần lượt là khoảng 25,2 và 20,5% (Racine và cs., 2021). Hơn nữa, một khảo sát được thực hiện bởi học sinh trung học phổ thông Trung Quốc từ 21 tỉnh và khu tự trị cho thấy tỷ lệ triệu chứng trầm cảm và lo âu lần lượt là 43,7 và 37,4% ở học sinh (Zhou và cs., 2020).</w:t>
      </w:r>
    </w:p>
    <w:p>
      <w:r>
        <w:rPr>
          <w:b/>
          <w:color w:val="FF6600"/>
          <w:sz w:val="20"/>
        </w:rPr>
        <w:t>--- Trang 2/9, Frontiers in Psychology, 13:897339, tháng 7/2022 ---</w:t>
      </w:r>
    </w:p>
    <w:p>
      <w:r>
        <w:rPr>
          <w:sz w:val="24"/>
        </w:rPr>
        <w:t>Phong cách nuôi dạy con đề cập đến thái độ, mục tiêu và bầu không khí cảm xúc mà cha mẹ sử dụng để nuôi dạy và giáo dục con cái, những yếu tố này duy trì tương đối ổn định trong các tình huống khác nhau (Darling và Steinberg, 1993). Sự ấm áp và sự nghiêm khắc của cha mẹ đã được xác định là hai chiều kích độc lập chính của phong cách nuôi dạy con. Từ đó, bốn phong cách nuôi dạy con đã được xác định: nuôi dạy có thẩm quyền (đặc trưng bởi sự ấm áp cao và nghiêm khắc cao), nuôi dạy độc đoán (đặc trưng bởi sự ấm áp thấp và nghiêm khắc cao), nuôi dạy dễ dãi (đặc trưng bởi sự ấm áp cao và nghiêm khắc thấp), và nuôi dạy thờ ơ (đặc trưng bởi sự ấm áp thấp và nghiêm khắc thấp) (Martinez và cs., 2020). Một tổng quan hệ thống cho thấy (Gorostiaga và cs., 2019) sự ấm áp của cha mẹ, kiểm soát hành vi và trao quyền tự chủ có mối tương quan nghịch với triệu chứng trầm cảm ở thanh thiếu niên, trong khi kiểm soát tâm lý và kiểm soát nghiêm ngặt của cha mẹ có mối liên quan thuận với triệu chứng trầm cảm/lo âu. Romero-Acosta và cs. (2021) phát hiện rằng so với những học sinh trải nghiệm nuôi dạy có thẩm quyền, những học sinh trải nghiệm phong cách nuôi dạy thờ ơ nói chung có mức triệu chứng lo âu thấp hơn. Các nghiên cứu trước đây về phong cách nuôi dạy con chủ yếu sử dụng các phương pháp tập trung vào biến số, điều này gây khó khăn cho việc kiểm tra cách các yếu tố khác nhau cấu thành phong cách nuôi dạy con kết hợp trong mỗi cá nhân và ảnh hưởng đến trẻ em. Về vấn đề này, cần thiết phải kiểm tra phong cách nuôi dạy con bằng cách sử dụng phân tích hồ sơ tiềm ẩn (</w:t>
      </w:r>
      <w:r>
        <w:rPr>
          <w:sz w:val="24"/>
        </w:rPr>
        <w:t>LPA</w:t>
      </w:r>
      <w:r>
        <w:rPr>
          <w:sz w:val="24"/>
        </w:rPr>
        <w:t>) với cách tiếp cận lấy con người làm trung tâm. Cách tiếp cận lấy con người làm trung tâm có thể cung cấp cái nhìn sâu sắc hơn so với cách tiếp cận tập trung vào biến số về phong cách nuôi dạy của các nhóm dân số cụ thể với các đặc điểm không đồng nhất (Lee và Han, 2021).</w:t>
      </w:r>
    </w:p>
    <w:p>
      <w:r>
        <w:rPr>
          <w:sz w:val="24"/>
        </w:rPr>
        <w:t>Ngoài ảnh hưởng của phong cách nuôi dạy con đối với triệu chứng trầm cảm và lo âu ở thanh thiếu niên, khả năng phục hồi cũng được cho là có ảnh hưởng quan trọng. Ví dụ, nghiên cứu trước đây đã xác nhận rằng mức khả năng phục hồi cao hơn có liên quan đến mức triệu chứng trầm cảm thấp hơn ở trẻ em và thanh thiếu niên (Wingo và cs., 2010; Wu và cs., 2017; Lee và cs., 2021). Hơn nữa, một thiết kế chéo trễ ba đợt (Lau, 2022) cho thấy mối tương quan qua lại không ổn định giữa khả năng phục hồi và trầm cảm theo thời gian và mối tương quan qua lại ổn định giữa khả năng phục hồi và triệu chứng lo âu.</w:t>
      </w:r>
    </w:p>
    <w:p>
      <w:r>
        <w:rPr>
          <w:sz w:val="24"/>
        </w:rPr>
        <w:t xml:space="preserve">Theo mô hình khả năng phục hồi tâm thần hiện có (Mandleco và Peery, 2000), các yếu tố ảnh hưởng đến khả năng phục hồi tâm thần có thể được chia thành yếu tố bên trong và yếu tố bên ngoài. Yếu tố bên trong là các yếu tố sinh học (ví dụ: di truyền) và yếu tố tâm lý (ví dụ: sự lạc quan và lòng tự trọng), trong khi yếu tố bên ngoài đề cập đến các yếu tố bên trong và bên ngoài gia đình (ví dụ: chức năng gia đình và hỗ trợ xã hội). Trong số đó, phong cách nuôi dạy con là một yếu tố bên ngoài quan trọng. Và sức khỏe tâm thần của thanh thiếu niên có thể bị ảnh hưởng bởi phong cách nuôi dạy con (Milevsky và cs., 2007). Nghiên cứu về khả năng phục hồi và phong cách nuôi dạy con đã cho thấy rằng nuôi dạy có thẩm quyền có tác động tích cực đáng kể đến khả năng phục hồi (Kritzas và Grobler, 2005; Zakeri và cs., 2010). Do đó, dựa trên các khảo sát trước đó, ba giả thuyết sau đã được đề xuất: (1) xác định các mô hình khác nhau của phong cách nuôi dạy con bằng </w:t>
      </w:r>
      <w:r>
        <w:rPr>
          <w:sz w:val="24"/>
        </w:rPr>
        <w:t>LPA</w:t>
      </w:r>
      <w:r>
        <w:rPr>
          <w:sz w:val="24"/>
        </w:rPr>
        <w:t>; (2) phong cách nuôi dạy con và khả năng phục hồi có mối tương quan độc lập với triệu chứng lo âu và trầm cảm ở thanh thiếu niên Trung Quốc; và (3) có hiệu ứng tương tác giữa phong cách nuôi dạy con và khả năng phục hồi đối với triệu chứng trầm cảm và lo âu.</w:t>
      </w:r>
    </w:p>
    <w:p>
      <w:r>
        <w:rPr>
          <w:b/>
          <w:color w:val="FF6600"/>
          <w:sz w:val="20"/>
        </w:rPr>
        <w:t>--- Trang 3/9, Frontiers in Psychology, 13:897339, tháng 7/2022 ---</w:t>
      </w:r>
    </w:p>
    <w:p>
      <w:pPr>
        <w:pStyle w:val="Heading2"/>
      </w:pPr>
      <w:r>
        <w:t>VẬT LIỆU VÀ PHƯƠNG PHÁP</w:t>
      </w:r>
    </w:p>
    <w:p>
      <w:pPr>
        <w:pStyle w:val="Heading3"/>
      </w:pPr>
      <w:r>
        <w:t>Người tham gia</w:t>
      </w:r>
    </w:p>
    <w:p>
      <w:r>
        <w:rPr>
          <w:sz w:val="24"/>
        </w:rPr>
        <w:t>Đây là một nghiên cứu cắt ngang, và thiết kế lấy mẫu cụm đã được sử dụng để chọn mẫu dân số từ thành phố Hợp Phì, tỉnh An Huy trong khoảng thời gian từ tháng 9 đến tháng 10 năm 2021. Tổng cộng 2.936 học sinh trung học phổ thông đã được tuyển cho nghiên cứu này và 2.879 bảng câu hỏi hợp lệ đã được thu nhận (57 bảng câu hỏi có giá trị thiếu &gt;15% đã bị loại bỏ). Tỷ lệ hiệu quả là 98,06%. Trong số đó, tuổi trung bình là 16,7 ± 1,8 tuổi, 63,4% là nam (1.319) và 36,6% là nữ (760).</w:t>
      </w:r>
    </w:p>
    <w:p>
      <w:r>
        <w:rPr>
          <w:sz w:val="24"/>
        </w:rPr>
        <w:t>Nghiên cứu này đã được phê duyệt bởi Ủy ban Đạo đức của Đại học Y khoa An Huy. Sự đồng ý có hiểu biết đã được thu thập từ tất cả học sinh, phụ huynh và giáo viên trước khi tiến hành khảo sát.</w:t>
      </w:r>
    </w:p>
    <w:p>
      <w:pPr>
        <w:pStyle w:val="Heading3"/>
      </w:pPr>
      <w:r>
        <w:t>Công cụ đo lường</w:t>
      </w:r>
    </w:p>
    <w:p>
      <w:pPr>
        <w:pStyle w:val="Heading4"/>
      </w:pPr>
      <w:r>
        <w:t>Dữ liệu nhân khẩu - xã hội học</w:t>
      </w:r>
    </w:p>
    <w:p>
      <w:r>
        <w:rPr>
          <w:sz w:val="24"/>
        </w:rPr>
        <w:t>Dữ liệu nhân khẩu - xã hội học được thu thập bằng bảng câu hỏi ẩn danh, bao gồm giới tính, tình trạng con một, nơi đăng ký hộ khẩu, thành tích học tập tự báo cáo (kém, trung bình, hoặc tốt), và trình độ học vấn của cha mẹ.</w:t>
      </w:r>
    </w:p>
    <w:p>
      <w:pPr>
        <w:pStyle w:val="Heading4"/>
      </w:pPr>
      <w:r>
        <w:t>Phong cách nuôi dạy con</w:t>
      </w:r>
    </w:p>
    <w:p>
      <w:r>
        <w:rPr>
          <w:sz w:val="24"/>
        </w:rPr>
        <w:t>Phiên bản tiêu chuẩn của thang đo Egna Minnen av Bardndosnauppforstran (</w:t>
      </w:r>
      <w:r>
        <w:rPr>
          <w:b/>
          <w:color w:val="CC0000"/>
          <w:sz w:val="24"/>
        </w:rPr>
        <w:t>EMBU</w:t>
      </w:r>
      <w:r>
        <w:rPr>
          <w:sz w:val="24"/>
        </w:rPr>
        <w:t xml:space="preserve">), được đồng biên tập bởi Perris và cs. (1980) tại Khoa Tâm thần học thuộc Đại học Umea ở Thụy Điển, đã được sử dụng để đánh giá thái độ và hành vi nuôi dạy con. Phiên bản tiếng Trung của </w:t>
      </w:r>
      <w:r>
        <w:rPr>
          <w:sz w:val="24"/>
        </w:rPr>
        <w:t>EMBU</w:t>
      </w:r>
      <w:r>
        <w:rPr>
          <w:sz w:val="24"/>
        </w:rPr>
        <w:t xml:space="preserve"> lần đầu tiên được giới thiệu vào năm 1993 (Li và cs., 2012). Phong cách nuôi dạy của cha và mẹ lần lượt bao gồm 58 và 57 mục. Thang đo bao gồm sáu tiểu thang: sự ấm áp cảm xúc của cha mẹ, sự từ chối và phủ nhận của cha mẹ, sự trừng phạt nghiêm khắc của cha mẹ, sự can thiệp quá mức của cha mẹ, sự thiên vị của cha mẹ, và sự bảo vệ quá mức của cha. Trong nghiên cứu này, chỉ có con một chiếm 44,3% (921), do đó tiểu thang thiên vị của cha mẹ đã được loại trừ. Hơn nữa, ngoại trừ bảo vệ quá mức của cha, bốn tiểu thang còn lại đều bao gồm hai chiều kích lần lượt của cha và mẹ. Tóm lại, có chín chiều kích. Mỗi mục sử dụng thang Likert 4 điểm từ 1 (không bao giờ) đến 4 (hầu hết thời gian), và các mục được cộng lại theo các chiều kích khác nhau. Trong nghiên cứu này, hệ số Cronbach's α cho phong cách nuôi dạy của cha và mẹ lần lượt là 0,813 và 0,807.</w:t>
      </w:r>
    </w:p>
    <w:p>
      <w:pPr>
        <w:pStyle w:val="Heading4"/>
      </w:pPr>
      <w:r>
        <w:t>Triệu chứng trầm cảm</w:t>
      </w:r>
    </w:p>
    <w:p>
      <w:r>
        <w:rPr>
          <w:sz w:val="24"/>
        </w:rPr>
        <w:t>Thang đo Trầm cảm của Trung tâm Nghiên cứu Dịch tễ học (</w:t>
      </w:r>
      <w:r>
        <w:rPr>
          <w:b/>
          <w:color w:val="CC0000"/>
          <w:sz w:val="24"/>
        </w:rPr>
        <w:t>CES-D</w:t>
      </w:r>
      <w:r>
        <w:rPr>
          <w:sz w:val="24"/>
        </w:rPr>
        <w:t>) là một công cụ sàng lọc triệu chứng trầm cảm được sử dụng rộng rãi trên toàn thế giới (Radloff, 1977). So với các thang đo trầm cảm khác, thang đo này tập trung nhiều hơn vào trải nghiệm cảm xúc của cá nhân và ít hơn vào các triệu chứng cơ thể của trầm cảm. Thang đo có tổng cộng 20 mục, và mỗi mục được đánh giá trên thang Likert 4 điểm từ 0 (hiếm khi hoặc không có) đến 1 (một chút), 2 (thỉnh thoảng hoặc vừa phải), và 3 (hầu hết hoặc tất cả thời gian), trong đó bốn mục về cảm xúc tích cực được chấm điểm ngược. Thanh thiếu niên có triệu chứng trầm cảm được phân loại dựa trên việc tổng điểm của họ có ≥20 hay không (Huang và cs., 2021; Sun và cs., 2021). Hệ số Cronbach's alpha tổng thể của thang đo là 0,910.</w:t>
      </w:r>
    </w:p>
    <w:p>
      <w:pPr>
        <w:pStyle w:val="Heading4"/>
      </w:pPr>
      <w:r>
        <w:t>Triệu chứng lo âu</w:t>
      </w:r>
    </w:p>
    <w:p>
      <w:r>
        <w:rPr>
          <w:sz w:val="24"/>
        </w:rPr>
        <w:t>Thang đo Lo âu Tự đánh giá (</w:t>
      </w:r>
      <w:r>
        <w:rPr>
          <w:b/>
          <w:color w:val="CC0000"/>
          <w:sz w:val="24"/>
        </w:rPr>
        <w:t>SAS</w:t>
      </w:r>
      <w:r>
        <w:rPr>
          <w:sz w:val="24"/>
        </w:rPr>
        <w:t>) là bảng câu hỏi tự báo cáo hồi cứu gồm 20 mục được thiết kế để phát hiện các triệu chứng liên quan đến lo âu trong dân số chung (Zung, 1971). Câu trả lời cho mỗi câu hỏi dao động từ 1 (không có hoặc rất ít thời gian) đến 4 (hầu hết hoặc tất cả thời gian), tương đương với tổng điểm thô từ 20-80, sau đó được chuyển đổi thành chỉ số điểm với phạm vi tiềm năng từ 25-100. Chỉ số điểm "được tính bằng cách chia tổng các giá trị (điểm thô) thu được từ 20 mục cho điểm tối đa có thể là 80, chuyển đổi thành số thập phân và nhân với 100" (Zung, 1971). Điểm chuẩn càng cao, triệu chứng càng nghiêm trọng. Sau đó, 50 điểm được đặt làm ngưỡng cắt cho triệu chứng lo âu (Zung, 1971; Huang và cs., 2021). Trong nghiên cứu này, hệ số Cronbach's α là 0,799.</w:t>
      </w:r>
    </w:p>
    <w:p>
      <w:pPr>
        <w:pStyle w:val="Heading4"/>
      </w:pPr>
      <w:r>
        <w:t>Khả năng phục hồi</w:t>
      </w:r>
    </w:p>
    <w:p>
      <w:r>
        <w:rPr>
          <w:sz w:val="24"/>
        </w:rPr>
        <w:t>Khả năng phục hồi được đo lường bằng Thang đo Khả năng Phục hồi Tự đánh giá dành cho Học sinh Trung học Phổ thông (</w:t>
      </w:r>
      <w:r>
        <w:rPr>
          <w:b/>
          <w:color w:val="CC0000"/>
          <w:sz w:val="24"/>
        </w:rPr>
        <w:t>SRSMSS</w:t>
      </w:r>
      <w:r>
        <w:rPr>
          <w:sz w:val="24"/>
        </w:rPr>
        <w:t xml:space="preserve">) được biên soạn bởi Hu và cs. (2011). Tổng cộng 26 mục được sử dụng, bao gồm sáu chiều kích: giải quyết vấn đề, hợp tác và giao tiếp, tự tin vào năng lực bản thân, mục tiêu và khát vọng, tự nhận thức, và sự đồng cảm. Theo tình huống mà người tham gia trải nghiệm trong hai tuần trước đó, mỗi lựa chọn được chấm điểm trên thang từ 1-5, chỉ ra "không bao giờ", "thỉnh thoảng", "đôi khi", "thường xuyên" và "luôn luôn". Trong nghiên cứu này, học sinh được phân loại có khả năng phục hồi thấp hoặc cao, với P75 làm ngưỡng cắt. Thang đo </w:t>
      </w:r>
      <w:r>
        <w:rPr>
          <w:sz w:val="24"/>
        </w:rPr>
        <w:t>SRSMSS</w:t>
      </w:r>
      <w:r>
        <w:rPr>
          <w:sz w:val="24"/>
        </w:rPr>
        <w:t xml:space="preserve"> có độ tin cậy và hiệu lực cao (Lü và cs., 2013), và hệ số Cronbach's α là 0,931 trong nghiên cứu hiện tại.</w:t>
      </w:r>
    </w:p>
    <w:p>
      <w:pPr>
        <w:pStyle w:val="Heading3"/>
      </w:pPr>
      <w:r>
        <w:t>Phân tích thống kê</w:t>
      </w:r>
    </w:p>
    <w:p>
      <w:r>
        <w:rPr>
          <w:b/>
          <w:color w:val="CC0000"/>
          <w:sz w:val="24"/>
        </w:rPr>
        <w:t>SPSS</w:t>
      </w:r>
      <w:r>
        <w:rPr>
          <w:sz w:val="24"/>
        </w:rPr>
        <w:t xml:space="preserve"> (Phần mềm Thống kê cho Khoa học Xã hội - Statistical Package for Social Sciences) 23.0 được sử dụng để xử lý và phân tích dữ liệu, và mức kiểm định là α = 0,05. Đầu tiên, chúng tôi sử dụng kiểm định χ² để so sánh mối liên quan giữa các biến nhân khẩu - xã hội học với triệu chứng lo âu và trầm cảm. Thứ hai, để xác định các phong cách nuôi dạy con thuộc các mô hình phân cụm khác nhau, phần mềm Mplus phiên bản 7.4 được sử dụng cho </w:t>
      </w:r>
      <w:r>
        <w:rPr>
          <w:sz w:val="24"/>
        </w:rPr>
        <w:t>LPA</w:t>
      </w:r>
      <w:r>
        <w:rPr>
          <w:sz w:val="24"/>
        </w:rPr>
        <w:t xml:space="preserve">. Các chỉ số cho phân tích chính bao gồm chín chiều kích từ </w:t>
      </w:r>
      <w:r>
        <w:rPr>
          <w:sz w:val="24"/>
        </w:rPr>
        <w:t>EMBU</w:t>
      </w:r>
      <w:r>
        <w:rPr>
          <w:sz w:val="24"/>
        </w:rPr>
        <w:t>. Số lượng lớp tiềm ẩn được xác định dựa trên các chỉ số phù hợp thường được sử dụng bao gồm Tiêu chuẩn Thông tin Akaike (</w:t>
      </w:r>
      <w:r>
        <w:rPr>
          <w:b/>
          <w:color w:val="CC0000"/>
          <w:sz w:val="24"/>
        </w:rPr>
        <w:t>AIC</w:t>
      </w:r>
      <w:r>
        <w:rPr>
          <w:sz w:val="24"/>
        </w:rPr>
        <w:t>), Tiêu chuẩn Thông tin Bayes (</w:t>
      </w:r>
      <w:r>
        <w:rPr>
          <w:b/>
          <w:color w:val="CC0000"/>
          <w:sz w:val="24"/>
        </w:rPr>
        <w:t>BIC</w:t>
      </w:r>
      <w:r>
        <w:rPr>
          <w:sz w:val="24"/>
        </w:rPr>
        <w:t xml:space="preserve">), và </w:t>
      </w:r>
      <w:r>
        <w:rPr>
          <w:sz w:val="24"/>
        </w:rPr>
        <w:t>BIC</w:t>
      </w:r>
      <w:r>
        <w:rPr>
          <w:sz w:val="24"/>
        </w:rPr>
        <w:t xml:space="preserve"> điều chỉnh theo cỡ mẫu (a-</w:t>
      </w:r>
      <w:r>
        <w:rPr>
          <w:sz w:val="24"/>
        </w:rPr>
        <w:t>BIC</w:t>
      </w:r>
      <w:r>
        <w:rPr>
          <w:sz w:val="24"/>
        </w:rPr>
        <w:t>); giá trị thấp hơn cho thấy mô hình phù hợp tốt hơn, cũng như kiểm định tỷ số khả dĩ bootstrapped (</w:t>
      </w:r>
      <w:r>
        <w:rPr>
          <w:b/>
          <w:color w:val="CC0000"/>
          <w:sz w:val="24"/>
        </w:rPr>
        <w:t>BLRT</w:t>
      </w:r>
      <w:r>
        <w:rPr>
          <w:sz w:val="24"/>
        </w:rPr>
        <w:t>), là kiểm định ý nghĩa cho việc cải thiện mô hình khi bổ sung mỗi lớp tiềm năng. Nói chung, entropy tương đối &gt;0,7 cho thấy mô hình nằm trong phạm vi chấp nhận được, và tỷ lệ của mỗi nhóm phân loại nên &gt;5% tổng dân số. Thứ ba, hồi quy logistic đa biến được sử dụng để phân tích mối liên quan giữa phong cách nuôi dạy con và khả năng phục hồi với triệu chứng trầm cảm và lo âu, kiểm soát giới tính, tình trạng con một, nơi đăng ký hộ khẩu, thành tích học tập tự báo cáo, và trình độ học vấn của cha mẹ. Khi kiểm tra mối liên quan giữa khả năng phục hồi với triệu chứng trầm cảm và lo âu, chúng tôi cũng sử dụng ngưỡng điểm khả năng phục hồi ≥P₆₇ và ≥P₉₀ cho phân tích độ nhạy. Hồi quy logistic nhị phân được sử dụng để phân tích mối quan hệ giữa tương tác của phong cách nuôi dạy con và khả năng phục hồi với triệu chứng trầm cảm và lo âu. Cuối cùng, phân tích phân tầng về mối quan hệ giữa phong cách nuôi dạy con và lo âu cũng như nó liên quan đến triệu chứng trầm cảm đã được thực hiện theo mức độ khả năng phục hồi.</w:t>
      </w:r>
    </w:p>
    <w:p>
      <w:r>
        <w:rPr>
          <w:b/>
          <w:color w:val="FF6600"/>
          <w:sz w:val="20"/>
        </w:rPr>
        <w:t>--- Trang 4/9, Frontiers in Psychology, 13:897339, tháng 7/2022 ---</w:t>
      </w:r>
    </w:p>
    <w:p>
      <w:pPr>
        <w:pStyle w:val="Heading2"/>
      </w:pPr>
      <w:r>
        <w:t>KẾT QUẢ</w:t>
      </w:r>
    </w:p>
    <w:p>
      <w:pPr>
        <w:pStyle w:val="Heading3"/>
      </w:pPr>
      <w:r>
        <w:t>Đặc điểm của người tham gia</w:t>
      </w:r>
    </w:p>
    <w:p>
      <w:r>
        <w:rPr>
          <w:sz w:val="24"/>
        </w:rPr>
        <w:t>Như được trình bày trong Bảng 1, trong số 2.079 người tham gia, 63,4% là nam và tỷ lệ triệu chứng trầm cảm/lo âu lần lượt là 26,0% (541) và 13,4% (279).</w:t>
      </w:r>
    </w:p>
    <w:p>
      <w:r>
        <w:rPr>
          <w:b/>
          <w:sz w:val="24"/>
        </w:rPr>
        <w:t>Bảng 1: Đặc điểm người tham gia theo triệu chứng trầm cảm/lo âu (N=2.079)</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850"/>
          </w:tcPr>
          <w:p>
            <w:r>
              <w:rPr>
                <w:b/>
              </w:rPr>
            </w:r>
            <w:r>
              <w:rPr>
                <w:rFonts w:ascii="Times New Roman" w:hAnsi="Times New Roman"/>
                <w:b/>
                <w:sz w:val="18"/>
              </w:rPr>
              <w:t>Biến số</w:t>
            </w:r>
          </w:p>
        </w:tc>
        <w:tc>
          <w:tcPr>
            <w:tcW w:type="dxa" w:w="850"/>
          </w:tcPr>
          <w:p>
            <w:r>
              <w:rPr>
                <w:b/>
              </w:rPr>
            </w:r>
            <w:r>
              <w:rPr>
                <w:rFonts w:ascii="Times New Roman" w:hAnsi="Times New Roman"/>
                <w:b/>
                <w:sz w:val="18"/>
              </w:rPr>
              <w:t>Tổng N (%)</w:t>
            </w:r>
          </w:p>
        </w:tc>
        <w:tc>
          <w:tcPr>
            <w:tcW w:type="dxa" w:w="850"/>
          </w:tcPr>
          <w:p>
            <w:r>
              <w:rPr>
                <w:b/>
              </w:rPr>
            </w:r>
            <w:r>
              <w:rPr>
                <w:rFonts w:ascii="Times New Roman" w:hAnsi="Times New Roman"/>
                <w:b/>
                <w:sz w:val="18"/>
              </w:rPr>
              <w:t>Trầm cảm: Không</w:t>
            </w:r>
          </w:p>
        </w:tc>
        <w:tc>
          <w:tcPr>
            <w:tcW w:type="dxa" w:w="850"/>
          </w:tcPr>
          <w:p>
            <w:r>
              <w:rPr>
                <w:b/>
              </w:rPr>
            </w:r>
            <w:r>
              <w:rPr>
                <w:rFonts w:ascii="Times New Roman" w:hAnsi="Times New Roman"/>
                <w:b/>
                <w:sz w:val="18"/>
              </w:rPr>
              <w:t>Trầm cảm: Có</w:t>
            </w:r>
          </w:p>
        </w:tc>
        <w:tc>
          <w:tcPr>
            <w:tcW w:type="dxa" w:w="850"/>
          </w:tcPr>
          <w:p>
            <w:r>
              <w:rPr>
                <w:b/>
              </w:rPr>
            </w:r>
            <w:r>
              <w:rPr>
                <w:rFonts w:ascii="Times New Roman" w:hAnsi="Times New Roman"/>
                <w:b/>
                <w:sz w:val="18"/>
              </w:rPr>
              <w:t>χ²</w:t>
            </w:r>
          </w:p>
        </w:tc>
        <w:tc>
          <w:tcPr>
            <w:tcW w:type="dxa" w:w="850"/>
          </w:tcPr>
          <w:p>
            <w:r>
              <w:rPr>
                <w:b/>
              </w:rPr>
            </w:r>
            <w:r>
              <w:rPr>
                <w:rFonts w:ascii="Times New Roman" w:hAnsi="Times New Roman"/>
                <w:b/>
                <w:sz w:val="18"/>
              </w:rPr>
              <w:t>Lo âu: Không</w:t>
            </w:r>
          </w:p>
        </w:tc>
        <w:tc>
          <w:tcPr>
            <w:tcW w:type="dxa" w:w="850"/>
          </w:tcPr>
          <w:p>
            <w:r>
              <w:rPr>
                <w:b/>
              </w:rPr>
            </w:r>
            <w:r>
              <w:rPr>
                <w:rFonts w:ascii="Times New Roman" w:hAnsi="Times New Roman"/>
                <w:b/>
                <w:sz w:val="18"/>
              </w:rPr>
              <w:t>Lo âu: Có</w:t>
            </w:r>
          </w:p>
        </w:tc>
        <w:tc>
          <w:tcPr>
            <w:tcW w:type="dxa" w:w="850"/>
          </w:tcPr>
          <w:p>
            <w:r>
              <w:rPr>
                <w:b/>
              </w:rPr>
            </w:r>
            <w:r>
              <w:rPr>
                <w:rFonts w:ascii="Times New Roman" w:hAnsi="Times New Roman"/>
                <w:b/>
                <w:sz w:val="18"/>
              </w:rPr>
              <w:t>χ²</w:t>
            </w:r>
          </w:p>
        </w:tc>
        <w:tc>
          <w:tcPr>
            <w:tcW w:type="dxa" w:w="6914"/>
          </w:tcPr>
          <w:p>
            <w:r>
              <w:rPr>
                <w:b/>
              </w:rPr>
            </w:r>
            <w:r>
              <w:rPr>
                <w:rFonts w:ascii="Times New Roman" w:hAnsi="Times New Roman"/>
                <w:b/>
                <w:sz w:val="18"/>
              </w:rPr>
            </w:r>
          </w:p>
        </w:tc>
      </w:tr>
      <w:tr>
        <w:tc>
          <w:tcPr>
            <w:tcW w:type="dxa" w:w="850"/>
          </w:tcPr>
          <w:p>
            <w:r/>
            <w:r>
              <w:rPr>
                <w:rFonts w:ascii="Times New Roman" w:hAnsi="Times New Roman"/>
                <w:b/>
                <w:sz w:val="18"/>
              </w:rPr>
              <w:t>Giới tính</w:t>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5,33*</w:t>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17,16</w:t>
            </w:r>
          </w:p>
        </w:tc>
        <w:tc>
          <w:tcPr>
            <w:tcW w:type="dxa" w:w="6914"/>
          </w:tcPr>
          <w:p>
            <w:r/>
            <w:r>
              <w:rPr>
                <w:rFonts w:ascii="Times New Roman" w:hAnsi="Times New Roman"/>
                <w:sz w:val="18"/>
              </w:rPr>
            </w:r>
          </w:p>
        </w:tc>
      </w:tr>
      <w:tr>
        <w:tc>
          <w:tcPr>
            <w:tcW w:type="dxa" w:w="850"/>
          </w:tcPr>
          <w:p>
            <w:r/>
            <w:r>
              <w:rPr>
                <w:rFonts w:ascii="Times New Roman" w:hAnsi="Times New Roman"/>
                <w:sz w:val="18"/>
              </w:rPr>
              <w:t>Nam</w:t>
            </w:r>
          </w:p>
        </w:tc>
        <w:tc>
          <w:tcPr>
            <w:tcW w:type="dxa" w:w="850"/>
          </w:tcPr>
          <w:p>
            <w:r/>
            <w:r>
              <w:rPr>
                <w:rFonts w:ascii="Times New Roman" w:hAnsi="Times New Roman"/>
                <w:sz w:val="18"/>
              </w:rPr>
              <w:t>1.319 (63,4)</w:t>
            </w:r>
          </w:p>
        </w:tc>
        <w:tc>
          <w:tcPr>
            <w:tcW w:type="dxa" w:w="850"/>
          </w:tcPr>
          <w:p>
            <w:r/>
            <w:r>
              <w:rPr>
                <w:rFonts w:ascii="Times New Roman" w:hAnsi="Times New Roman"/>
                <w:sz w:val="18"/>
              </w:rPr>
              <w:t>998 (75,7)</w:t>
            </w:r>
          </w:p>
        </w:tc>
        <w:tc>
          <w:tcPr>
            <w:tcW w:type="dxa" w:w="850"/>
          </w:tcPr>
          <w:p>
            <w:r/>
            <w:r>
              <w:rPr>
                <w:rFonts w:ascii="Times New Roman" w:hAnsi="Times New Roman"/>
                <w:sz w:val="18"/>
              </w:rPr>
              <w:t>321 (24,3)</w:t>
            </w:r>
          </w:p>
        </w:tc>
        <w:tc>
          <w:tcPr>
            <w:tcW w:type="dxa" w:w="850"/>
          </w:tcPr>
          <w:p>
            <w:r/>
            <w:r>
              <w:rPr>
                <w:rFonts w:ascii="Times New Roman" w:hAnsi="Times New Roman"/>
                <w:sz w:val="18"/>
              </w:rPr>
            </w:r>
          </w:p>
        </w:tc>
        <w:tc>
          <w:tcPr>
            <w:tcW w:type="dxa" w:w="850"/>
          </w:tcPr>
          <w:p>
            <w:r/>
            <w:r>
              <w:rPr>
                <w:rFonts w:ascii="Times New Roman" w:hAnsi="Times New Roman"/>
                <w:sz w:val="18"/>
              </w:rPr>
              <w:t>1.173 (88,9)</w:t>
            </w:r>
          </w:p>
        </w:tc>
        <w:tc>
          <w:tcPr>
            <w:tcW w:type="dxa" w:w="850"/>
          </w:tcPr>
          <w:p>
            <w:r/>
            <w:r>
              <w:rPr>
                <w:rFonts w:ascii="Times New Roman" w:hAnsi="Times New Roman"/>
                <w:sz w:val="18"/>
              </w:rPr>
              <w:t>146 (11,1)</w:t>
            </w:r>
          </w:p>
        </w:tc>
        <w:tc>
          <w:tcPr>
            <w:tcW w:type="dxa" w:w="850"/>
          </w:tcPr>
          <w:p>
            <w:r/>
            <w:r>
              <w:rPr>
                <w:rFonts w:ascii="Times New Roman" w:hAnsi="Times New Roman"/>
                <w:sz w:val="18"/>
              </w:rPr>
            </w:r>
          </w:p>
        </w:tc>
        <w:tc>
          <w:tcPr>
            <w:tcW w:type="dxa" w:w="6914"/>
          </w:tcPr>
          <w:p>
            <w:r/>
            <w:r>
              <w:rPr>
                <w:rFonts w:ascii="Times New Roman" w:hAnsi="Times New Roman"/>
                <w:sz w:val="18"/>
              </w:rPr>
            </w:r>
          </w:p>
        </w:tc>
      </w:tr>
      <w:tr>
        <w:tc>
          <w:tcPr>
            <w:tcW w:type="dxa" w:w="850"/>
          </w:tcPr>
          <w:p>
            <w:r/>
            <w:r>
              <w:rPr>
                <w:rFonts w:ascii="Times New Roman" w:hAnsi="Times New Roman"/>
                <w:sz w:val="18"/>
              </w:rPr>
              <w:t>Nữ</w:t>
            </w:r>
          </w:p>
        </w:tc>
        <w:tc>
          <w:tcPr>
            <w:tcW w:type="dxa" w:w="850"/>
          </w:tcPr>
          <w:p>
            <w:r/>
            <w:r>
              <w:rPr>
                <w:rFonts w:ascii="Times New Roman" w:hAnsi="Times New Roman"/>
                <w:sz w:val="18"/>
              </w:rPr>
              <w:t>760 (36,6)</w:t>
            </w:r>
          </w:p>
        </w:tc>
        <w:tc>
          <w:tcPr>
            <w:tcW w:type="dxa" w:w="850"/>
          </w:tcPr>
          <w:p>
            <w:r/>
            <w:r>
              <w:rPr>
                <w:rFonts w:ascii="Times New Roman" w:hAnsi="Times New Roman"/>
                <w:sz w:val="18"/>
              </w:rPr>
              <w:t>540 (71,1)</w:t>
            </w:r>
          </w:p>
        </w:tc>
        <w:tc>
          <w:tcPr>
            <w:tcW w:type="dxa" w:w="850"/>
          </w:tcPr>
          <w:p>
            <w:r/>
            <w:r>
              <w:rPr>
                <w:rFonts w:ascii="Times New Roman" w:hAnsi="Times New Roman"/>
                <w:sz w:val="18"/>
              </w:rPr>
              <w:t>220 (28,9)</w:t>
            </w:r>
          </w:p>
        </w:tc>
        <w:tc>
          <w:tcPr>
            <w:tcW w:type="dxa" w:w="850"/>
          </w:tcPr>
          <w:p>
            <w:r/>
            <w:r>
              <w:rPr>
                <w:rFonts w:ascii="Times New Roman" w:hAnsi="Times New Roman"/>
                <w:sz w:val="18"/>
              </w:rPr>
            </w:r>
          </w:p>
        </w:tc>
        <w:tc>
          <w:tcPr>
            <w:tcW w:type="dxa" w:w="850"/>
          </w:tcPr>
          <w:p>
            <w:r/>
            <w:r>
              <w:rPr>
                <w:rFonts w:ascii="Times New Roman" w:hAnsi="Times New Roman"/>
                <w:sz w:val="18"/>
              </w:rPr>
              <w:t>627 (82,5)</w:t>
            </w:r>
          </w:p>
        </w:tc>
        <w:tc>
          <w:tcPr>
            <w:tcW w:type="dxa" w:w="850"/>
          </w:tcPr>
          <w:p>
            <w:r/>
            <w:r>
              <w:rPr>
                <w:rFonts w:ascii="Times New Roman" w:hAnsi="Times New Roman"/>
                <w:sz w:val="18"/>
              </w:rPr>
              <w:t>133 (17,5)</w:t>
            </w:r>
          </w:p>
        </w:tc>
        <w:tc>
          <w:tcPr>
            <w:tcW w:type="dxa" w:w="850"/>
          </w:tcPr>
          <w:p>
            <w:r/>
            <w:r>
              <w:rPr>
                <w:rFonts w:ascii="Times New Roman" w:hAnsi="Times New Roman"/>
                <w:sz w:val="18"/>
              </w:rPr>
            </w:r>
          </w:p>
        </w:tc>
        <w:tc>
          <w:tcPr>
            <w:tcW w:type="dxa" w:w="6914"/>
          </w:tcPr>
          <w:p>
            <w:r/>
            <w:r>
              <w:rPr>
                <w:rFonts w:ascii="Times New Roman" w:hAnsi="Times New Roman"/>
                <w:sz w:val="18"/>
              </w:rPr>
            </w:r>
          </w:p>
        </w:tc>
      </w:tr>
      <w:tr>
        <w:tc>
          <w:tcPr>
            <w:tcW w:type="dxa" w:w="850"/>
          </w:tcPr>
          <w:p>
            <w:r/>
            <w:r>
              <w:rPr>
                <w:rFonts w:ascii="Times New Roman" w:hAnsi="Times New Roman"/>
                <w:b/>
                <w:sz w:val="18"/>
              </w:rPr>
              <w:t>Con một</w:t>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0,55</w:t>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0,11</w:t>
            </w:r>
          </w:p>
        </w:tc>
        <w:tc>
          <w:tcPr>
            <w:tcW w:type="dxa" w:w="6914"/>
          </w:tcPr>
          <w:p>
            <w:r/>
            <w:r>
              <w:rPr>
                <w:rFonts w:ascii="Times New Roman" w:hAnsi="Times New Roman"/>
                <w:sz w:val="18"/>
              </w:rPr>
            </w:r>
          </w:p>
        </w:tc>
      </w:tr>
      <w:tr>
        <w:tc>
          <w:tcPr>
            <w:tcW w:type="dxa" w:w="850"/>
          </w:tcPr>
          <w:p>
            <w:r/>
            <w:r>
              <w:rPr>
                <w:rFonts w:ascii="Times New Roman" w:hAnsi="Times New Roman"/>
                <w:sz w:val="18"/>
              </w:rPr>
              <w:t>Có</w:t>
            </w:r>
          </w:p>
        </w:tc>
        <w:tc>
          <w:tcPr>
            <w:tcW w:type="dxa" w:w="850"/>
          </w:tcPr>
          <w:p>
            <w:r/>
            <w:r>
              <w:rPr>
                <w:rFonts w:ascii="Times New Roman" w:hAnsi="Times New Roman"/>
                <w:sz w:val="18"/>
              </w:rPr>
              <w:t>921 (44,3)</w:t>
            </w:r>
          </w:p>
        </w:tc>
        <w:tc>
          <w:tcPr>
            <w:tcW w:type="dxa" w:w="850"/>
          </w:tcPr>
          <w:p>
            <w:r/>
            <w:r>
              <w:rPr>
                <w:rFonts w:ascii="Times New Roman" w:hAnsi="Times New Roman"/>
                <w:sz w:val="18"/>
              </w:rPr>
              <w:t>674 (73,2)</w:t>
            </w:r>
          </w:p>
        </w:tc>
        <w:tc>
          <w:tcPr>
            <w:tcW w:type="dxa" w:w="850"/>
          </w:tcPr>
          <w:p>
            <w:r/>
            <w:r>
              <w:rPr>
                <w:rFonts w:ascii="Times New Roman" w:hAnsi="Times New Roman"/>
                <w:sz w:val="18"/>
              </w:rPr>
              <w:t>247 (26,8)</w:t>
            </w:r>
          </w:p>
        </w:tc>
        <w:tc>
          <w:tcPr>
            <w:tcW w:type="dxa" w:w="850"/>
          </w:tcPr>
          <w:p>
            <w:r/>
            <w:r>
              <w:rPr>
                <w:rFonts w:ascii="Times New Roman" w:hAnsi="Times New Roman"/>
                <w:sz w:val="18"/>
              </w:rPr>
            </w:r>
          </w:p>
        </w:tc>
        <w:tc>
          <w:tcPr>
            <w:tcW w:type="dxa" w:w="850"/>
          </w:tcPr>
          <w:p>
            <w:r/>
            <w:r>
              <w:rPr>
                <w:rFonts w:ascii="Times New Roman" w:hAnsi="Times New Roman"/>
                <w:sz w:val="18"/>
              </w:rPr>
              <w:t>800 (86,9)</w:t>
            </w:r>
          </w:p>
        </w:tc>
        <w:tc>
          <w:tcPr>
            <w:tcW w:type="dxa" w:w="850"/>
          </w:tcPr>
          <w:p>
            <w:r/>
            <w:r>
              <w:rPr>
                <w:rFonts w:ascii="Times New Roman" w:hAnsi="Times New Roman"/>
                <w:sz w:val="18"/>
              </w:rPr>
              <w:t>121 (13,1)</w:t>
            </w:r>
          </w:p>
        </w:tc>
        <w:tc>
          <w:tcPr>
            <w:tcW w:type="dxa" w:w="850"/>
          </w:tcPr>
          <w:p>
            <w:r/>
            <w:r>
              <w:rPr>
                <w:rFonts w:ascii="Times New Roman" w:hAnsi="Times New Roman"/>
                <w:sz w:val="18"/>
              </w:rPr>
            </w:r>
          </w:p>
        </w:tc>
        <w:tc>
          <w:tcPr>
            <w:tcW w:type="dxa" w:w="6914"/>
          </w:tcPr>
          <w:p>
            <w:r/>
            <w:r>
              <w:rPr>
                <w:rFonts w:ascii="Times New Roman" w:hAnsi="Times New Roman"/>
                <w:sz w:val="18"/>
              </w:rPr>
            </w:r>
          </w:p>
        </w:tc>
      </w:tr>
      <w:tr>
        <w:tc>
          <w:tcPr>
            <w:tcW w:type="dxa" w:w="850"/>
          </w:tcPr>
          <w:p>
            <w:r/>
            <w:r>
              <w:rPr>
                <w:rFonts w:ascii="Times New Roman" w:hAnsi="Times New Roman"/>
                <w:sz w:val="18"/>
              </w:rPr>
              <w:t>Không</w:t>
            </w:r>
          </w:p>
        </w:tc>
        <w:tc>
          <w:tcPr>
            <w:tcW w:type="dxa" w:w="850"/>
          </w:tcPr>
          <w:p>
            <w:r/>
            <w:r>
              <w:rPr>
                <w:rFonts w:ascii="Times New Roman" w:hAnsi="Times New Roman"/>
                <w:sz w:val="18"/>
              </w:rPr>
              <w:t>1.158 (55,7)</w:t>
            </w:r>
          </w:p>
        </w:tc>
        <w:tc>
          <w:tcPr>
            <w:tcW w:type="dxa" w:w="850"/>
          </w:tcPr>
          <w:p>
            <w:r/>
            <w:r>
              <w:rPr>
                <w:rFonts w:ascii="Times New Roman" w:hAnsi="Times New Roman"/>
                <w:sz w:val="18"/>
              </w:rPr>
              <w:t>864 (74,6)</w:t>
            </w:r>
          </w:p>
        </w:tc>
        <w:tc>
          <w:tcPr>
            <w:tcW w:type="dxa" w:w="850"/>
          </w:tcPr>
          <w:p>
            <w:r/>
            <w:r>
              <w:rPr>
                <w:rFonts w:ascii="Times New Roman" w:hAnsi="Times New Roman"/>
                <w:sz w:val="18"/>
              </w:rPr>
              <w:t>294 (25,4)</w:t>
            </w:r>
          </w:p>
        </w:tc>
        <w:tc>
          <w:tcPr>
            <w:tcW w:type="dxa" w:w="850"/>
          </w:tcPr>
          <w:p>
            <w:r/>
            <w:r>
              <w:rPr>
                <w:rFonts w:ascii="Times New Roman" w:hAnsi="Times New Roman"/>
                <w:sz w:val="18"/>
              </w:rPr>
            </w:r>
          </w:p>
        </w:tc>
        <w:tc>
          <w:tcPr>
            <w:tcW w:type="dxa" w:w="850"/>
          </w:tcPr>
          <w:p>
            <w:r/>
            <w:r>
              <w:rPr>
                <w:rFonts w:ascii="Times New Roman" w:hAnsi="Times New Roman"/>
                <w:sz w:val="18"/>
              </w:rPr>
              <w:t>1.000 (86,4)</w:t>
            </w:r>
          </w:p>
        </w:tc>
        <w:tc>
          <w:tcPr>
            <w:tcW w:type="dxa" w:w="850"/>
          </w:tcPr>
          <w:p>
            <w:r/>
            <w:r>
              <w:rPr>
                <w:rFonts w:ascii="Times New Roman" w:hAnsi="Times New Roman"/>
                <w:sz w:val="18"/>
              </w:rPr>
              <w:t>158 (13,6)</w:t>
            </w:r>
          </w:p>
        </w:tc>
        <w:tc>
          <w:tcPr>
            <w:tcW w:type="dxa" w:w="850"/>
          </w:tcPr>
          <w:p>
            <w:r/>
            <w:r>
              <w:rPr>
                <w:rFonts w:ascii="Times New Roman" w:hAnsi="Times New Roman"/>
                <w:sz w:val="18"/>
              </w:rPr>
            </w:r>
          </w:p>
        </w:tc>
        <w:tc>
          <w:tcPr>
            <w:tcW w:type="dxa" w:w="6914"/>
          </w:tcPr>
          <w:p>
            <w:r/>
            <w:r>
              <w:rPr>
                <w:rFonts w:ascii="Times New Roman" w:hAnsi="Times New Roman"/>
                <w:sz w:val="18"/>
              </w:rPr>
            </w:r>
          </w:p>
        </w:tc>
      </w:tr>
      <w:tr>
        <w:tc>
          <w:tcPr>
            <w:tcW w:type="dxa" w:w="850"/>
          </w:tcPr>
          <w:p>
            <w:r/>
            <w:r>
              <w:rPr>
                <w:rFonts w:ascii="Times New Roman" w:hAnsi="Times New Roman"/>
                <w:b/>
                <w:sz w:val="18"/>
              </w:rPr>
              <w:t>Nơi đăng ký</w:t>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13,77</w:t>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11,06</w:t>
            </w:r>
          </w:p>
        </w:tc>
        <w:tc>
          <w:tcPr>
            <w:tcW w:type="dxa" w:w="6914"/>
          </w:tcPr>
          <w:p>
            <w:r/>
            <w:r>
              <w:rPr>
                <w:rFonts w:ascii="Times New Roman" w:hAnsi="Times New Roman"/>
                <w:sz w:val="18"/>
              </w:rPr>
            </w:r>
          </w:p>
        </w:tc>
      </w:tr>
      <w:tr>
        <w:tc>
          <w:tcPr>
            <w:tcW w:type="dxa" w:w="850"/>
          </w:tcPr>
          <w:p>
            <w:r/>
            <w:r>
              <w:rPr>
                <w:rFonts w:ascii="Times New Roman" w:hAnsi="Times New Roman"/>
                <w:sz w:val="18"/>
              </w:rPr>
              <w:t>Nông thôn</w:t>
            </w:r>
          </w:p>
        </w:tc>
        <w:tc>
          <w:tcPr>
            <w:tcW w:type="dxa" w:w="850"/>
          </w:tcPr>
          <w:p>
            <w:r/>
            <w:r>
              <w:rPr>
                <w:rFonts w:ascii="Times New Roman" w:hAnsi="Times New Roman"/>
                <w:sz w:val="18"/>
              </w:rPr>
              <w:t>825 (39,7)</w:t>
            </w:r>
          </w:p>
        </w:tc>
        <w:tc>
          <w:tcPr>
            <w:tcW w:type="dxa" w:w="850"/>
          </w:tcPr>
          <w:p>
            <w:r/>
            <w:r>
              <w:rPr>
                <w:rFonts w:ascii="Times New Roman" w:hAnsi="Times New Roman"/>
                <w:sz w:val="18"/>
              </w:rPr>
              <w:t>574 (69,6)</w:t>
            </w:r>
          </w:p>
        </w:tc>
        <w:tc>
          <w:tcPr>
            <w:tcW w:type="dxa" w:w="850"/>
          </w:tcPr>
          <w:p>
            <w:r/>
            <w:r>
              <w:rPr>
                <w:rFonts w:ascii="Times New Roman" w:hAnsi="Times New Roman"/>
                <w:sz w:val="18"/>
              </w:rPr>
              <w:t>251 (30,4)</w:t>
            </w:r>
          </w:p>
        </w:tc>
        <w:tc>
          <w:tcPr>
            <w:tcW w:type="dxa" w:w="850"/>
          </w:tcPr>
          <w:p>
            <w:r/>
            <w:r>
              <w:rPr>
                <w:rFonts w:ascii="Times New Roman" w:hAnsi="Times New Roman"/>
                <w:sz w:val="18"/>
              </w:rPr>
            </w:r>
          </w:p>
        </w:tc>
        <w:tc>
          <w:tcPr>
            <w:tcW w:type="dxa" w:w="850"/>
          </w:tcPr>
          <w:p>
            <w:r/>
            <w:r>
              <w:rPr>
                <w:rFonts w:ascii="Times New Roman" w:hAnsi="Times New Roman"/>
                <w:sz w:val="18"/>
              </w:rPr>
              <w:t>689 (83,5)</w:t>
            </w:r>
          </w:p>
        </w:tc>
        <w:tc>
          <w:tcPr>
            <w:tcW w:type="dxa" w:w="850"/>
          </w:tcPr>
          <w:p>
            <w:r/>
            <w:r>
              <w:rPr>
                <w:rFonts w:ascii="Times New Roman" w:hAnsi="Times New Roman"/>
                <w:sz w:val="18"/>
              </w:rPr>
              <w:t>136 (16,5)</w:t>
            </w:r>
          </w:p>
        </w:tc>
        <w:tc>
          <w:tcPr>
            <w:tcW w:type="dxa" w:w="850"/>
          </w:tcPr>
          <w:p>
            <w:r/>
            <w:r>
              <w:rPr>
                <w:rFonts w:ascii="Times New Roman" w:hAnsi="Times New Roman"/>
                <w:sz w:val="18"/>
              </w:rPr>
            </w:r>
          </w:p>
        </w:tc>
        <w:tc>
          <w:tcPr>
            <w:tcW w:type="dxa" w:w="6914"/>
          </w:tcPr>
          <w:p>
            <w:r/>
            <w:r>
              <w:rPr>
                <w:rFonts w:ascii="Times New Roman" w:hAnsi="Times New Roman"/>
                <w:sz w:val="18"/>
              </w:rPr>
            </w:r>
          </w:p>
        </w:tc>
      </w:tr>
      <w:tr>
        <w:tc>
          <w:tcPr>
            <w:tcW w:type="dxa" w:w="850"/>
          </w:tcPr>
          <w:p>
            <w:r/>
            <w:r>
              <w:rPr>
                <w:rFonts w:ascii="Times New Roman" w:hAnsi="Times New Roman"/>
                <w:sz w:val="18"/>
              </w:rPr>
              <w:t>Thành thị</w:t>
            </w:r>
          </w:p>
        </w:tc>
        <w:tc>
          <w:tcPr>
            <w:tcW w:type="dxa" w:w="850"/>
          </w:tcPr>
          <w:p>
            <w:r/>
            <w:r>
              <w:rPr>
                <w:rFonts w:ascii="Times New Roman" w:hAnsi="Times New Roman"/>
                <w:sz w:val="18"/>
              </w:rPr>
              <w:t>1.254 (60,3)</w:t>
            </w:r>
          </w:p>
        </w:tc>
        <w:tc>
          <w:tcPr>
            <w:tcW w:type="dxa" w:w="850"/>
          </w:tcPr>
          <w:p>
            <w:r/>
            <w:r>
              <w:rPr>
                <w:rFonts w:ascii="Times New Roman" w:hAnsi="Times New Roman"/>
                <w:sz w:val="18"/>
              </w:rPr>
              <w:t>964 (76,9)</w:t>
            </w:r>
          </w:p>
        </w:tc>
        <w:tc>
          <w:tcPr>
            <w:tcW w:type="dxa" w:w="850"/>
          </w:tcPr>
          <w:p>
            <w:r/>
            <w:r>
              <w:rPr>
                <w:rFonts w:ascii="Times New Roman" w:hAnsi="Times New Roman"/>
                <w:sz w:val="18"/>
              </w:rPr>
              <w:t>290 (23,1)</w:t>
            </w:r>
          </w:p>
        </w:tc>
        <w:tc>
          <w:tcPr>
            <w:tcW w:type="dxa" w:w="850"/>
          </w:tcPr>
          <w:p>
            <w:r/>
            <w:r>
              <w:rPr>
                <w:rFonts w:ascii="Times New Roman" w:hAnsi="Times New Roman"/>
                <w:sz w:val="18"/>
              </w:rPr>
            </w:r>
          </w:p>
        </w:tc>
        <w:tc>
          <w:tcPr>
            <w:tcW w:type="dxa" w:w="850"/>
          </w:tcPr>
          <w:p>
            <w:r/>
            <w:r>
              <w:rPr>
                <w:rFonts w:ascii="Times New Roman" w:hAnsi="Times New Roman"/>
                <w:sz w:val="18"/>
              </w:rPr>
              <w:t>1.111 (88,6)</w:t>
            </w:r>
          </w:p>
        </w:tc>
        <w:tc>
          <w:tcPr>
            <w:tcW w:type="dxa" w:w="850"/>
          </w:tcPr>
          <w:p>
            <w:r/>
            <w:r>
              <w:rPr>
                <w:rFonts w:ascii="Times New Roman" w:hAnsi="Times New Roman"/>
                <w:sz w:val="18"/>
              </w:rPr>
              <w:t>143 (11,4)</w:t>
            </w:r>
          </w:p>
        </w:tc>
        <w:tc>
          <w:tcPr>
            <w:tcW w:type="dxa" w:w="850"/>
          </w:tcPr>
          <w:p>
            <w:r/>
            <w:r>
              <w:rPr>
                <w:rFonts w:ascii="Times New Roman" w:hAnsi="Times New Roman"/>
                <w:sz w:val="18"/>
              </w:rPr>
            </w:r>
          </w:p>
        </w:tc>
        <w:tc>
          <w:tcPr>
            <w:tcW w:type="dxa" w:w="6914"/>
          </w:tcPr>
          <w:p>
            <w:r/>
            <w:r>
              <w:rPr>
                <w:rFonts w:ascii="Times New Roman" w:hAnsi="Times New Roman"/>
                <w:sz w:val="18"/>
              </w:rPr>
            </w:r>
          </w:p>
        </w:tc>
      </w:tr>
      <w:tr>
        <w:tc>
          <w:tcPr>
            <w:tcW w:type="dxa" w:w="850"/>
          </w:tcPr>
          <w:p>
            <w:r/>
            <w:r>
              <w:rPr>
                <w:rFonts w:ascii="Times New Roman" w:hAnsi="Times New Roman"/>
                <w:b/>
                <w:sz w:val="18"/>
              </w:rPr>
              <w:t>Thành tích học tập</w:t>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12,88*</w:t>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11,55*</w:t>
            </w:r>
          </w:p>
        </w:tc>
        <w:tc>
          <w:tcPr>
            <w:tcW w:type="dxa" w:w="6914"/>
          </w:tcPr>
          <w:p>
            <w:r/>
            <w:r>
              <w:rPr>
                <w:rFonts w:ascii="Times New Roman" w:hAnsi="Times New Roman"/>
                <w:sz w:val="18"/>
              </w:rPr>
            </w:r>
          </w:p>
        </w:tc>
      </w:tr>
      <w:tr>
        <w:tc>
          <w:tcPr>
            <w:tcW w:type="dxa" w:w="850"/>
          </w:tcPr>
          <w:p>
            <w:r/>
            <w:r>
              <w:rPr>
                <w:rFonts w:ascii="Times New Roman" w:hAnsi="Times New Roman"/>
                <w:sz w:val="18"/>
              </w:rPr>
              <w:t>Tốt</w:t>
            </w:r>
          </w:p>
        </w:tc>
        <w:tc>
          <w:tcPr>
            <w:tcW w:type="dxa" w:w="850"/>
          </w:tcPr>
          <w:p>
            <w:r/>
            <w:r>
              <w:rPr>
                <w:rFonts w:ascii="Times New Roman" w:hAnsi="Times New Roman"/>
                <w:sz w:val="18"/>
              </w:rPr>
              <w:t>228 (11,0)</w:t>
            </w:r>
          </w:p>
        </w:tc>
        <w:tc>
          <w:tcPr>
            <w:tcW w:type="dxa" w:w="850"/>
          </w:tcPr>
          <w:p>
            <w:r/>
            <w:r>
              <w:rPr>
                <w:rFonts w:ascii="Times New Roman" w:hAnsi="Times New Roman"/>
                <w:sz w:val="18"/>
              </w:rPr>
              <w:t>163 (71,5)</w:t>
            </w:r>
          </w:p>
        </w:tc>
        <w:tc>
          <w:tcPr>
            <w:tcW w:type="dxa" w:w="850"/>
          </w:tcPr>
          <w:p>
            <w:r/>
            <w:r>
              <w:rPr>
                <w:rFonts w:ascii="Times New Roman" w:hAnsi="Times New Roman"/>
                <w:sz w:val="18"/>
              </w:rPr>
              <w:t>65 (28,5)</w:t>
            </w:r>
          </w:p>
        </w:tc>
        <w:tc>
          <w:tcPr>
            <w:tcW w:type="dxa" w:w="850"/>
          </w:tcPr>
          <w:p>
            <w:r/>
            <w:r>
              <w:rPr>
                <w:rFonts w:ascii="Times New Roman" w:hAnsi="Times New Roman"/>
                <w:sz w:val="18"/>
              </w:rPr>
            </w:r>
          </w:p>
        </w:tc>
        <w:tc>
          <w:tcPr>
            <w:tcW w:type="dxa" w:w="850"/>
          </w:tcPr>
          <w:p>
            <w:r/>
            <w:r>
              <w:rPr>
                <w:rFonts w:ascii="Times New Roman" w:hAnsi="Times New Roman"/>
                <w:sz w:val="18"/>
              </w:rPr>
              <w:t>191 (83,8)</w:t>
            </w:r>
          </w:p>
        </w:tc>
        <w:tc>
          <w:tcPr>
            <w:tcW w:type="dxa" w:w="850"/>
          </w:tcPr>
          <w:p>
            <w:r/>
            <w:r>
              <w:rPr>
                <w:rFonts w:ascii="Times New Roman" w:hAnsi="Times New Roman"/>
                <w:sz w:val="18"/>
              </w:rPr>
              <w:t>37 (16,2)</w:t>
            </w:r>
          </w:p>
        </w:tc>
        <w:tc>
          <w:tcPr>
            <w:tcW w:type="dxa" w:w="850"/>
          </w:tcPr>
          <w:p>
            <w:r/>
            <w:r>
              <w:rPr>
                <w:rFonts w:ascii="Times New Roman" w:hAnsi="Times New Roman"/>
                <w:sz w:val="18"/>
              </w:rPr>
            </w:r>
          </w:p>
        </w:tc>
        <w:tc>
          <w:tcPr>
            <w:tcW w:type="dxa" w:w="6914"/>
          </w:tcPr>
          <w:p>
            <w:r/>
            <w:r>
              <w:rPr>
                <w:rFonts w:ascii="Times New Roman" w:hAnsi="Times New Roman"/>
                <w:sz w:val="18"/>
              </w:rPr>
            </w:r>
          </w:p>
        </w:tc>
      </w:tr>
      <w:tr>
        <w:tc>
          <w:tcPr>
            <w:tcW w:type="dxa" w:w="850"/>
          </w:tcPr>
          <w:p>
            <w:r/>
            <w:r>
              <w:rPr>
                <w:rFonts w:ascii="Times New Roman" w:hAnsi="Times New Roman"/>
                <w:sz w:val="18"/>
              </w:rPr>
              <w:t>Trung bình</w:t>
            </w:r>
          </w:p>
        </w:tc>
        <w:tc>
          <w:tcPr>
            <w:tcW w:type="dxa" w:w="850"/>
          </w:tcPr>
          <w:p>
            <w:r/>
            <w:r>
              <w:rPr>
                <w:rFonts w:ascii="Times New Roman" w:hAnsi="Times New Roman"/>
                <w:sz w:val="18"/>
              </w:rPr>
              <w:t>1.731 (83,3)</w:t>
            </w:r>
          </w:p>
        </w:tc>
        <w:tc>
          <w:tcPr>
            <w:tcW w:type="dxa" w:w="850"/>
          </w:tcPr>
          <w:p>
            <w:r/>
            <w:r>
              <w:rPr>
                <w:rFonts w:ascii="Times New Roman" w:hAnsi="Times New Roman"/>
                <w:sz w:val="18"/>
              </w:rPr>
              <w:t>1.302 (75,2)</w:t>
            </w:r>
          </w:p>
        </w:tc>
        <w:tc>
          <w:tcPr>
            <w:tcW w:type="dxa" w:w="850"/>
          </w:tcPr>
          <w:p>
            <w:r/>
            <w:r>
              <w:rPr>
                <w:rFonts w:ascii="Times New Roman" w:hAnsi="Times New Roman"/>
                <w:sz w:val="18"/>
              </w:rPr>
              <w:t>429 (24,8)</w:t>
            </w:r>
          </w:p>
        </w:tc>
        <w:tc>
          <w:tcPr>
            <w:tcW w:type="dxa" w:w="850"/>
          </w:tcPr>
          <w:p>
            <w:r/>
            <w:r>
              <w:rPr>
                <w:rFonts w:ascii="Times New Roman" w:hAnsi="Times New Roman"/>
                <w:sz w:val="18"/>
              </w:rPr>
            </w:r>
          </w:p>
        </w:tc>
        <w:tc>
          <w:tcPr>
            <w:tcW w:type="dxa" w:w="850"/>
          </w:tcPr>
          <w:p>
            <w:r/>
            <w:r>
              <w:rPr>
                <w:rFonts w:ascii="Times New Roman" w:hAnsi="Times New Roman"/>
                <w:sz w:val="18"/>
              </w:rPr>
              <w:t>1.516 (87,6)</w:t>
            </w:r>
          </w:p>
        </w:tc>
        <w:tc>
          <w:tcPr>
            <w:tcW w:type="dxa" w:w="850"/>
          </w:tcPr>
          <w:p>
            <w:r/>
            <w:r>
              <w:rPr>
                <w:rFonts w:ascii="Times New Roman" w:hAnsi="Times New Roman"/>
                <w:sz w:val="18"/>
              </w:rPr>
              <w:t>215 (12,4)</w:t>
            </w:r>
          </w:p>
        </w:tc>
        <w:tc>
          <w:tcPr>
            <w:tcW w:type="dxa" w:w="850"/>
          </w:tcPr>
          <w:p>
            <w:r/>
            <w:r>
              <w:rPr>
                <w:rFonts w:ascii="Times New Roman" w:hAnsi="Times New Roman"/>
                <w:sz w:val="18"/>
              </w:rPr>
            </w:r>
          </w:p>
        </w:tc>
        <w:tc>
          <w:tcPr>
            <w:tcW w:type="dxa" w:w="6914"/>
          </w:tcPr>
          <w:p>
            <w:r/>
            <w:r>
              <w:rPr>
                <w:rFonts w:ascii="Times New Roman" w:hAnsi="Times New Roman"/>
                <w:sz w:val="18"/>
              </w:rPr>
            </w:r>
          </w:p>
        </w:tc>
      </w:tr>
      <w:tr>
        <w:tc>
          <w:tcPr>
            <w:tcW w:type="dxa" w:w="850"/>
          </w:tcPr>
          <w:p>
            <w:r/>
            <w:r>
              <w:rPr>
                <w:rFonts w:ascii="Times New Roman" w:hAnsi="Times New Roman"/>
                <w:sz w:val="18"/>
              </w:rPr>
              <w:t>Kém</w:t>
            </w:r>
          </w:p>
        </w:tc>
        <w:tc>
          <w:tcPr>
            <w:tcW w:type="dxa" w:w="850"/>
          </w:tcPr>
          <w:p>
            <w:r/>
            <w:r>
              <w:rPr>
                <w:rFonts w:ascii="Times New Roman" w:hAnsi="Times New Roman"/>
                <w:sz w:val="18"/>
              </w:rPr>
              <w:t>120 (5,8)</w:t>
            </w:r>
          </w:p>
        </w:tc>
        <w:tc>
          <w:tcPr>
            <w:tcW w:type="dxa" w:w="850"/>
          </w:tcPr>
          <w:p>
            <w:r/>
            <w:r>
              <w:rPr>
                <w:rFonts w:ascii="Times New Roman" w:hAnsi="Times New Roman"/>
                <w:sz w:val="18"/>
              </w:rPr>
              <w:t>73 (60,8)</w:t>
            </w:r>
          </w:p>
        </w:tc>
        <w:tc>
          <w:tcPr>
            <w:tcW w:type="dxa" w:w="850"/>
          </w:tcPr>
          <w:p>
            <w:r/>
            <w:r>
              <w:rPr>
                <w:rFonts w:ascii="Times New Roman" w:hAnsi="Times New Roman"/>
                <w:sz w:val="18"/>
              </w:rPr>
              <w:t>47 (39,2)</w:t>
            </w:r>
          </w:p>
        </w:tc>
        <w:tc>
          <w:tcPr>
            <w:tcW w:type="dxa" w:w="850"/>
          </w:tcPr>
          <w:p>
            <w:r/>
            <w:r>
              <w:rPr>
                <w:rFonts w:ascii="Times New Roman" w:hAnsi="Times New Roman"/>
                <w:sz w:val="18"/>
              </w:rPr>
            </w:r>
          </w:p>
        </w:tc>
        <w:tc>
          <w:tcPr>
            <w:tcW w:type="dxa" w:w="850"/>
          </w:tcPr>
          <w:p>
            <w:r/>
            <w:r>
              <w:rPr>
                <w:rFonts w:ascii="Times New Roman" w:hAnsi="Times New Roman"/>
                <w:sz w:val="18"/>
              </w:rPr>
              <w:t>93 (77,5)</w:t>
            </w:r>
          </w:p>
        </w:tc>
        <w:tc>
          <w:tcPr>
            <w:tcW w:type="dxa" w:w="850"/>
          </w:tcPr>
          <w:p>
            <w:r/>
            <w:r>
              <w:rPr>
                <w:rFonts w:ascii="Times New Roman" w:hAnsi="Times New Roman"/>
                <w:sz w:val="18"/>
              </w:rPr>
              <w:t>27 (22,5)</w:t>
            </w:r>
          </w:p>
        </w:tc>
        <w:tc>
          <w:tcPr>
            <w:tcW w:type="dxa" w:w="850"/>
          </w:tcPr>
          <w:p>
            <w:r/>
            <w:r>
              <w:rPr>
                <w:rFonts w:ascii="Times New Roman" w:hAnsi="Times New Roman"/>
                <w:sz w:val="18"/>
              </w:rPr>
            </w:r>
          </w:p>
        </w:tc>
        <w:tc>
          <w:tcPr>
            <w:tcW w:type="dxa" w:w="6914"/>
          </w:tcPr>
          <w:p>
            <w:r/>
            <w:r>
              <w:rPr>
                <w:rFonts w:ascii="Times New Roman" w:hAnsi="Times New Roman"/>
                <w:sz w:val="18"/>
              </w:rPr>
              <w:t>Triệu chứng trầm cảm/lo âu phổ biến hơn ở nữ và ở khu vực nông thôn (P &lt; 0,001). Tỷ lệ cao nhất ở những học sinh có thành tích học tập tự báo cáo kém (P &lt; 0,001). Không có sự khác biệt có ý nghĩa thống kê về triệu chứng trầm cảm/lo âu ở những học sinh là "con một" hoặc theo trình độ học vấn của cha (P &gt; 0,05).</w:t>
            </w:r>
          </w:p>
        </w:tc>
      </w:tr>
    </w:tbl>
    <w:p/>
    <w:p>
      <w:pPr>
        <w:pStyle w:val="Heading3"/>
      </w:pPr>
      <w:r>
        <w:t>Phân tích hồ sơ tiềm ẩn về phong cách nuôi dạy con</w:t>
      </w:r>
    </w:p>
    <w:p>
      <w:r>
        <w:rPr>
          <w:b/>
          <w:color w:val="FF6600"/>
          <w:sz w:val="20"/>
        </w:rPr>
        <w:t>--- Trang 5/9, Frontiers in Psychology, 13:897339, tháng 7/2022 ---</w:t>
      </w:r>
    </w:p>
    <w:p>
      <w:r>
        <w:rPr>
          <w:sz w:val="24"/>
        </w:rPr>
        <w:t xml:space="preserve">Các mô hình từ một đến năm hồ sơ đã được kiểm tra trong </w:t>
      </w:r>
      <w:r>
        <w:rPr>
          <w:sz w:val="24"/>
        </w:rPr>
        <w:t>LPA</w:t>
      </w:r>
      <w:r>
        <w:rPr>
          <w:sz w:val="24"/>
        </w:rPr>
        <w:t xml:space="preserve">. </w:t>
      </w:r>
      <w:r>
        <w:rPr>
          <w:b/>
          <w:sz w:val="24"/>
        </w:rPr>
        <w:t>Bảng 2: Chỉ số phù hợp mô hình LPA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850"/>
          </w:tcPr>
          <w:p>
            <w:r>
              <w:rPr>
                <w:b/>
              </w:rPr>
            </w:r>
            <w:r>
              <w:rPr>
                <w:rFonts w:ascii="Times New Roman" w:hAnsi="Times New Roman"/>
                <w:b/>
                <w:sz w:val="18"/>
              </w:rPr>
              <w:t>Hồ sơ</w:t>
            </w:r>
          </w:p>
        </w:tc>
        <w:tc>
          <w:tcPr>
            <w:tcW w:type="dxa" w:w="850"/>
          </w:tcPr>
          <w:p>
            <w:r>
              <w:rPr>
                <w:b/>
              </w:rPr>
            </w:r>
            <w:r>
              <w:rPr>
                <w:rFonts w:ascii="Times New Roman" w:hAnsi="Times New Roman"/>
                <w:b/>
                <w:sz w:val="18"/>
              </w:rPr>
              <w:t>df</w:t>
            </w:r>
          </w:p>
        </w:tc>
        <w:tc>
          <w:tcPr>
            <w:tcW w:type="dxa" w:w="1215"/>
          </w:tcPr>
          <w:p>
            <w:r>
              <w:rPr>
                <w:b/>
              </w:rPr>
            </w:r>
            <w:r>
              <w:rPr>
                <w:rFonts w:ascii="Times New Roman" w:hAnsi="Times New Roman"/>
                <w:b/>
                <w:sz w:val="18"/>
              </w:rPr>
              <w:t>AIC</w:t>
            </w:r>
          </w:p>
        </w:tc>
        <w:tc>
          <w:tcPr>
            <w:tcW w:type="dxa" w:w="1215"/>
          </w:tcPr>
          <w:p>
            <w:r>
              <w:rPr>
                <w:b/>
              </w:rPr>
            </w:r>
            <w:r>
              <w:rPr>
                <w:rFonts w:ascii="Times New Roman" w:hAnsi="Times New Roman"/>
                <w:b/>
                <w:sz w:val="18"/>
              </w:rPr>
              <w:t>BIC</w:t>
            </w:r>
          </w:p>
        </w:tc>
        <w:tc>
          <w:tcPr>
            <w:tcW w:type="dxa" w:w="1215"/>
          </w:tcPr>
          <w:p>
            <w:r>
              <w:rPr>
                <w:b/>
              </w:rPr>
            </w:r>
            <w:r>
              <w:rPr>
                <w:rFonts w:ascii="Times New Roman" w:hAnsi="Times New Roman"/>
                <w:b/>
                <w:sz w:val="18"/>
              </w:rPr>
              <w:t>aBIC</w:t>
            </w:r>
          </w:p>
        </w:tc>
        <w:tc>
          <w:tcPr>
            <w:tcW w:type="dxa" w:w="850"/>
          </w:tcPr>
          <w:p>
            <w:r>
              <w:rPr>
                <w:b/>
              </w:rPr>
            </w:r>
            <w:r>
              <w:rPr>
                <w:rFonts w:ascii="Times New Roman" w:hAnsi="Times New Roman"/>
                <w:b/>
                <w:sz w:val="18"/>
              </w:rPr>
              <w:t>Entropy</w:t>
            </w:r>
          </w:p>
        </w:tc>
        <w:tc>
          <w:tcPr>
            <w:tcW w:type="dxa" w:w="850"/>
          </w:tcPr>
          <w:p>
            <w:r>
              <w:rPr>
                <w:b/>
              </w:rPr>
            </w:r>
            <w:r>
              <w:rPr>
                <w:rFonts w:ascii="Times New Roman" w:hAnsi="Times New Roman"/>
                <w:b/>
                <w:sz w:val="18"/>
              </w:rPr>
              <w:t>LMR</w:t>
            </w:r>
          </w:p>
        </w:tc>
        <w:tc>
          <w:tcPr>
            <w:tcW w:type="dxa" w:w="850"/>
          </w:tcPr>
          <w:p>
            <w:r>
              <w:rPr>
                <w:b/>
              </w:rPr>
            </w:r>
            <w:r>
              <w:rPr>
                <w:rFonts w:ascii="Times New Roman" w:hAnsi="Times New Roman"/>
                <w:b/>
                <w:sz w:val="18"/>
              </w:rPr>
              <w:t>BLRT</w:t>
            </w:r>
          </w:p>
        </w:tc>
        <w:tc>
          <w:tcPr>
            <w:tcW w:type="dxa" w:w="2268"/>
          </w:tcPr>
          <w:p>
            <w:r>
              <w:rPr>
                <w:b/>
              </w:rPr>
            </w:r>
            <w:r>
              <w:rPr>
                <w:rFonts w:ascii="Times New Roman" w:hAnsi="Times New Roman"/>
                <w:b/>
                <w:sz w:val="18"/>
              </w:rPr>
              <w:t>Xác suất hồ sơ</w:t>
            </w:r>
          </w:p>
        </w:tc>
      </w:tr>
      <w:tr>
        <w:tc>
          <w:tcPr>
            <w:tcW w:type="dxa" w:w="850"/>
          </w:tcPr>
          <w:p>
            <w:r/>
            <w:r>
              <w:rPr>
                <w:rFonts w:ascii="Times New Roman" w:hAnsi="Times New Roman"/>
                <w:sz w:val="18"/>
              </w:rPr>
              <w:t>1</w:t>
            </w:r>
          </w:p>
        </w:tc>
        <w:tc>
          <w:tcPr>
            <w:tcW w:type="dxa" w:w="850"/>
          </w:tcPr>
          <w:p>
            <w:r/>
            <w:r>
              <w:rPr>
                <w:rFonts w:ascii="Times New Roman" w:hAnsi="Times New Roman"/>
                <w:sz w:val="18"/>
              </w:rPr>
              <w:t>18</w:t>
            </w:r>
          </w:p>
        </w:tc>
        <w:tc>
          <w:tcPr>
            <w:tcW w:type="dxa" w:w="1215"/>
          </w:tcPr>
          <w:p>
            <w:r/>
            <w:r>
              <w:rPr>
                <w:rFonts w:ascii="Times New Roman" w:hAnsi="Times New Roman"/>
                <w:sz w:val="18"/>
              </w:rPr>
              <w:t>115.441,750</w:t>
            </w:r>
          </w:p>
        </w:tc>
        <w:tc>
          <w:tcPr>
            <w:tcW w:type="dxa" w:w="1215"/>
          </w:tcPr>
          <w:p>
            <w:r/>
            <w:r>
              <w:rPr>
                <w:rFonts w:ascii="Times New Roman" w:hAnsi="Times New Roman"/>
                <w:sz w:val="18"/>
              </w:rPr>
              <w:t>115.543,263</w:t>
            </w:r>
          </w:p>
        </w:tc>
        <w:tc>
          <w:tcPr>
            <w:tcW w:type="dxa" w:w="1215"/>
          </w:tcPr>
          <w:p>
            <w:r/>
            <w:r>
              <w:rPr>
                <w:rFonts w:ascii="Times New Roman" w:hAnsi="Times New Roman"/>
                <w:sz w:val="18"/>
              </w:rPr>
              <w:t>–</w:t>
            </w:r>
          </w:p>
        </w:tc>
        <w:tc>
          <w:tcPr>
            <w:tcW w:type="dxa" w:w="850"/>
          </w:tcPr>
          <w:p>
            <w:r/>
            <w:r>
              <w:rPr>
                <w:rFonts w:ascii="Times New Roman" w:hAnsi="Times New Roman"/>
                <w:sz w:val="18"/>
              </w:rPr>
              <w:t>–</w:t>
            </w:r>
          </w:p>
        </w:tc>
        <w:tc>
          <w:tcPr>
            <w:tcW w:type="dxa" w:w="850"/>
          </w:tcPr>
          <w:p>
            <w:r/>
            <w:r>
              <w:rPr>
                <w:rFonts w:ascii="Times New Roman" w:hAnsi="Times New Roman"/>
                <w:sz w:val="18"/>
              </w:rPr>
              <w:t>–</w:t>
            </w:r>
          </w:p>
        </w:tc>
        <w:tc>
          <w:tcPr>
            <w:tcW w:type="dxa" w:w="850"/>
          </w:tcPr>
          <w:p>
            <w:r/>
            <w:r>
              <w:rPr>
                <w:rFonts w:ascii="Times New Roman" w:hAnsi="Times New Roman"/>
                <w:sz w:val="18"/>
              </w:rPr>
              <w:t>–</w:t>
            </w:r>
          </w:p>
        </w:tc>
        <w:tc>
          <w:tcPr>
            <w:tcW w:type="dxa" w:w="2268"/>
          </w:tcPr>
          <w:p>
            <w:r/>
            <w:r>
              <w:rPr>
                <w:rFonts w:ascii="Times New Roman" w:hAnsi="Times New Roman"/>
                <w:sz w:val="18"/>
              </w:rPr>
              <w:t>–</w:t>
            </w:r>
          </w:p>
        </w:tc>
      </w:tr>
      <w:tr>
        <w:tc>
          <w:tcPr>
            <w:tcW w:type="dxa" w:w="850"/>
          </w:tcPr>
          <w:p>
            <w:r/>
            <w:r>
              <w:rPr>
                <w:rFonts w:ascii="Times New Roman" w:hAnsi="Times New Roman"/>
                <w:sz w:val="18"/>
              </w:rPr>
              <w:t>2</w:t>
            </w:r>
          </w:p>
        </w:tc>
        <w:tc>
          <w:tcPr>
            <w:tcW w:type="dxa" w:w="850"/>
          </w:tcPr>
          <w:p>
            <w:r/>
            <w:r>
              <w:rPr>
                <w:rFonts w:ascii="Times New Roman" w:hAnsi="Times New Roman"/>
                <w:sz w:val="18"/>
              </w:rPr>
              <w:t>28</w:t>
            </w:r>
          </w:p>
        </w:tc>
        <w:tc>
          <w:tcPr>
            <w:tcW w:type="dxa" w:w="1215"/>
          </w:tcPr>
          <w:p>
            <w:r/>
            <w:r>
              <w:rPr>
                <w:rFonts w:ascii="Times New Roman" w:hAnsi="Times New Roman"/>
                <w:sz w:val="18"/>
              </w:rPr>
              <w:t>109.155,840</w:t>
            </w:r>
          </w:p>
        </w:tc>
        <w:tc>
          <w:tcPr>
            <w:tcW w:type="dxa" w:w="1215"/>
          </w:tcPr>
          <w:p>
            <w:r/>
            <w:r>
              <w:rPr>
                <w:rFonts w:ascii="Times New Roman" w:hAnsi="Times New Roman"/>
                <w:sz w:val="18"/>
              </w:rPr>
              <w:t>109.313,750</w:t>
            </w:r>
          </w:p>
        </w:tc>
        <w:tc>
          <w:tcPr>
            <w:tcW w:type="dxa" w:w="1215"/>
          </w:tcPr>
          <w:p>
            <w:r/>
            <w:r>
              <w:rPr>
                <w:rFonts w:ascii="Times New Roman" w:hAnsi="Times New Roman"/>
                <w:sz w:val="18"/>
              </w:rPr>
              <w:t>109.224,791</w:t>
            </w:r>
          </w:p>
        </w:tc>
        <w:tc>
          <w:tcPr>
            <w:tcW w:type="dxa" w:w="850"/>
          </w:tcPr>
          <w:p>
            <w:r/>
            <w:r>
              <w:rPr>
                <w:rFonts w:ascii="Times New Roman" w:hAnsi="Times New Roman"/>
                <w:sz w:val="18"/>
              </w:rPr>
              <w:t>0,926</w:t>
            </w:r>
          </w:p>
        </w:tc>
        <w:tc>
          <w:tcPr>
            <w:tcW w:type="dxa" w:w="850"/>
          </w:tcPr>
          <w:p>
            <w:r/>
            <w:r>
              <w:rPr>
                <w:rFonts w:ascii="Times New Roman" w:hAnsi="Times New Roman"/>
                <w:sz w:val="18"/>
              </w:rPr>
              <w:t>&lt;0,001</w:t>
            </w:r>
          </w:p>
        </w:tc>
        <w:tc>
          <w:tcPr>
            <w:tcW w:type="dxa" w:w="850"/>
          </w:tcPr>
          <w:p>
            <w:r/>
            <w:r>
              <w:rPr>
                <w:rFonts w:ascii="Times New Roman" w:hAnsi="Times New Roman"/>
                <w:sz w:val="18"/>
              </w:rPr>
              <w:t>&lt;0,001</w:t>
            </w:r>
          </w:p>
        </w:tc>
        <w:tc>
          <w:tcPr>
            <w:tcW w:type="dxa" w:w="2268"/>
          </w:tcPr>
          <w:p>
            <w:r/>
            <w:r>
              <w:rPr>
                <w:rFonts w:ascii="Times New Roman" w:hAnsi="Times New Roman"/>
                <w:sz w:val="18"/>
              </w:rPr>
              <w:t>74,80/25,20</w:t>
            </w:r>
          </w:p>
        </w:tc>
      </w:tr>
      <w:tr>
        <w:tc>
          <w:tcPr>
            <w:tcW w:type="dxa" w:w="850"/>
          </w:tcPr>
          <w:p>
            <w:r/>
            <w:r>
              <w:rPr>
                <w:rFonts w:ascii="Times New Roman" w:hAnsi="Times New Roman"/>
                <w:b/>
                <w:sz w:val="18"/>
              </w:rPr>
              <w:t>3</w:t>
            </w:r>
          </w:p>
        </w:tc>
        <w:tc>
          <w:tcPr>
            <w:tcW w:type="dxa" w:w="850"/>
          </w:tcPr>
          <w:p>
            <w:r/>
            <w:r>
              <w:rPr>
                <w:rFonts w:ascii="Times New Roman" w:hAnsi="Times New Roman"/>
                <w:b/>
                <w:sz w:val="18"/>
              </w:rPr>
              <w:t>38</w:t>
            </w:r>
          </w:p>
        </w:tc>
        <w:tc>
          <w:tcPr>
            <w:tcW w:type="dxa" w:w="1215"/>
          </w:tcPr>
          <w:p>
            <w:r/>
            <w:r>
              <w:rPr>
                <w:rFonts w:ascii="Times New Roman" w:hAnsi="Times New Roman"/>
                <w:b/>
                <w:sz w:val="18"/>
              </w:rPr>
              <w:t>107.232,838</w:t>
            </w:r>
          </w:p>
        </w:tc>
        <w:tc>
          <w:tcPr>
            <w:tcW w:type="dxa" w:w="1215"/>
          </w:tcPr>
          <w:p>
            <w:r/>
            <w:r>
              <w:rPr>
                <w:rFonts w:ascii="Times New Roman" w:hAnsi="Times New Roman"/>
                <w:b/>
                <w:sz w:val="18"/>
              </w:rPr>
              <w:t>107.447,165</w:t>
            </w:r>
          </w:p>
        </w:tc>
        <w:tc>
          <w:tcPr>
            <w:tcW w:type="dxa" w:w="1215"/>
          </w:tcPr>
          <w:p>
            <w:r/>
            <w:r>
              <w:rPr>
                <w:rFonts w:ascii="Times New Roman" w:hAnsi="Times New Roman"/>
                <w:b/>
                <w:sz w:val="18"/>
              </w:rPr>
              <w:t>107.326,435</w:t>
            </w:r>
          </w:p>
        </w:tc>
        <w:tc>
          <w:tcPr>
            <w:tcW w:type="dxa" w:w="850"/>
          </w:tcPr>
          <w:p>
            <w:r/>
            <w:r>
              <w:rPr>
                <w:rFonts w:ascii="Times New Roman" w:hAnsi="Times New Roman"/>
                <w:b/>
                <w:sz w:val="18"/>
              </w:rPr>
              <w:t>0,896</w:t>
            </w:r>
          </w:p>
        </w:tc>
        <w:tc>
          <w:tcPr>
            <w:tcW w:type="dxa" w:w="850"/>
          </w:tcPr>
          <w:p>
            <w:r/>
            <w:r>
              <w:rPr>
                <w:rFonts w:ascii="Times New Roman" w:hAnsi="Times New Roman"/>
                <w:b/>
                <w:sz w:val="18"/>
              </w:rPr>
              <w:t>0,041</w:t>
            </w:r>
          </w:p>
        </w:tc>
        <w:tc>
          <w:tcPr>
            <w:tcW w:type="dxa" w:w="850"/>
          </w:tcPr>
          <w:p>
            <w:r/>
            <w:r>
              <w:rPr>
                <w:rFonts w:ascii="Times New Roman" w:hAnsi="Times New Roman"/>
                <w:b/>
                <w:sz w:val="18"/>
              </w:rPr>
              <w:t>&lt;0,001</w:t>
            </w:r>
          </w:p>
        </w:tc>
        <w:tc>
          <w:tcPr>
            <w:tcW w:type="dxa" w:w="2268"/>
          </w:tcPr>
          <w:p>
            <w:r/>
            <w:r>
              <w:rPr>
                <w:rFonts w:ascii="Times New Roman" w:hAnsi="Times New Roman"/>
                <w:b/>
                <w:sz w:val="18"/>
              </w:rPr>
              <w:t>58,87/31,99/9,22</w:t>
            </w:r>
          </w:p>
        </w:tc>
      </w:tr>
      <w:tr>
        <w:tc>
          <w:tcPr>
            <w:tcW w:type="dxa" w:w="850"/>
          </w:tcPr>
          <w:p>
            <w:r/>
            <w:r>
              <w:rPr>
                <w:rFonts w:ascii="Times New Roman" w:hAnsi="Times New Roman"/>
                <w:sz w:val="18"/>
              </w:rPr>
              <w:t>4</w:t>
            </w:r>
          </w:p>
        </w:tc>
        <w:tc>
          <w:tcPr>
            <w:tcW w:type="dxa" w:w="850"/>
          </w:tcPr>
          <w:p>
            <w:r/>
            <w:r>
              <w:rPr>
                <w:rFonts w:ascii="Times New Roman" w:hAnsi="Times New Roman"/>
                <w:sz w:val="18"/>
              </w:rPr>
              <w:t>48</w:t>
            </w:r>
          </w:p>
        </w:tc>
        <w:tc>
          <w:tcPr>
            <w:tcW w:type="dxa" w:w="1215"/>
          </w:tcPr>
          <w:p>
            <w:r/>
            <w:r>
              <w:rPr>
                <w:rFonts w:ascii="Times New Roman" w:hAnsi="Times New Roman"/>
                <w:sz w:val="18"/>
              </w:rPr>
              <w:t>106.382,317</w:t>
            </w:r>
          </w:p>
        </w:tc>
        <w:tc>
          <w:tcPr>
            <w:tcW w:type="dxa" w:w="1215"/>
          </w:tcPr>
          <w:p>
            <w:r/>
            <w:r>
              <w:rPr>
                <w:rFonts w:ascii="Times New Roman" w:hAnsi="Times New Roman"/>
                <w:sz w:val="18"/>
              </w:rPr>
              <w:t>106.653,019</w:t>
            </w:r>
          </w:p>
        </w:tc>
        <w:tc>
          <w:tcPr>
            <w:tcW w:type="dxa" w:w="1215"/>
          </w:tcPr>
          <w:p>
            <w:r/>
            <w:r>
              <w:rPr>
                <w:rFonts w:ascii="Times New Roman" w:hAnsi="Times New Roman"/>
                <w:sz w:val="18"/>
              </w:rPr>
              <w:t>106.500,519</w:t>
            </w:r>
          </w:p>
        </w:tc>
        <w:tc>
          <w:tcPr>
            <w:tcW w:type="dxa" w:w="850"/>
          </w:tcPr>
          <w:p>
            <w:r/>
            <w:r>
              <w:rPr>
                <w:rFonts w:ascii="Times New Roman" w:hAnsi="Times New Roman"/>
                <w:sz w:val="18"/>
              </w:rPr>
              <w:t>0,888</w:t>
            </w:r>
          </w:p>
        </w:tc>
        <w:tc>
          <w:tcPr>
            <w:tcW w:type="dxa" w:w="850"/>
          </w:tcPr>
          <w:p>
            <w:r/>
            <w:r>
              <w:rPr>
                <w:rFonts w:ascii="Times New Roman" w:hAnsi="Times New Roman"/>
                <w:sz w:val="18"/>
              </w:rPr>
              <w:t>0,022</w:t>
            </w:r>
          </w:p>
        </w:tc>
        <w:tc>
          <w:tcPr>
            <w:tcW w:type="dxa" w:w="850"/>
          </w:tcPr>
          <w:p>
            <w:r/>
            <w:r>
              <w:rPr>
                <w:rFonts w:ascii="Times New Roman" w:hAnsi="Times New Roman"/>
                <w:sz w:val="18"/>
              </w:rPr>
              <w:t>&lt;0,001</w:t>
            </w:r>
          </w:p>
        </w:tc>
        <w:tc>
          <w:tcPr>
            <w:tcW w:type="dxa" w:w="2268"/>
          </w:tcPr>
          <w:p>
            <w:r/>
            <w:r>
              <w:rPr>
                <w:rFonts w:ascii="Times New Roman" w:hAnsi="Times New Roman"/>
                <w:sz w:val="18"/>
              </w:rPr>
              <w:t>30,54/12,17/53,3/3,99</w:t>
            </w:r>
          </w:p>
        </w:tc>
      </w:tr>
      <w:tr>
        <w:tc>
          <w:tcPr>
            <w:tcW w:type="dxa" w:w="850"/>
          </w:tcPr>
          <w:p>
            <w:r/>
            <w:r>
              <w:rPr>
                <w:rFonts w:ascii="Times New Roman" w:hAnsi="Times New Roman"/>
                <w:sz w:val="18"/>
              </w:rPr>
              <w:t>5</w:t>
            </w:r>
          </w:p>
        </w:tc>
        <w:tc>
          <w:tcPr>
            <w:tcW w:type="dxa" w:w="850"/>
          </w:tcPr>
          <w:p>
            <w:r/>
            <w:r>
              <w:rPr>
                <w:rFonts w:ascii="Times New Roman" w:hAnsi="Times New Roman"/>
                <w:sz w:val="18"/>
              </w:rPr>
              <w:t>58</w:t>
            </w:r>
          </w:p>
        </w:tc>
        <w:tc>
          <w:tcPr>
            <w:tcW w:type="dxa" w:w="1215"/>
          </w:tcPr>
          <w:p>
            <w:r/>
            <w:r>
              <w:rPr>
                <w:rFonts w:ascii="Times New Roman" w:hAnsi="Times New Roman"/>
                <w:sz w:val="18"/>
              </w:rPr>
              <w:t>105.739,617</w:t>
            </w:r>
          </w:p>
        </w:tc>
        <w:tc>
          <w:tcPr>
            <w:tcW w:type="dxa" w:w="1215"/>
          </w:tcPr>
          <w:p>
            <w:r/>
            <w:r>
              <w:rPr>
                <w:rFonts w:ascii="Times New Roman" w:hAnsi="Times New Roman"/>
                <w:sz w:val="18"/>
              </w:rPr>
              <w:t>106.066,716</w:t>
            </w:r>
          </w:p>
        </w:tc>
        <w:tc>
          <w:tcPr>
            <w:tcW w:type="dxa" w:w="1215"/>
          </w:tcPr>
          <w:p>
            <w:r/>
            <w:r>
              <w:rPr>
                <w:rFonts w:ascii="Times New Roman" w:hAnsi="Times New Roman"/>
                <w:sz w:val="18"/>
              </w:rPr>
              <w:t>105.882,445</w:t>
            </w:r>
          </w:p>
        </w:tc>
        <w:tc>
          <w:tcPr>
            <w:tcW w:type="dxa" w:w="850"/>
          </w:tcPr>
          <w:p>
            <w:r/>
            <w:r>
              <w:rPr>
                <w:rFonts w:ascii="Times New Roman" w:hAnsi="Times New Roman"/>
                <w:sz w:val="18"/>
              </w:rPr>
              <w:t>0,849</w:t>
            </w:r>
          </w:p>
        </w:tc>
        <w:tc>
          <w:tcPr>
            <w:tcW w:type="dxa" w:w="850"/>
          </w:tcPr>
          <w:p>
            <w:r/>
            <w:r>
              <w:rPr>
                <w:rFonts w:ascii="Times New Roman" w:hAnsi="Times New Roman"/>
                <w:sz w:val="18"/>
              </w:rPr>
              <w:t>0,344</w:t>
            </w:r>
          </w:p>
        </w:tc>
        <w:tc>
          <w:tcPr>
            <w:tcW w:type="dxa" w:w="850"/>
          </w:tcPr>
          <w:p>
            <w:r/>
            <w:r>
              <w:rPr>
                <w:rFonts w:ascii="Times New Roman" w:hAnsi="Times New Roman"/>
                <w:sz w:val="18"/>
              </w:rPr>
              <w:t>&lt;0,001</w:t>
            </w:r>
          </w:p>
        </w:tc>
        <w:tc>
          <w:tcPr>
            <w:tcW w:type="dxa" w:w="2268"/>
          </w:tcPr>
          <w:p>
            <w:r/>
            <w:r>
              <w:rPr>
                <w:rFonts w:ascii="Times New Roman" w:hAnsi="Times New Roman"/>
                <w:sz w:val="18"/>
              </w:rPr>
              <w:t>41,08/18,33/16,26/20,30/4,04</w:t>
            </w:r>
          </w:p>
        </w:tc>
      </w:tr>
    </w:tbl>
    <w:p/>
    <w:p>
      <w:r>
        <w:rPr>
          <w:sz w:val="24"/>
        </w:rPr>
        <w:t xml:space="preserve">Giải pháp ba hồ sơ được coi là phù hợp nhất dựa trên các chỉ số (Bảng 2), cho thấy entropy cao (0,896), giá trị p của kiểm định LMR và </w:t>
      </w:r>
      <w:r>
        <w:rPr>
          <w:sz w:val="24"/>
        </w:rPr>
        <w:t>BLRT</w:t>
      </w:r>
      <w:r>
        <w:rPr>
          <w:sz w:val="24"/>
        </w:rPr>
        <w:t xml:space="preserve"> đều có ý nghĩa thống kê. Ngoài ra, xác suất thành viên lớp hậu nghiệm trung bình ở mức chấp nhận được giữa các nhóm (0,929-0,966; Bảng bổ sung 1). Do </w:t>
      </w:r>
      <w:r>
        <w:rPr>
          <w:sz w:val="24"/>
        </w:rPr>
        <w:t>AIC</w:t>
      </w:r>
      <w:r>
        <w:rPr>
          <w:sz w:val="24"/>
        </w:rPr>
        <w:t xml:space="preserve">, </w:t>
      </w:r>
      <w:r>
        <w:rPr>
          <w:sz w:val="24"/>
        </w:rPr>
        <w:t>BIC</w:t>
      </w:r>
      <w:r>
        <w:rPr>
          <w:sz w:val="24"/>
        </w:rPr>
        <w:t xml:space="preserve"> và a</w:t>
      </w:r>
      <w:r>
        <w:rPr>
          <w:sz w:val="24"/>
        </w:rPr>
        <w:t>BIC</w:t>
      </w:r>
      <w:r>
        <w:rPr>
          <w:sz w:val="24"/>
        </w:rPr>
        <w:t xml:space="preserve"> thấp hơn cho giải pháp bốn hồ sơ, chúng tôi cũng so sánh và phân tích nó (Hình bổ sung 1). Kết quả cho thấy không có sự khác biệt rõ rệt giữa các giải pháp hồ sơ. Hơn nữa, tỷ lệ của một nhóm hồ sơ là 4,0% (&lt;5%) tổng dân số, nó không đáp ứng yêu cầu chọn lựa của mô hình. Đồng thời, phân tích phân tầng tiếp theo cho thấy cỡ mẫu của một số nhóm quá nhỏ để thu được kết quả hiệu quả. Do đó, dựa trên các lý do trên và nguyên tắc đơn giản của mô hình, chúng tôi đã chọn giải pháp ba hồ sơ là phù hợp nhất cho nghiên cứu hiện tại.</w:t>
      </w:r>
    </w:p>
    <w:p>
      <w:r>
        <w:rPr>
          <w:sz w:val="24"/>
        </w:rPr>
        <w:t>Hình 1 cho thấy ba hồ sơ nuôi dạy con. Hồ sơ 1 cho thấy mức độ cao về sự ấm áp cảm xúc của cha mẹ và được gán nhãn là "nuôi dạy tích cực" (58,6%). Ngược lại, hồ sơ 2 được đặc trưng bởi xác suất cao về trừng phạt nghiêm khắc, can thiệp quá mức, từ chối và phủ nhận, và bảo vệ quá mức, do đó chúng tôi gán nhãn nó là "nuôi dạy tiêu cực" (9,2%). Trong khi đó, hồ sơ 3 bao gồm xác suất trung bình trên chín chiều kích của phong cách nuôi dạy con, được gán nhãn là "nuôi dạy trung bình" (32,2%).</w:t>
      </w:r>
    </w:p>
    <w:p>
      <w:pPr>
        <w:pStyle w:val="Heading3"/>
      </w:pPr>
      <w:r>
        <w:t>Mô hình phong cách nuôi dạy con và khả năng phục hồi với triệu chứng trầm cảm/lo âu</w:t>
      </w:r>
    </w:p>
    <w:p>
      <w:r>
        <w:rPr>
          <w:b/>
          <w:color w:val="FF6600"/>
          <w:sz w:val="20"/>
        </w:rPr>
        <w:t>--- Trang 6/9, Frontiers in Psychology, 13:897339, tháng 7/2022 ---</w:t>
      </w:r>
    </w:p>
    <w:p>
      <w:r>
        <w:rPr>
          <w:b/>
          <w:sz w:val="24"/>
        </w:rPr>
        <w:t>Bảng 3: Mối liên quan giữa phong cách nuôi dạy, khả năng phục hồi với triệu chứng trầm cảm/lo âu (N=2.079)</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490"/>
          </w:tcPr>
          <w:p>
            <w:r>
              <w:rPr>
                <w:b/>
              </w:rPr>
            </w:r>
            <w:r>
              <w:rPr>
                <w:rFonts w:ascii="Times New Roman" w:hAnsi="Times New Roman"/>
                <w:b/>
                <w:sz w:val="18"/>
              </w:rPr>
              <w:t>Biến số</w:t>
            </w:r>
          </w:p>
        </w:tc>
        <w:tc>
          <w:tcPr>
            <w:tcW w:type="dxa" w:w="850"/>
          </w:tcPr>
          <w:p>
            <w:r>
              <w:rPr>
                <w:b/>
              </w:rPr>
            </w:r>
            <w:r>
              <w:rPr>
                <w:rFonts w:ascii="Times New Roman" w:hAnsi="Times New Roman"/>
                <w:b/>
                <w:sz w:val="18"/>
              </w:rPr>
              <w:t>Tổng N (%)</w:t>
            </w:r>
          </w:p>
        </w:tc>
        <w:tc>
          <w:tcPr>
            <w:tcW w:type="dxa" w:w="850"/>
          </w:tcPr>
          <w:p>
            <w:r>
              <w:rPr>
                <w:b/>
              </w:rPr>
            </w:r>
            <w:r>
              <w:rPr>
                <w:rFonts w:ascii="Times New Roman" w:hAnsi="Times New Roman"/>
                <w:b/>
                <w:sz w:val="18"/>
              </w:rPr>
              <w:t>Trầm cảm n(%)</w:t>
            </w:r>
          </w:p>
        </w:tc>
        <w:tc>
          <w:tcPr>
            <w:tcW w:type="dxa" w:w="1166"/>
          </w:tcPr>
          <w:p>
            <w:r>
              <w:rPr>
                <w:b/>
              </w:rPr>
            </w:r>
            <w:r>
              <w:rPr>
                <w:rFonts w:ascii="Times New Roman" w:hAnsi="Times New Roman"/>
                <w:b/>
                <w:sz w:val="18"/>
              </w:rPr>
              <w:t>OR thô (KTC 95%)</w:t>
            </w:r>
          </w:p>
        </w:tc>
        <w:tc>
          <w:tcPr>
            <w:tcW w:type="dxa" w:w="1490"/>
          </w:tcPr>
          <w:p>
            <w:r>
              <w:rPr>
                <w:b/>
              </w:rPr>
            </w:r>
            <w:r>
              <w:rPr>
                <w:rFonts w:ascii="Times New Roman" w:hAnsi="Times New Roman"/>
                <w:b/>
                <w:sz w:val="18"/>
              </w:rPr>
              <w:t>OR hiệu chỉnh (KTC 95%)</w:t>
            </w:r>
          </w:p>
        </w:tc>
        <w:tc>
          <w:tcPr>
            <w:tcW w:type="dxa" w:w="850"/>
          </w:tcPr>
          <w:p>
            <w:r>
              <w:rPr>
                <w:b/>
              </w:rPr>
            </w:r>
            <w:r>
              <w:rPr>
                <w:rFonts w:ascii="Times New Roman" w:hAnsi="Times New Roman"/>
                <w:b/>
                <w:sz w:val="18"/>
              </w:rPr>
              <w:t>Lo âu n(%)</w:t>
            </w:r>
          </w:p>
        </w:tc>
        <w:tc>
          <w:tcPr>
            <w:tcW w:type="dxa" w:w="1166"/>
          </w:tcPr>
          <w:p>
            <w:r>
              <w:rPr>
                <w:b/>
              </w:rPr>
            </w:r>
            <w:r>
              <w:rPr>
                <w:rFonts w:ascii="Times New Roman" w:hAnsi="Times New Roman"/>
                <w:b/>
                <w:sz w:val="18"/>
              </w:rPr>
              <w:t>OR thô (KTC 95%)</w:t>
            </w:r>
          </w:p>
        </w:tc>
        <w:tc>
          <w:tcPr>
            <w:tcW w:type="dxa" w:w="1490"/>
          </w:tcPr>
          <w:p>
            <w:r>
              <w:rPr>
                <w:b/>
              </w:rPr>
            </w:r>
            <w:r>
              <w:rPr>
                <w:rFonts w:ascii="Times New Roman" w:hAnsi="Times New Roman"/>
                <w:b/>
                <w:sz w:val="18"/>
              </w:rPr>
              <w:t>OR hiệu chỉnh (KTC 95%)</w:t>
            </w:r>
          </w:p>
        </w:tc>
      </w:tr>
      <w:tr>
        <w:tc>
          <w:tcPr>
            <w:tcW w:type="dxa" w:w="1490"/>
          </w:tcPr>
          <w:p>
            <w:r/>
            <w:r>
              <w:rPr>
                <w:rFonts w:ascii="Times New Roman" w:hAnsi="Times New Roman"/>
                <w:b/>
                <w:sz w:val="18"/>
              </w:rPr>
              <w:t>Phong cách nuôi dạy</w:t>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166"/>
          </w:tcPr>
          <w:p>
            <w:r/>
            <w:r>
              <w:rPr>
                <w:rFonts w:ascii="Times New Roman" w:hAnsi="Times New Roman"/>
                <w:sz w:val="18"/>
              </w:rPr>
            </w:r>
          </w:p>
        </w:tc>
        <w:tc>
          <w:tcPr>
            <w:tcW w:type="dxa" w:w="1490"/>
          </w:tcPr>
          <w:p>
            <w:r/>
            <w:r>
              <w:rPr>
                <w:rFonts w:ascii="Times New Roman" w:hAnsi="Times New Roman"/>
                <w:sz w:val="18"/>
              </w:rPr>
            </w:r>
          </w:p>
        </w:tc>
        <w:tc>
          <w:tcPr>
            <w:tcW w:type="dxa" w:w="850"/>
          </w:tcPr>
          <w:p>
            <w:r/>
            <w:r>
              <w:rPr>
                <w:rFonts w:ascii="Times New Roman" w:hAnsi="Times New Roman"/>
                <w:sz w:val="18"/>
              </w:rPr>
            </w:r>
          </w:p>
        </w:tc>
        <w:tc>
          <w:tcPr>
            <w:tcW w:type="dxa" w:w="1166"/>
          </w:tcPr>
          <w:p>
            <w:r/>
            <w:r>
              <w:rPr>
                <w:rFonts w:ascii="Times New Roman" w:hAnsi="Times New Roman"/>
                <w:sz w:val="18"/>
              </w:rPr>
            </w:r>
          </w:p>
        </w:tc>
        <w:tc>
          <w:tcPr>
            <w:tcW w:type="dxa" w:w="1490"/>
          </w:tcPr>
          <w:p>
            <w:r/>
            <w:r>
              <w:rPr>
                <w:rFonts w:ascii="Times New Roman" w:hAnsi="Times New Roman"/>
                <w:sz w:val="18"/>
              </w:rPr>
            </w:r>
          </w:p>
        </w:tc>
      </w:tr>
      <w:tr>
        <w:tc>
          <w:tcPr>
            <w:tcW w:type="dxa" w:w="1490"/>
          </w:tcPr>
          <w:p>
            <w:r/>
            <w:r>
              <w:rPr>
                <w:rFonts w:ascii="Times New Roman" w:hAnsi="Times New Roman"/>
                <w:sz w:val="18"/>
              </w:rPr>
              <w:t>Tích cực</w:t>
            </w:r>
          </w:p>
        </w:tc>
        <w:tc>
          <w:tcPr>
            <w:tcW w:type="dxa" w:w="850"/>
          </w:tcPr>
          <w:p>
            <w:r/>
            <w:r>
              <w:rPr>
                <w:rFonts w:ascii="Times New Roman" w:hAnsi="Times New Roman"/>
                <w:sz w:val="18"/>
              </w:rPr>
              <w:t>1.224 (58,9)</w:t>
            </w:r>
          </w:p>
        </w:tc>
        <w:tc>
          <w:tcPr>
            <w:tcW w:type="dxa" w:w="850"/>
          </w:tcPr>
          <w:p>
            <w:r/>
            <w:r>
              <w:rPr>
                <w:rFonts w:ascii="Times New Roman" w:hAnsi="Times New Roman"/>
                <w:sz w:val="18"/>
              </w:rPr>
              <w:t>194 (15,8)</w:t>
            </w:r>
          </w:p>
        </w:tc>
        <w:tc>
          <w:tcPr>
            <w:tcW w:type="dxa" w:w="1166"/>
          </w:tcPr>
          <w:p>
            <w:r/>
            <w:r>
              <w:rPr>
                <w:rFonts w:ascii="Times New Roman" w:hAnsi="Times New Roman"/>
                <w:sz w:val="18"/>
              </w:rPr>
              <w:t>0,32 (0,25-0,39)</w:t>
            </w:r>
          </w:p>
        </w:tc>
        <w:tc>
          <w:tcPr>
            <w:tcW w:type="dxa" w:w="1490"/>
          </w:tcPr>
          <w:p>
            <w:r/>
            <w:r>
              <w:rPr>
                <w:rFonts w:ascii="Times New Roman" w:hAnsi="Times New Roman"/>
                <w:sz w:val="18"/>
              </w:rPr>
              <w:t>0,30 (0,24-0,37)</w:t>
            </w:r>
          </w:p>
        </w:tc>
        <w:tc>
          <w:tcPr>
            <w:tcW w:type="dxa" w:w="850"/>
          </w:tcPr>
          <w:p>
            <w:r/>
            <w:r>
              <w:rPr>
                <w:rFonts w:ascii="Times New Roman" w:hAnsi="Times New Roman"/>
                <w:sz w:val="18"/>
              </w:rPr>
              <w:t>91 (7,4)</w:t>
            </w:r>
          </w:p>
        </w:tc>
        <w:tc>
          <w:tcPr>
            <w:tcW w:type="dxa" w:w="1166"/>
          </w:tcPr>
          <w:p>
            <w:r/>
            <w:r>
              <w:rPr>
                <w:rFonts w:ascii="Times New Roman" w:hAnsi="Times New Roman"/>
                <w:sz w:val="18"/>
              </w:rPr>
              <w:t>0,34 (0,25-0,45)</w:t>
            </w:r>
          </w:p>
        </w:tc>
        <w:tc>
          <w:tcPr>
            <w:tcW w:type="dxa" w:w="1490"/>
          </w:tcPr>
          <w:p>
            <w:r/>
            <w:r>
              <w:rPr>
                <w:rFonts w:ascii="Times New Roman" w:hAnsi="Times New Roman"/>
                <w:sz w:val="18"/>
              </w:rPr>
              <w:t>0,32 (0,24-0,43)</w:t>
            </w:r>
          </w:p>
        </w:tc>
      </w:tr>
      <w:tr>
        <w:tc>
          <w:tcPr>
            <w:tcW w:type="dxa" w:w="1490"/>
          </w:tcPr>
          <w:p>
            <w:r/>
            <w:r>
              <w:rPr>
                <w:rFonts w:ascii="Times New Roman" w:hAnsi="Times New Roman"/>
                <w:sz w:val="18"/>
              </w:rPr>
              <w:t>Tiêu cực</w:t>
            </w:r>
          </w:p>
        </w:tc>
        <w:tc>
          <w:tcPr>
            <w:tcW w:type="dxa" w:w="850"/>
          </w:tcPr>
          <w:p>
            <w:r/>
            <w:r>
              <w:rPr>
                <w:rFonts w:ascii="Times New Roman" w:hAnsi="Times New Roman"/>
                <w:sz w:val="18"/>
              </w:rPr>
              <w:t>190 (9,1)</w:t>
            </w:r>
          </w:p>
        </w:tc>
        <w:tc>
          <w:tcPr>
            <w:tcW w:type="dxa" w:w="850"/>
          </w:tcPr>
          <w:p>
            <w:r/>
            <w:r>
              <w:rPr>
                <w:rFonts w:ascii="Times New Roman" w:hAnsi="Times New Roman"/>
                <w:sz w:val="18"/>
              </w:rPr>
              <w:t>98 (51,6)</w:t>
            </w:r>
          </w:p>
        </w:tc>
        <w:tc>
          <w:tcPr>
            <w:tcW w:type="dxa" w:w="1166"/>
          </w:tcPr>
          <w:p>
            <w:r/>
            <w:r>
              <w:rPr>
                <w:rFonts w:ascii="Times New Roman" w:hAnsi="Times New Roman"/>
                <w:sz w:val="18"/>
              </w:rPr>
              <w:t>1,78 (1,29-2,46)*</w:t>
            </w:r>
          </w:p>
        </w:tc>
        <w:tc>
          <w:tcPr>
            <w:tcW w:type="dxa" w:w="1490"/>
          </w:tcPr>
          <w:p>
            <w:r/>
            <w:r>
              <w:rPr>
                <w:rFonts w:ascii="Times New Roman" w:hAnsi="Times New Roman"/>
                <w:sz w:val="18"/>
              </w:rPr>
              <w:t>1,82 (1,30-2,53)</w:t>
            </w:r>
          </w:p>
        </w:tc>
        <w:tc>
          <w:tcPr>
            <w:tcW w:type="dxa" w:w="850"/>
          </w:tcPr>
          <w:p>
            <w:r/>
            <w:r>
              <w:rPr>
                <w:rFonts w:ascii="Times New Roman" w:hAnsi="Times New Roman"/>
                <w:sz w:val="18"/>
              </w:rPr>
              <w:t>60 (31,6)</w:t>
            </w:r>
          </w:p>
        </w:tc>
        <w:tc>
          <w:tcPr>
            <w:tcW w:type="dxa" w:w="1166"/>
          </w:tcPr>
          <w:p>
            <w:r/>
            <w:r>
              <w:rPr>
                <w:rFonts w:ascii="Times New Roman" w:hAnsi="Times New Roman"/>
                <w:sz w:val="18"/>
              </w:rPr>
              <w:t>1,94 (1,35-2,78)</w:t>
            </w:r>
          </w:p>
        </w:tc>
        <w:tc>
          <w:tcPr>
            <w:tcW w:type="dxa" w:w="1490"/>
          </w:tcPr>
          <w:p>
            <w:r/>
            <w:r>
              <w:rPr>
                <w:rFonts w:ascii="Times New Roman" w:hAnsi="Times New Roman"/>
                <w:sz w:val="18"/>
              </w:rPr>
              <w:t>2,01 (1,38-2,92)</w:t>
            </w:r>
          </w:p>
        </w:tc>
      </w:tr>
      <w:tr>
        <w:tc>
          <w:tcPr>
            <w:tcW w:type="dxa" w:w="1490"/>
          </w:tcPr>
          <w:p>
            <w:r/>
            <w:r>
              <w:rPr>
                <w:rFonts w:ascii="Times New Roman" w:hAnsi="Times New Roman"/>
                <w:sz w:val="18"/>
              </w:rPr>
              <w:t>Trung bình</w:t>
            </w:r>
          </w:p>
        </w:tc>
        <w:tc>
          <w:tcPr>
            <w:tcW w:type="dxa" w:w="850"/>
          </w:tcPr>
          <w:p>
            <w:r/>
            <w:r>
              <w:rPr>
                <w:rFonts w:ascii="Times New Roman" w:hAnsi="Times New Roman"/>
                <w:sz w:val="18"/>
              </w:rPr>
              <w:t>665 (32,0)</w:t>
            </w:r>
          </w:p>
        </w:tc>
        <w:tc>
          <w:tcPr>
            <w:tcW w:type="dxa" w:w="850"/>
          </w:tcPr>
          <w:p>
            <w:r/>
            <w:r>
              <w:rPr>
                <w:rFonts w:ascii="Times New Roman" w:hAnsi="Times New Roman"/>
                <w:sz w:val="18"/>
              </w:rPr>
              <w:t>249 (37,4)</w:t>
            </w:r>
          </w:p>
        </w:tc>
        <w:tc>
          <w:tcPr>
            <w:tcW w:type="dxa" w:w="1166"/>
          </w:tcPr>
          <w:p>
            <w:r/>
            <w:r>
              <w:rPr>
                <w:rFonts w:ascii="Times New Roman" w:hAnsi="Times New Roman"/>
                <w:sz w:val="18"/>
              </w:rPr>
              <w:t>1,00</w:t>
            </w:r>
          </w:p>
        </w:tc>
        <w:tc>
          <w:tcPr>
            <w:tcW w:type="dxa" w:w="1490"/>
          </w:tcPr>
          <w:p>
            <w:r/>
            <w:r>
              <w:rPr>
                <w:rFonts w:ascii="Times New Roman" w:hAnsi="Times New Roman"/>
                <w:sz w:val="18"/>
              </w:rPr>
              <w:t>1,00</w:t>
            </w:r>
          </w:p>
        </w:tc>
        <w:tc>
          <w:tcPr>
            <w:tcW w:type="dxa" w:w="850"/>
          </w:tcPr>
          <w:p>
            <w:r/>
            <w:r>
              <w:rPr>
                <w:rFonts w:ascii="Times New Roman" w:hAnsi="Times New Roman"/>
                <w:sz w:val="18"/>
              </w:rPr>
              <w:t>128 (19,2)</w:t>
            </w:r>
          </w:p>
        </w:tc>
        <w:tc>
          <w:tcPr>
            <w:tcW w:type="dxa" w:w="1166"/>
          </w:tcPr>
          <w:p>
            <w:r/>
            <w:r>
              <w:rPr>
                <w:rFonts w:ascii="Times New Roman" w:hAnsi="Times New Roman"/>
                <w:sz w:val="18"/>
              </w:rPr>
              <w:t>1,00</w:t>
            </w:r>
          </w:p>
        </w:tc>
        <w:tc>
          <w:tcPr>
            <w:tcW w:type="dxa" w:w="1490"/>
          </w:tcPr>
          <w:p>
            <w:r/>
            <w:r>
              <w:rPr>
                <w:rFonts w:ascii="Times New Roman" w:hAnsi="Times New Roman"/>
                <w:sz w:val="18"/>
              </w:rPr>
              <w:t>1,00</w:t>
            </w:r>
          </w:p>
        </w:tc>
      </w:tr>
      <w:tr>
        <w:tc>
          <w:tcPr>
            <w:tcW w:type="dxa" w:w="1490"/>
          </w:tcPr>
          <w:p>
            <w:r/>
            <w:r>
              <w:rPr>
                <w:rFonts w:ascii="Times New Roman" w:hAnsi="Times New Roman"/>
                <w:b/>
                <w:sz w:val="18"/>
              </w:rPr>
              <w:t>Khả năng phục hồi</w:t>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166"/>
          </w:tcPr>
          <w:p>
            <w:r/>
            <w:r>
              <w:rPr>
                <w:rFonts w:ascii="Times New Roman" w:hAnsi="Times New Roman"/>
                <w:sz w:val="18"/>
              </w:rPr>
            </w:r>
          </w:p>
        </w:tc>
        <w:tc>
          <w:tcPr>
            <w:tcW w:type="dxa" w:w="1490"/>
          </w:tcPr>
          <w:p>
            <w:r/>
            <w:r>
              <w:rPr>
                <w:rFonts w:ascii="Times New Roman" w:hAnsi="Times New Roman"/>
                <w:sz w:val="18"/>
              </w:rPr>
            </w:r>
          </w:p>
        </w:tc>
        <w:tc>
          <w:tcPr>
            <w:tcW w:type="dxa" w:w="850"/>
          </w:tcPr>
          <w:p>
            <w:r/>
            <w:r>
              <w:rPr>
                <w:rFonts w:ascii="Times New Roman" w:hAnsi="Times New Roman"/>
                <w:sz w:val="18"/>
              </w:rPr>
            </w:r>
          </w:p>
        </w:tc>
        <w:tc>
          <w:tcPr>
            <w:tcW w:type="dxa" w:w="1166"/>
          </w:tcPr>
          <w:p>
            <w:r/>
            <w:r>
              <w:rPr>
                <w:rFonts w:ascii="Times New Roman" w:hAnsi="Times New Roman"/>
                <w:sz w:val="18"/>
              </w:rPr>
            </w:r>
          </w:p>
        </w:tc>
        <w:tc>
          <w:tcPr>
            <w:tcW w:type="dxa" w:w="1490"/>
          </w:tcPr>
          <w:p>
            <w:r/>
            <w:r>
              <w:rPr>
                <w:rFonts w:ascii="Times New Roman" w:hAnsi="Times New Roman"/>
                <w:sz w:val="18"/>
              </w:rPr>
            </w:r>
          </w:p>
        </w:tc>
      </w:tr>
      <w:tr>
        <w:tc>
          <w:tcPr>
            <w:tcW w:type="dxa" w:w="1490"/>
          </w:tcPr>
          <w:p>
            <w:r/>
            <w:r>
              <w:rPr>
                <w:rFonts w:ascii="Times New Roman" w:hAnsi="Times New Roman"/>
                <w:sz w:val="18"/>
              </w:rPr>
              <w:t>Thấp</w:t>
            </w:r>
          </w:p>
        </w:tc>
        <w:tc>
          <w:tcPr>
            <w:tcW w:type="dxa" w:w="850"/>
          </w:tcPr>
          <w:p>
            <w:r/>
            <w:r>
              <w:rPr>
                <w:rFonts w:ascii="Times New Roman" w:hAnsi="Times New Roman"/>
                <w:sz w:val="18"/>
              </w:rPr>
              <w:t>1.549 (74,5)</w:t>
            </w:r>
          </w:p>
        </w:tc>
        <w:tc>
          <w:tcPr>
            <w:tcW w:type="dxa" w:w="850"/>
          </w:tcPr>
          <w:p>
            <w:r/>
            <w:r>
              <w:rPr>
                <w:rFonts w:ascii="Times New Roman" w:hAnsi="Times New Roman"/>
                <w:sz w:val="18"/>
              </w:rPr>
              <w:t>504 (32,5)</w:t>
            </w:r>
          </w:p>
        </w:tc>
        <w:tc>
          <w:tcPr>
            <w:tcW w:type="dxa" w:w="1166"/>
          </w:tcPr>
          <w:p>
            <w:r/>
            <w:r>
              <w:rPr>
                <w:rFonts w:ascii="Times New Roman" w:hAnsi="Times New Roman"/>
                <w:sz w:val="18"/>
              </w:rPr>
              <w:t>6,43 (4,53-9,13)</w:t>
            </w:r>
          </w:p>
        </w:tc>
        <w:tc>
          <w:tcPr>
            <w:tcW w:type="dxa" w:w="1490"/>
          </w:tcPr>
          <w:p>
            <w:r/>
            <w:r>
              <w:rPr>
                <w:rFonts w:ascii="Times New Roman" w:hAnsi="Times New Roman"/>
                <w:sz w:val="18"/>
              </w:rPr>
              <w:t>6,74 (4,78-9,61)</w:t>
            </w:r>
          </w:p>
        </w:tc>
        <w:tc>
          <w:tcPr>
            <w:tcW w:type="dxa" w:w="850"/>
          </w:tcPr>
          <w:p>
            <w:r/>
            <w:r>
              <w:rPr>
                <w:rFonts w:ascii="Times New Roman" w:hAnsi="Times New Roman"/>
                <w:sz w:val="18"/>
              </w:rPr>
              <w:t>245 (15,8)</w:t>
            </w:r>
          </w:p>
        </w:tc>
        <w:tc>
          <w:tcPr>
            <w:tcW w:type="dxa" w:w="1166"/>
          </w:tcPr>
          <w:p>
            <w:r/>
            <w:r>
              <w:rPr>
                <w:rFonts w:ascii="Times New Roman" w:hAnsi="Times New Roman"/>
                <w:sz w:val="18"/>
              </w:rPr>
              <w:t>2,74 (1,88-3,98)</w:t>
            </w:r>
          </w:p>
        </w:tc>
        <w:tc>
          <w:tcPr>
            <w:tcW w:type="dxa" w:w="1490"/>
          </w:tcPr>
          <w:p>
            <w:r/>
            <w:r>
              <w:rPr>
                <w:rFonts w:ascii="Times New Roman" w:hAnsi="Times New Roman"/>
                <w:sz w:val="18"/>
              </w:rPr>
              <w:t>2,80 (1,92-4,09)</w:t>
            </w:r>
          </w:p>
        </w:tc>
      </w:tr>
      <w:tr>
        <w:tc>
          <w:tcPr>
            <w:tcW w:type="dxa" w:w="1490"/>
          </w:tcPr>
          <w:p>
            <w:r/>
            <w:r>
              <w:rPr>
                <w:rFonts w:ascii="Times New Roman" w:hAnsi="Times New Roman"/>
                <w:sz w:val="18"/>
              </w:rPr>
              <w:t>Cao</w:t>
            </w:r>
          </w:p>
        </w:tc>
        <w:tc>
          <w:tcPr>
            <w:tcW w:type="dxa" w:w="850"/>
          </w:tcPr>
          <w:p>
            <w:r/>
            <w:r>
              <w:rPr>
                <w:rFonts w:ascii="Times New Roman" w:hAnsi="Times New Roman"/>
                <w:sz w:val="18"/>
              </w:rPr>
              <w:t>530 (22,5)</w:t>
            </w:r>
          </w:p>
        </w:tc>
        <w:tc>
          <w:tcPr>
            <w:tcW w:type="dxa" w:w="850"/>
          </w:tcPr>
          <w:p>
            <w:r/>
            <w:r>
              <w:rPr>
                <w:rFonts w:ascii="Times New Roman" w:hAnsi="Times New Roman"/>
                <w:sz w:val="18"/>
              </w:rPr>
              <w:t>37 (7,0)</w:t>
            </w:r>
          </w:p>
        </w:tc>
        <w:tc>
          <w:tcPr>
            <w:tcW w:type="dxa" w:w="1166"/>
          </w:tcPr>
          <w:p>
            <w:r/>
            <w:r>
              <w:rPr>
                <w:rFonts w:ascii="Times New Roman" w:hAnsi="Times New Roman"/>
                <w:sz w:val="18"/>
              </w:rPr>
              <w:t>1,00</w:t>
            </w:r>
          </w:p>
        </w:tc>
        <w:tc>
          <w:tcPr>
            <w:tcW w:type="dxa" w:w="1490"/>
          </w:tcPr>
          <w:p>
            <w:r/>
            <w:r>
              <w:rPr>
                <w:rFonts w:ascii="Times New Roman" w:hAnsi="Times New Roman"/>
                <w:sz w:val="18"/>
              </w:rPr>
              <w:t>1,00</w:t>
            </w:r>
          </w:p>
        </w:tc>
        <w:tc>
          <w:tcPr>
            <w:tcW w:type="dxa" w:w="850"/>
          </w:tcPr>
          <w:p>
            <w:r/>
            <w:r>
              <w:rPr>
                <w:rFonts w:ascii="Times New Roman" w:hAnsi="Times New Roman"/>
                <w:sz w:val="18"/>
              </w:rPr>
              <w:t>34 (6,4)</w:t>
            </w:r>
          </w:p>
        </w:tc>
        <w:tc>
          <w:tcPr>
            <w:tcW w:type="dxa" w:w="1166"/>
          </w:tcPr>
          <w:p>
            <w:r/>
            <w:r>
              <w:rPr>
                <w:rFonts w:ascii="Times New Roman" w:hAnsi="Times New Roman"/>
                <w:sz w:val="18"/>
              </w:rPr>
              <w:t>1,00</w:t>
            </w:r>
          </w:p>
        </w:tc>
        <w:tc>
          <w:tcPr>
            <w:tcW w:type="dxa" w:w="1490"/>
          </w:tcPr>
          <w:p>
            <w:r/>
            <w:r>
              <w:rPr>
                <w:rFonts w:ascii="Times New Roman" w:hAnsi="Times New Roman"/>
                <w:sz w:val="18"/>
              </w:rPr>
              <w:t>1,00</w:t>
            </w:r>
          </w:p>
        </w:tc>
      </w:tr>
    </w:tbl>
    <w:p/>
    <w:p>
      <w:r>
        <w:rPr>
          <w:sz w:val="24"/>
        </w:rPr>
        <w:t>Bảng 3 cho thấy mối liên quan giữa ba hồ sơ phong cách nuôi dạy con và khả năng phục hồi với triệu chứng trầm cảm/lo âu. Sau khi hiệu chỉnh cho các đặc điểm nhân khẩu - xã hội học (giới tính, tình trạng con một, nơi đăng ký hộ khẩu, thành tích học tập tự báo cáo, và trình độ học vấn của cha mẹ), so với mô hình "nuôi dạy trung bình", phân tích hồi quy logistic cho thấy mô hình "nuôi dạy tiêu cực" có mối liên quan thuận với triệu chứng trầm cảm (</w:t>
      </w:r>
      <w:r>
        <w:rPr>
          <w:b/>
          <w:color w:val="CC0000"/>
          <w:sz w:val="24"/>
        </w:rPr>
        <w:t>OR</w:t>
      </w:r>
      <w:r>
        <w:rPr>
          <w:sz w:val="24"/>
        </w:rPr>
        <w:t xml:space="preserve"> = 1,82, KTC 95%: 1,30-2,53) và triệu chứng lo âu (</w:t>
      </w:r>
      <w:r>
        <w:rPr>
          <w:sz w:val="24"/>
        </w:rPr>
        <w:t>OR</w:t>
      </w:r>
      <w:r>
        <w:rPr>
          <w:sz w:val="24"/>
        </w:rPr>
        <w:t xml:space="preserve"> = 2,01, KTC 95%: 1,38-2,92). Ngược lại, mô hình "nuôi dạy tích cực" có mối liên quan nghịch với triệu chứng trầm cảm (</w:t>
      </w:r>
      <w:r>
        <w:rPr>
          <w:sz w:val="24"/>
        </w:rPr>
        <w:t>OR</w:t>
      </w:r>
      <w:r>
        <w:rPr>
          <w:sz w:val="24"/>
        </w:rPr>
        <w:t xml:space="preserve"> = 0,30, KTC 95%: 0,24-0,37) và triệu chứng lo âu (</w:t>
      </w:r>
      <w:r>
        <w:rPr>
          <w:sz w:val="24"/>
        </w:rPr>
        <w:t>OR</w:t>
      </w:r>
      <w:r>
        <w:rPr>
          <w:sz w:val="24"/>
        </w:rPr>
        <w:t xml:space="preserve"> = 0,32, KTC 95%: 0,24-0,43). Với mức khả năng phục hồi cao (≥P₇₅) làm nhóm đối chứng, mức khả năng phục hồi thấp có mối liên quan thuận với trầm cảm (</w:t>
      </w:r>
      <w:r>
        <w:rPr>
          <w:sz w:val="24"/>
        </w:rPr>
        <w:t>OR</w:t>
      </w:r>
      <w:r>
        <w:rPr>
          <w:sz w:val="24"/>
        </w:rPr>
        <w:t xml:space="preserve"> = 6,74, KTC 95%: 4,73-9,61) và triệu chứng lo âu (</w:t>
      </w:r>
      <w:r>
        <w:rPr>
          <w:sz w:val="24"/>
        </w:rPr>
        <w:t>OR</w:t>
      </w:r>
      <w:r>
        <w:rPr>
          <w:sz w:val="24"/>
        </w:rPr>
        <w:t xml:space="preserve"> = 2,80, KTC 95%: 1,92-4,09). Trên các phân nhóm giới tính khác nhau, kết quả liên quan tương tự nhau (Bảng bổ sung 2, 3). Sử dụng ngưỡng điểm khả năng phục hồi ≥P₆₇ và ≥P₉₀ cho phân tích dữ liệu riêng biệt, chúng tôi thấy rằng mối liên quan giữa các mức độ khả năng phục hồi khác nhau và triệu chứng trầm cảm và lo âu tương tự như những kết quả tìm thấy với ≥P₇₅ (Bảng bổ sung 4) (Bảng 3).</w:t>
      </w:r>
    </w:p>
    <w:p>
      <w:r>
        <w:rPr>
          <w:sz w:val="24"/>
        </w:rPr>
        <w:t xml:space="preserve">Các mô hình phong cách nuôi dạy con và khả năng phục hồi có mối tương quan cao trong nghiên cứu hiện tại (Bảng bổ sung 5). Tuy nhiên, không có hiệu ứng tương tác giữa phong cách nuôi dạy con và khả năng phục hồi đối với triệu chứng trầm cảm/lo âu trong toàn bộ mẫu (Bảng bổ sung 6). Bảng 4 trình bày phân tầng dữ liệu theo nhóm mức độ khả năng phục hồi. Mối liên quan có ý nghĩa thống kê giữa triệu chứng trầm cảm (C1: </w:t>
      </w:r>
      <w:r>
        <w:rPr>
          <w:sz w:val="24"/>
        </w:rPr>
        <w:t>OR</w:t>
      </w:r>
      <w:r>
        <w:rPr>
          <w:sz w:val="24"/>
        </w:rPr>
        <w:t xml:space="preserve"> = 0,34, KTC 95%: 0,27-0,43; C2: </w:t>
      </w:r>
      <w:r>
        <w:rPr>
          <w:sz w:val="24"/>
        </w:rPr>
        <w:t>OR</w:t>
      </w:r>
      <w:r>
        <w:rPr>
          <w:sz w:val="24"/>
        </w:rPr>
        <w:t xml:space="preserve"> = 1,79, KTC 95%: 1,25-2,58) và triệu chứng lo âu (C1: </w:t>
      </w:r>
      <w:r>
        <w:rPr>
          <w:sz w:val="24"/>
        </w:rPr>
        <w:t>OR</w:t>
      </w:r>
      <w:r>
        <w:rPr>
          <w:sz w:val="24"/>
        </w:rPr>
        <w:t xml:space="preserve"> = 0,36, KTC 95%: 0,26-0,50; C2: </w:t>
      </w:r>
      <w:r>
        <w:rPr>
          <w:sz w:val="24"/>
        </w:rPr>
        <w:t>OR</w:t>
      </w:r>
      <w:r>
        <w:rPr>
          <w:sz w:val="24"/>
        </w:rPr>
        <w:t xml:space="preserve"> = 1,96, KTC 95%: 1,32-2,92) với các mô hình phong cách nuôi dạy con được quan sát ở thanh thiếu niên có mức khả năng phục hồi thấp. Ở mức khả năng phục hồi cao, mô hình "nuôi dạy tích cực" có mối liên quan nghịch với triệu chứng trầm cảm (</w:t>
      </w:r>
      <w:r>
        <w:rPr>
          <w:sz w:val="24"/>
        </w:rPr>
        <w:t>OR</w:t>
      </w:r>
      <w:r>
        <w:rPr>
          <w:sz w:val="24"/>
        </w:rPr>
        <w:t xml:space="preserve"> = 0,39, KTC 95%: 0,18-0,83) và triệu chứng lo âu (</w:t>
      </w:r>
      <w:r>
        <w:rPr>
          <w:sz w:val="24"/>
        </w:rPr>
        <w:t>OR</w:t>
      </w:r>
      <w:r>
        <w:rPr>
          <w:sz w:val="24"/>
        </w:rPr>
        <w:t xml:space="preserve"> = 0,28, KTC 95%: 0,13-0,62), và không có mối liên quan có ý nghĩa thống kê giữa mô hình "nuôi dạy tiêu cực" với triệu chứng trầm cảm và lo âu.</w:t>
      </w:r>
    </w:p>
    <w:p>
      <w:r>
        <w:rPr>
          <w:b/>
          <w:color w:val="FF6600"/>
          <w:sz w:val="20"/>
        </w:rPr>
        <w:t>--- Trang 7/9, Frontiers in Psychology, 13:897339, tháng 7/2022 ---</w:t>
      </w:r>
    </w:p>
    <w:p>
      <w:pPr>
        <w:pStyle w:val="Heading2"/>
      </w:pPr>
      <w:r>
        <w:t>THẢO LUẬN</w:t>
      </w:r>
    </w:p>
    <w:p>
      <w:r>
        <w:rPr>
          <w:sz w:val="24"/>
        </w:rPr>
        <w:t>Nghiên cứu này kiểm tra tác động của các mô hình phong cách nuôi dạy con và khả năng phục hồi đối với triệu chứng trầm cảm/lo âu ở thanh thiếu niên. Kết quả cho thấy các hồ sơ đa dạng của phong cách nuôi dạy con với các mức khả năng phục hồi khác nhau có các mối quan hệ khác nhau với trầm cảm/lo âu. Tuy nhiên, chúng tôi không tìm thấy tương tác giữa phong cách nuôi dạy con, khả năng phục hồi, trầm cảm và triệu chứng lo âu ở thanh thiếu niên.</w:t>
      </w:r>
    </w:p>
    <w:p>
      <w:r>
        <w:rPr>
          <w:sz w:val="24"/>
        </w:rPr>
        <w:t>Trong nghiên cứu hiện tại, chúng tôi phát hiện rằng tỷ lệ triệu chứng trầm cảm/lo âu ở thanh thiếu niên lần lượt là 26,0 và 13,4%, thấp hơn so với báo cáo của Zhou và cs. (2020) (lần lượt là 43,7 và 37,4%). Nhiều nghiên cứu cho thấy tỷ lệ triệu chứng trầm cảm/lo âu ở thanh thiếu niên Trung Quốc có thể cao hơn so với các quốc gia khác (Denda và cs., 2006; Liu và Lu, 2012; Polanczyk và cs., 2015; Murshid, 2017). Điều này có thể được giải thích bởi các lý do sau. Thứ nhất, thanh thiếu niên Trung Quốc chịu gánh nặng bài tập về nhà, áp lực học tập cao và ít hoạt động thể chất, điều này có thể làm tăng nguy cơ triệu chứng trầm cảm/lo âu (Tepper và cs., 2008). Thứ hai, sự khác biệt về tỷ lệ triệu chứng trầm cảm/lo âu có thể liên quan đến các thang đo, tiêu chí đánh giá và độ tuổi khác nhau của nhóm dân số nghiên cứu (Wang và cs., 2016; Rao và cs., 2019). Thứ ba, mức độ phát triển kinh tế ở các vùng khác nhau, mối quan hệ giữa các cá nhân và các yếu tố văn hóa cụ thể ở các vùng khác nhau có thể đã góp phần vào sự khác biệt trong kết quả (Tang và cs., 2019; Wang S. và cs., 2019; Wang Y. Y. và cs., 2019).</w:t>
      </w:r>
    </w:p>
    <w:p>
      <w:r>
        <w:rPr>
          <w:sz w:val="24"/>
        </w:rPr>
        <w:t xml:space="preserve">Trong thế giới thực, phong cách nuôi dạy con không giới hạn ở một dạng duy nhất, và mỗi phong cách nuôi dạy con là sự kết hợp tích hợp của các hành vi. Do đó, trong nghiên cứu này, </w:t>
      </w:r>
      <w:r>
        <w:rPr>
          <w:sz w:val="24"/>
        </w:rPr>
        <w:t>LPA</w:t>
      </w:r>
      <w:r>
        <w:rPr>
          <w:sz w:val="24"/>
        </w:rPr>
        <w:t xml:space="preserve"> đã được sử dụng để phân loại phong cách nuôi dạy con thành ba hồ sơ: "nuôi dạy tích cực" (58,6%), "nuôi dạy tiêu cực" (9,2%) và "nuôi dạy trung bình" (32,2%). Tương tự, một nghiên cứu tại Trung Quốc được thực hiện bởi Wu và cs. (2016) đã gán nhãn các phong cách nuôi dạy con là "nuôi dạy tích cực", "nuôi dạy tiêu cực" và "nuôi dạy hỗn hợp". Các kết quả này khác biệt so với mô hình toàn diện về phong cách nuôi dạy con được sử dụng trong các nghiên cứu khác. Ví dụ, Ayón và cs. (2015) đã khảo sát các phong cách nuôi dạy con khác nhau và gán nhãn bốn hồ sơ là "nuôi dạy gia đình", "nuôi dạy lấy trẻ em làm trung tâm", "nuôi dạy trung bình" và "nuôi dạy kỷ luật". Lý do cho sự khác biệt trong kết quả có thể là do các nghiên cứu này được thực hiện trong các bối cảnh văn hóa khác nhau và sử dụng các bảng câu hỏi phong cách nuôi dạy con khác nhau. Tóm lại, phong cách nuôi dạy con có thể không giới hạn ở một dạng duy nhất, điều này gợi ý rằng các nền tảng văn hóa khác nhau và các bảng câu hỏi khác nhau cho mô hình toàn diện về phong cách nuôi dạy con có thể được khám phá thêm.</w:t>
      </w:r>
    </w:p>
    <w:p>
      <w:r>
        <w:rPr>
          <w:sz w:val="24"/>
        </w:rPr>
        <w:t xml:space="preserve">Nghiên cứu này cho thấy rằng, so với hồ sơ "nuôi dạy trung bình", cả hồ sơ "nuôi dạy tích cực" và "nuôi dạy tiêu cực" đều có liên quan đến triệu chứng trầm cảm/lo âu ở thanh thiếu niên, trong khi nuôi dạy tích cực là yếu tố bảo vệ cho trầm cảm/lo âu. Wang và cs. (2021) đã xác định bốn phong cách nuôi dạy con thông qua </w:t>
      </w:r>
      <w:r>
        <w:rPr>
          <w:sz w:val="24"/>
        </w:rPr>
        <w:t>LPA</w:t>
      </w:r>
      <w:r>
        <w:rPr>
          <w:sz w:val="24"/>
        </w:rPr>
        <w:t xml:space="preserve"> gồm: hồ sơ "chăm sóc-tự chủ", hồ sơ "bảo vệ quá mức thờ ơ", hồ sơ "thờ ơ" và hồ sơ "nuôi dạy không phân biệt". Các kết quả này gợi ý rằng nguy cơ triệu chứng trầm cảm/lo âu ở thanh thiếu niên thấp hơn trong hồ sơ "chăm sóc-tự chủ", trong khi nguy cơ trầm cảm cao hơn trong hồ sơ "nuôi dạy thờ ơ" so với hồ sơ "nuôi dạy không phân biệt". Một nghiên cứu cắt ngang (Eun và cs., 2018) cho thấy các loại phong cách nuôi dạy con khác nhau có liên quan đến triệu chứng trầm cảm/lo âu ở thanh thiếu niên, trong khi phong cách "kiểm soát cao của mẹ" có liên quan đến tỷ số chênh cao hơn về trầm cảm/lo âu.</w:t>
      </w:r>
    </w:p>
    <w:p>
      <w:r>
        <w:rPr>
          <w:sz w:val="24"/>
        </w:rPr>
        <w:t>Đồng thời, nghiên cứu này phát hiện rằng khả năng phục hồi có liên quan đến triệu chứng trầm cảm/lo âu ở thanh thiếu niên. Mô hình bảo vệ khả năng phục hồi gợi ý rằng khả năng phục hồi có tác dụng đệm đối với các tác động tiêu cực của nghịch cảnh lên thanh thiếu niên, và điểm khả năng phục hồi càng cao thì nguy cơ hậu quả tiêu cực càng thấp (Brookmeyer và cs., 2005). Điều này cho thấy khả năng phục hồi có thể là yếu tố ảnh hưởng đến triệu chứng trầm cảm/lo âu ở thanh thiếu niên. Skrove và cs. (2013) đã chứng minh điều này, và cũng cho thấy rằng khả năng phục hồi là yếu tố bảo vệ chống lại trầm cảm/lo âu ở thanh thiếu niên. Một nghiên cứu đoàn hệ đã kiểm tra tác động của khả năng phục hồi đối với triệu chứng trầm cảm ở trẻ em bị bỏ lại tại Trung Quốc, và phát hiện rằng khả năng phục hồi ban đầu có liên quan đến triệu chứng trầm cảm khi theo dõi ở trẻ em (Wu và cs., 2017). Các kết quả này nhất quán với nghiên cứu hiện tại.</w:t>
      </w:r>
    </w:p>
    <w:p>
      <w:r>
        <w:rPr>
          <w:sz w:val="24"/>
        </w:rPr>
        <w:t>Hiện tại, có ít nghiên cứu về mối quan hệ giữa phong cách nuôi dạy con, khả năng phục hồi và triệu chứng trầm cảm/lo âu ở thanh thiếu niên. Các nghiên cứu tương tự đã khám phá mối tương quan giữa hiệu ứng trung gian của các sự kiện cuộc sống tiêu cực, khả năng phục hồi và triệu chứng trầm cảm ở thanh thiếu niên Trung Quốc, và phát hiện rằng khả năng phục hồi có mối liên quan nghịch với triệu chứng trầm cảm; trong số đó, khả năng phục hồi đóng vai trò trung gian một phần đối với tác động của các sự kiện cuộc sống tiêu cực lên triệu chứng trầm cảm ở thanh thiếu niên Trung Quốc (Liu và cs., 2019). Anyan và cs. (Anyan và Hjemdal, 2016) đã nghiên cứu tác động của căng thẳng lên mối quan hệ giữa khả năng phục hồi và triệu chứng lo âu/trầm cảm ở thanh thiếu niên. Họ phát hiện rằng khả năng phục hồi có mối liên quan nghịch với triệu chứng lo âu và trầm cảm, trong đó khả năng phục hồi đóng vai trò trung gian một phần giữa căng thẳng và triệu chứng lo âu/trầm cảm. Trong nghiên cứu này, chúng tôi không tìm thấy mối liên quan giữa phong cách nuôi dạy con, khả năng phục hồi, trầm cảm và triệu chứng lo âu ở thanh thiếu niên. Các nghiên cứu trên gián tiếp gợi ý rằng các loại phong cách nuôi dạy con khác nhau có thể ảnh hưởng đến triệu chứng trầm cảm/lo âu ở thanh thiếu niên thông qua khả năng phục hồi, nhưng với kết quả nghiên cứu hạn chế, vẫn cần xác minh liệu các giả thuyết lý thuyết liên quan có đúng hay không.</w:t>
      </w:r>
    </w:p>
    <w:p>
      <w:pPr>
        <w:pStyle w:val="Heading2"/>
      </w:pPr>
      <w:r>
        <w:t>ĐIỂM MẠNH VÀ HẠN CHẾ</w:t>
      </w:r>
    </w:p>
    <w:p>
      <w:r>
        <w:rPr>
          <w:sz w:val="24"/>
        </w:rPr>
        <w:t>Nghiên cứu này sử dụng phân tích thống kê tiên tiến hơn (</w:t>
      </w:r>
      <w:r>
        <w:rPr>
          <w:sz w:val="24"/>
        </w:rPr>
        <w:t>LPA</w:t>
      </w:r>
      <w:r>
        <w:rPr>
          <w:sz w:val="24"/>
        </w:rPr>
        <w:t xml:space="preserve">) để xác định các mô hình khác nhau của phong cách nuôi dạy con, và sau đó đánh giá mối quan hệ giữa các mô hình phong cách nuôi dạy con, khả năng phục hồi và triệu chứng trầm cảm/lo âu ở học sinh trung học phổ thông. Các ý tưởng nghiên cứu là mới mẻ và cung cấp tài liệu tham khảo cho việc thúc đẩy sức khỏe tâm thần thanh thiếu niên. Tuy nhiên, nghiên cứu này có một số hạn chế. Thứ nhất, đây là nghiên cứu cắt ngang; do đó, chúng tôi không thể thiết lập mối quan hệ nhân quả giữa các biến, và các nghiên cứu đoàn hệ nên được thực hiện để khám phá thêm các mối quan hệ này. Thứ hai, đối tượng nghiên cứu giới hạn ở học sinh trung học phổ thông tại thành phố Hợp Phì. Cỡ mẫu của khảo sát nhỏ và khả năng ngoại suy của kết luận bị hạn chế. Nghiên cứu trong tương lai với đoàn hệ lớn hơn có thể muốn khám phá sự ổn định và các mô hình chuyển đổi của phong cách nuôi dạy con. Cuối cùng, bảng câu hỏi khảo sát của chúng tôi được hoàn thành chủ quan bởi người tham gia; do đó, có thể có sai lệch nhớ lại. Vì vậy, kết hợp với phiên bản </w:t>
      </w:r>
      <w:r>
        <w:rPr>
          <w:sz w:val="24"/>
        </w:rPr>
        <w:t>EMBU</w:t>
      </w:r>
      <w:r>
        <w:rPr>
          <w:sz w:val="24"/>
        </w:rPr>
        <w:t xml:space="preserve"> dành cho trẻ em và phụ huynh (Mathieu và cs., 2020), nghiên cứu này nhằm tìm hiểu triệu chứng trầm cảm/lo âu có thể bị ảnh hưởng khác nhau như thế nào giữa hai loại báo cáo này.</w:t>
      </w:r>
    </w:p>
    <w:p>
      <w:r>
        <w:rPr>
          <w:b/>
          <w:color w:val="FF6600"/>
          <w:sz w:val="20"/>
        </w:rPr>
        <w:t>--- Trang 8/9, Frontiers in Psychology, 13:897339, tháng 7/2022 ---</w:t>
      </w:r>
    </w:p>
    <w:p>
      <w:pPr>
        <w:pStyle w:val="Heading2"/>
      </w:pPr>
      <w:r>
        <w:t>KẾT LUẬN</w:t>
      </w:r>
    </w:p>
    <w:p>
      <w:r>
        <w:rPr>
          <w:sz w:val="24"/>
        </w:rPr>
        <w:t xml:space="preserve">Nghiên cứu này đã xác định được ba hồ sơ phong cách nuôi dạy con được thực hành trên thanh thiếu niên Trung Quốc sử dụng cách tiếp cận </w:t>
      </w:r>
      <w:r>
        <w:rPr>
          <w:sz w:val="24"/>
        </w:rPr>
        <w:t>LPA</w:t>
      </w:r>
      <w:r>
        <w:rPr>
          <w:sz w:val="24"/>
        </w:rPr>
        <w:t>. Đồng thời, chúng tôi đã nghiên cứu ảnh hưởng của các mô hình nuôi dạy khác nhau và khả năng phục hồi đối với triệu chứng trầm cảm/lo âu ở thanh thiếu niên và hiệu ứng tương tác của chúng. Các nghiên cứu trong tương lai về việc khám phá các yếu tố nguy cơ và bảo vệ của triệu chứng trầm cảm/lo âu nên cân nhắc ảnh hưởng tiềm tàng của các mô hình phong cách nuôi dạy con khác nhau và mức độ khả năng phục hồi.</w:t>
      </w:r>
    </w:p>
    <w:p>
      <w:r>
        <w:rPr>
          <w:b/>
          <w:color w:val="FF6600"/>
          <w:sz w:val="20"/>
        </w:rPr>
        <w:t>--- Trang 9/9, Frontiers in Psychology, 13:897339, tháng 7/2022 ---</w:t>
      </w:r>
    </w:p>
    <w:p>
      <w:pPr>
        <w:pStyle w:val="Heading2"/>
      </w:pPr>
      <w:r>
        <w:t>TÀI LIỆU THAM KHẢO / REFERENCES</w:t>
      </w:r>
    </w:p>
    <w:p>
      <w:r>
        <w:rPr>
          <w:sz w:val="24"/>
        </w:rPr>
        <w:t>Anyan, F., and Hjemdal, O. (2016). Adolescent stress and symptoms of anxiety and depression: resilience explains and differentiates the relationships. *J. Affect. Disord.* 203, 213–220. doi: 10.1016/j.jad.2016.05.031</w:t>
      </w:r>
    </w:p>
    <w:p>
      <w:r>
        <w:rPr>
          <w:sz w:val="24"/>
        </w:rPr>
        <w:t>Ayón, C., Williams, L. R., Marsiglia, F. F., Ayers, S., and Kiehne, E. (2015). A Latent Profile Analysis of Latino Parenting: the Infusion of Cultural Values on Family Conflict. *Fam. Soc.* 96, 203–210. doi: 10.1606/1044-3894.2015.96.25</w:t>
      </w:r>
    </w:p>
    <w:p>
      <w:r>
        <w:rPr>
          <w:sz w:val="24"/>
        </w:rPr>
        <w:t>Brookmeyer, K. A., Henrich, C. C., and Schwab-Stone, M. (2005). Adolescents who witness community violence: can parent support and prosocial cognitions protect them from committing violence? *Child Dev.* 76, 917–929. doi: 10.1111/j.1467-8624.2005.00886.x</w:t>
      </w:r>
    </w:p>
    <w:p>
      <w:r>
        <w:rPr>
          <w:sz w:val="24"/>
        </w:rPr>
        <w:t>Darling, N., and Steinberg, L. (1993). Parenting style as context: an integrative model. *Psychol. Bull.* 113, 487–496. doi: 10.1037/0033-2909.113.3.3.487</w:t>
      </w:r>
    </w:p>
    <w:p>
      <w:r>
        <w:rPr>
          <w:sz w:val="24"/>
        </w:rPr>
        <w:t>Denda, K., Kako, Y., Kitagawa, N., and Koyama, T. (2006). Assessment of depressive symptoms in Japanese school children and adolescents using the Birleson depression self-rating scale. *Int. J. Psychiatry Med.* 36, 231–241. doi: 10.2190/3YCX-H0MT-49DK-C61Q</w:t>
      </w:r>
    </w:p>
    <w:p>
      <w:r>
        <w:rPr>
          <w:sz w:val="24"/>
        </w:rPr>
        <w:t>Eun, J. D., Paksarian, D., He, J. P., and Merikangas, K. R. (2018). Parenting style and mental disorders in a nationally representative sample of US adolescents. *Soc. Psychiatry Psychiatr. Epidemiol.* 53, 11–20. doi: 10.1007/s00127-017-1435-4</w:t>
      </w:r>
    </w:p>
    <w:p>
      <w:r>
        <w:rPr>
          <w:sz w:val="24"/>
        </w:rPr>
        <w:t>Gorostiaga, A., Aliri, J., Balluerka, N., and Lameirinhas, J. (2019). Parenting styles and internalizing symptoms in adolescence: a systematic literature review. *Int. J. Environ. Res. Public Health* 16:3192. doi: 10.3390/ijerph16173192</w:t>
      </w:r>
    </w:p>
    <w:p>
      <w:r>
        <w:rPr>
          <w:sz w:val="24"/>
        </w:rPr>
        <w:t>Hu, H., Zhang, H., and Wang, J. (2011). Reliability and validity of the self-rating scale of psychological resilience for secondary school students. *Chin. J. Sch. Health* 32, 291–293. doi: 10.16835/j.cnki.1000-9817.2011.03.017</w:t>
      </w:r>
    </w:p>
    <w:p>
      <w:r>
        <w:rPr>
          <w:sz w:val="24"/>
        </w:rPr>
        <w:t>Huang, X., Wang, X., Hu, J., Xue, Y., Wei, Y., Wan, Y., et al. (2021). Inadequate mental health literacy and insufficient physical activity potentially increase the risks of anxiety and depressive symptoms in Chinese college students. *Front. Psychiatry* 12:753695. doi: 10.3389/fpsyt.2021.753695</w:t>
      </w:r>
    </w:p>
    <w:p>
      <w:r>
        <w:rPr>
          <w:sz w:val="24"/>
        </w:rPr>
        <w:t>Kritzas, N., and Grobler, A. A. (2005). The relationship between perceived parenting styles and resilience during adolescence. *J. Child Adolesc. Ment. Health* 17, 1–12. doi: 10.2989/17280580509486586</w:t>
      </w:r>
    </w:p>
    <w:p>
      <w:r>
        <w:rPr>
          <w:sz w:val="24"/>
        </w:rPr>
        <w:t>Lau, W. K. W. (2022). The role of resilience in depression and anxiety symptoms: a three-wave cross-lagged study. *Stress Health* [Epub ahead of print]. doi: 10.1002/smi.3136</w:t>
      </w:r>
    </w:p>
    <w:p>
      <w:r>
        <w:rPr>
          <w:sz w:val="24"/>
        </w:rPr>
        <w:t>Lee, H., and Han, J. W. (2021). Analysis of Parenting Attitude Types and Influencing Factors of Korean Parents by Using Latent Transition Analysis. *Int. J. Environ. Res. Public Health* 18:7394. doi: 10.3390/ijerph18147394</w:t>
      </w:r>
    </w:p>
    <w:p>
      <w:r>
        <w:rPr>
          <w:sz w:val="24"/>
        </w:rPr>
        <w:t>Lee, T. S., Wu, Y. J., Chao, E., Chang, C. W., Hwang, K. S., and Wu, W. C. (2021). Resilience as a mediator of interpersonal relationships and depressive symptoms amongst 10th to 12th grade students. *J. Affect. Disord.* 278, 107–113. doi: 10.1016/j.jad.2020.09.033</w:t>
      </w:r>
    </w:p>
    <w:p>
      <w:r>
        <w:rPr>
          <w:sz w:val="24"/>
        </w:rPr>
        <w:t xml:space="preserve">Li, Z., Wang, L., and Zhang, L. (2012). Exploratory and confirmatory factor analysis of a short-form of the </w:t>
      </w:r>
      <w:r>
        <w:rPr>
          <w:sz w:val="24"/>
        </w:rPr>
        <w:t>EMBU</w:t>
      </w:r>
      <w:r>
        <w:rPr>
          <w:sz w:val="24"/>
        </w:rPr>
        <w:t xml:space="preserve"> among Chinese adolescents. *Psychol. Rep.* 110, 263–275. doi: 10.2466/02.08.09.21.PR0.110.1.263-275</w:t>
      </w:r>
    </w:p>
    <w:p>
      <w:r>
        <w:rPr>
          <w:sz w:val="24"/>
        </w:rPr>
        <w:t>Liu, W. J., Zhou, L., Wang, X. Q., Yang, B. X., Wang, Y., and Jiang, J. F. (2019). Mediating role of resilience in relationship between negative life events and depression among Chinese adolescents. *Arch. Psychiatr. Nurs.* 33, 116–122. doi: 10.1016/j.apnu.2019.10.004</w:t>
      </w:r>
    </w:p>
    <w:p>
      <w:r>
        <w:rPr>
          <w:sz w:val="24"/>
        </w:rPr>
        <w:t>Liu, Y., and Lu, Z. (2012). Chinese high school students' academic stress and depressive symptoms: gender and school climate as moderators. *Stress Health* 28, 340–346. doi: 10.1002/smi.2418</w:t>
      </w:r>
    </w:p>
    <w:p>
      <w:r>
        <w:rPr>
          <w:sz w:val="24"/>
        </w:rPr>
        <w:t>Lü, X., Sun, Y., Yang, L., Chen, M., Jiang, Y., Zhang, H., et al. (2013). Reevaluation of the scale of psychological resilience for middle and primary school students. *Wei Sheng Yan Jiu* 42, 257–262.</w:t>
      </w:r>
    </w:p>
    <w:p>
      <w:r>
        <w:rPr>
          <w:sz w:val="24"/>
        </w:rPr>
        <w:t>Mandleco, B. L., and Peery, J. C. (2000). An organizational framework for conceptualizing resilience in children. *J. Child Adolesc. Psychiatr. Nurs.* 13, 99–111. doi: 10.1111/j.1744-6171.2000.tb00086.x</w:t>
      </w:r>
    </w:p>
    <w:p>
      <w:r>
        <w:rPr>
          <w:sz w:val="24"/>
        </w:rPr>
        <w:t>Martinez, I., Garcia, F., Veiga, F., Garcia, O. F., Rodrigues, Y., and Serra, E. (2020). Parenting styles, internalization of values and self-esteem: a cross-cultural study in Spain, Portugal and Brazil. *Int. J. Environ. Res. Public Health* 17:2370. doi: 10.3390/ijerph17072370</w:t>
      </w:r>
    </w:p>
    <w:p>
      <w:r>
        <w:rPr>
          <w:sz w:val="24"/>
        </w:rPr>
        <w:t xml:space="preserve">Mathieu, S. L., Conlon, E. G., Waters, A. M., and Farrell, L. J. (2020). Perceived parental rearing in paediatric obsessive-compulsive disorder: examining the factor structure of the </w:t>
      </w:r>
      <w:r>
        <w:rPr>
          <w:sz w:val="24"/>
        </w:rPr>
        <w:t>EMBU</w:t>
      </w:r>
      <w:r>
        <w:rPr>
          <w:sz w:val="24"/>
        </w:rPr>
        <w:t xml:space="preserve"> child and parent versions and associations with OCD symptoms. *Child Psychiatry Hum. Dev.* 51, 956–968. doi: 10.1007/s10578-020-00979-6</w:t>
      </w:r>
    </w:p>
    <w:p>
      <w:r>
        <w:rPr>
          <w:sz w:val="24"/>
        </w:rPr>
        <w:t>Milevsky, A., Schlechter, M., Netter, S., and Keehn, D. (2007). Maternal and paternal parenting styles in adolescents: associations with self-esteem, depression and life-satisfaction. *J. Child Fam. Stud.* 16, 39–47. doi: 10.1007/s10826-006-9066-5</w:t>
      </w:r>
    </w:p>
    <w:p>
      <w:r>
        <w:rPr>
          <w:sz w:val="24"/>
        </w:rPr>
        <w:t>Murshid, S. N. (2017). Parents, friends, and depression: a multi-country study of adolescents in south Asia. *Child. Youth Serv. Rev.* 79, 160–165.</w:t>
      </w:r>
    </w:p>
    <w:p>
      <w:r>
        <w:rPr>
          <w:sz w:val="24"/>
        </w:rPr>
        <w:t>Naab, S., Hauer, M., Voderholzer, U., and Hautzinger, M. (2015). Depressive störungen bei jugendlichen: diagnostik und therapie [depressive disorders in juveniles: diagnosis and therapy. *Fortschr. Neurol. Psychiatr.* 83, 49–61. doi: 10.1055/s-0034-1385776</w:t>
      </w:r>
    </w:p>
    <w:p>
      <w:r>
        <w:rPr>
          <w:sz w:val="24"/>
        </w:rPr>
        <w:t>Organization, A. P. (2013). *Diagnostic and Statistical Manual of Mental Disorders*. 5th ed. Virginia: American Psychiatric Association.</w:t>
      </w:r>
    </w:p>
    <w:p>
      <w:r>
        <w:rPr>
          <w:sz w:val="24"/>
        </w:rPr>
        <w:t>Perris, C., Jacobsson, L., Lindström, H., von Knorring, L., and Perris, H. (1980). Development of a new inventory assessing memories of parental rearing behaviour. *Acta psychiatr. Scand.* 61, 265–274. doi: 10.1111/j.1600-0447.1980.tb00581.x</w:t>
      </w:r>
    </w:p>
    <w:p>
      <w:r>
        <w:rPr>
          <w:sz w:val="24"/>
        </w:rPr>
        <w:t>Polanczyk, G. V., Salum, G. A., Sugaya, L. S., Caye, A., and Rohde, L. A. (2015). Annual research review: a meta-analysis of the worldwide prevalence of mental disorders in children and adolescents. *J. Child Psychol. Psychiatry* 56, 345–365. doi: 10.1111/jcpp.12381</w:t>
      </w:r>
    </w:p>
    <w:p>
      <w:r>
        <w:rPr>
          <w:sz w:val="24"/>
        </w:rPr>
        <w:t xml:space="preserve">Racine, N., McArthur, B. A., Cooke, J. E., Eirich, R., Zhu, J., and Madigan, S. (2021). Global Prevalence of depressive and anxiety symptoms in children and adolescents during </w:t>
      </w:r>
      <w:r>
        <w:rPr>
          <w:b/>
          <w:color w:val="CC0000"/>
          <w:sz w:val="24"/>
        </w:rPr>
        <w:t>COVID-19</w:t>
      </w:r>
      <w:r>
        <w:rPr>
          <w:sz w:val="24"/>
        </w:rPr>
        <w:t>: a meta-analysis. *JAMA Pediatr.* 175, 1142–1150. doi: 10.1001/jamapediatrics.2021.2482</w:t>
      </w:r>
    </w:p>
    <w:p>
      <w:r>
        <w:rPr>
          <w:sz w:val="24"/>
        </w:rPr>
        <w:t xml:space="preserve">Radloff, L. S. (1977). The </w:t>
      </w:r>
      <w:r>
        <w:rPr>
          <w:sz w:val="24"/>
        </w:rPr>
        <w:t>CES-D</w:t>
      </w:r>
      <w:r>
        <w:rPr>
          <w:sz w:val="24"/>
        </w:rPr>
        <w:t xml:space="preserve"> Scale: a self-report depression measure for research in the general population. *Appl. Psychol. Meas.* 1, 385–401. doi: 10.1177/014662167700100306</w:t>
      </w:r>
    </w:p>
    <w:p>
      <w:r>
        <w:rPr>
          <w:sz w:val="24"/>
        </w:rPr>
        <w:t>Rao, W. W., Xu, D. D., Cao, X. L., Wen, S. Y., Che, W. I., Ng, C. H., et al. (2019). Prevalence of depressive symptoms in children and adolescents in China: a meta-analysis of observational studies. *Psychiatry Res.* 272, 790–796. doi: 10.1016/j.psychres.2018.12.133</w:t>
      </w:r>
    </w:p>
    <w:p>
      <w:r>
        <w:rPr>
          <w:sz w:val="24"/>
        </w:rPr>
        <w:t>Romero-Acosta, K., Gómez-de-Regil, L., Lowe, G. A., Lipps, G. E., and Gibson, R. C. (2021). Parenting styles, anxiety and depressive symptoms in child/adolescent. *Int. J. Psychol. Res.* 14, 12–32. doi: 10.21500/20112084.4701</w:t>
      </w:r>
    </w:p>
    <w:p>
      <w:r>
        <w:rPr>
          <w:sz w:val="24"/>
        </w:rPr>
        <w:t>Skrove, M., Romundstad, P., and Indredavik, M. S. (2013). Resilience, lifestyle and symptoms of anxiety and depression in adolescence: the Young-HUNT study. *Soc. Psychiatry Psychiatr. Epidemiol.* 48, 407–416. doi: 10.1007/s00127-012-0561-2</w:t>
      </w:r>
    </w:p>
    <w:p>
      <w:r>
        <w:rPr>
          <w:sz w:val="24"/>
        </w:rPr>
        <w:t>Sun, W., Mei, J., Wang, Y., Zhao, X., Zhu, Z., Zhang, C., et al. (2021). Psycho-social factors associated with high depressive symptomatology in female adolescents and gender difference in adolescent depression: an epidemiological survey in China's Hubei Province. *BMC Psychiatry* 21:168. doi: 10.1186/s12888-021-03165-7</w:t>
      </w:r>
    </w:p>
    <w:p>
      <w:r>
        <w:rPr>
          <w:sz w:val="24"/>
        </w:rPr>
        <w:t>Tang, X., Tang, S., Ren, Z., and Wong, D. F. K. (2019). Prevalence of depressive symptoms among adolescents in secondary school in mainland China: a systematic review and meta-analysis. *J. Affect. Disord.* 245, 498–507. doi: 10.1016/j.jad.2018.11.043</w:t>
      </w:r>
    </w:p>
    <w:p>
      <w:r>
        <w:rPr>
          <w:sz w:val="24"/>
        </w:rPr>
        <w:t>Tepper, P., Liu, X., Guo, C., Zhai, J., Liu, T., and Li, C. (2008). Depressive symptoms in Chinese children and adolescents: parent, teacher, and self reports. *J. Affect. Disord.* 111, 291–298. doi: 10.1016/j.jad.2008.09.013</w:t>
      </w:r>
    </w:p>
    <w:p>
      <w:r>
        <w:rPr>
          <w:sz w:val="24"/>
        </w:rPr>
        <w:t>Wang, L., Feng, Z., Yang, G., Yang, Y., Wang, K., Dai, Q., et al. (2016). Depressive symptoms of children and adolescents in western china: an epidemiological survey of prevalence and correlates. *Psychiatry Res.* 246, 267–274. doi: 10.1016/j.psychres.2016.09.050</w:t>
      </w:r>
    </w:p>
    <w:p>
      <w:r>
        <w:rPr>
          <w:sz w:val="24"/>
        </w:rPr>
        <w:t>Wang, S., Sun, Q., Zhai, L., Bai, Y., Wei, W., and Jia, L. (2019). The prevalence of depression and anxiety symptoms among overweight/obese and non-overweight/non-obese children/adolescents in China: a systematic review and Meta-analysis. *Int. J. Environ. Res. Public Health* 16:340. doi: 10.3390/ijerph16030340</w:t>
      </w:r>
    </w:p>
    <w:p>
      <w:r>
        <w:rPr>
          <w:sz w:val="24"/>
        </w:rPr>
        <w:t>Wang, Y. Y., Xiao, L., Rao, W. W., Chai, J. X., Zhang, S. F., Ng, C. H., et al. (2019). The prevalence of depressive symptoms in 'left-behind children' in China: a meta-analysis of comparative studies and epidemiological surveys. *J. Affect. Disord.* 244, 209–216. doi: 10.1016/j.jad.2018.09.066</w:t>
      </w:r>
    </w:p>
    <w:p>
      <w:r>
        <w:rPr>
          <w:sz w:val="24"/>
        </w:rPr>
        <w:t>Wang, Y., Shi, H., Wang, Y., Zhang, X., Wang, J., Sun, Y., et al. (2021). The association of different parenting styles among depressed parents and their offspring's depression and anxiety: a cross-sectional study. *BMC Psychiatry* 21:495. doi: 10.1186/s12888-021-03512-8</w:t>
      </w:r>
    </w:p>
    <w:p>
      <w:r>
        <w:rPr>
          <w:sz w:val="24"/>
        </w:rPr>
        <w:t>Wartberg, L., Kriston, L., and Thomasius, R. (2018). Depressive symptoms in adolescents. *Dtsch. Arztebl. Int.* 20, 549–555. doi: 10.3238/arztebl.2018.0549</w:t>
      </w:r>
    </w:p>
    <w:p>
      <w:r>
        <w:rPr>
          <w:sz w:val="24"/>
        </w:rPr>
        <w:t>Wingo, A. P., Wrenn, G., Pelletier, T., Gutman, A. R., Bradley, B., and Ressler, K. J. (2010). Moderating effects of resilience on depression in individuals with a history of childhood abuse or trauma exposure. *J. Affect. Disord.* 126, 411–414. doi: 10.1016/j.jad.2010.04.009</w:t>
      </w:r>
    </w:p>
    <w:p>
      <w:r>
        <w:rPr>
          <w:sz w:val="24"/>
        </w:rPr>
        <w:t>Wu, P., Ma, S., Fang, Z., Xu, B., and Liu, H. (2016). The latent classes of parenting style: an application of latent profile analysis. *Stud. Psychol. Behav.* 14:523.</w:t>
      </w:r>
    </w:p>
    <w:p>
      <w:r>
        <w:rPr>
          <w:sz w:val="24"/>
        </w:rPr>
        <w:t>Wu, Y. L., Zhao, X., Ding, X. X., Yang, H. Y., Qian, Z. Z., Feng, F., et al. (2017). A prospective study of psychological resilience and depression among left-behind children in China. *J. Health Psychol.* 22, 627–636. doi: 10.1177/1359105315610811</w:t>
      </w:r>
    </w:p>
    <w:p>
      <w:r>
        <w:rPr>
          <w:sz w:val="24"/>
        </w:rPr>
        <w:t>Zakeri, H., Jowkar, B., and Razmjoee, M. (2010). Parenting styles and resilience. *Procedia Soc. Behav. Sci.* 5, 1067–1070.</w:t>
      </w:r>
    </w:p>
    <w:p>
      <w:r>
        <w:rPr>
          <w:sz w:val="24"/>
        </w:rPr>
        <w:t xml:space="preserve">Zhou, S. J., Zhang, L. G., Wang, L. L., Guo, Z. C., Wang, J. Q., Chen, J. C., et al. (2020). Prevalence and socio-demographic correlates of psychological health problems in Chinese adolescents during the outbreak of </w:t>
      </w:r>
      <w:r>
        <w:rPr>
          <w:sz w:val="24"/>
        </w:rPr>
        <w:t>COVID-19</w:t>
      </w:r>
      <w:r>
        <w:rPr>
          <w:sz w:val="24"/>
        </w:rPr>
        <w:t>. *Eur. Child Adolesc. Psychiatry* 29, 749–758. doi: 10.1007/s00787-020-01541-4</w:t>
      </w:r>
    </w:p>
    <w:p>
      <w:r>
        <w:rPr>
          <w:sz w:val="24"/>
        </w:rPr>
        <w:t>Zung, W. W. (1971). A rating instrument for anxiety disorders. *Psychosomatics* 12, 371–379. doi: 10.1016/S0033-3182(71)71479-0</w:t>
      </w:r>
    </w:p>
    <w:p/>
    <w:p>
      <w:pPr>
        <w:pStyle w:val="Heading3"/>
      </w:pPr>
      <w:r>
        <w:t>CHU THICH TU VIET TAT / ABBREVIATIONS</w:t>
      </w:r>
    </w:p>
    <w:tbl>
      <w:tblPr>
        <w:tblStyle w:val="TableGrid"/>
        <w:tblW w:type="auto" w:w="0"/>
        <w:tblLook w:firstColumn="1" w:firstRow="1" w:lastColumn="0" w:lastRow="0" w:noHBand="0" w:noVBand="1" w:val="04A0"/>
      </w:tblPr>
      <w:tblGrid>
        <w:gridCol w:w="4320"/>
        <w:gridCol w:w="4320"/>
      </w:tblGrid>
      <w:tr>
        <w:tc>
          <w:tcPr>
            <w:tcW w:type="dxa" w:w="1701"/>
          </w:tcPr>
          <w:p>
            <w:r>
              <w:rPr>
                <w:b/>
                <w:sz w:val="18"/>
              </w:rPr>
              <w:t>Viet tat</w:t>
            </w:r>
          </w:p>
        </w:tc>
        <w:tc>
          <w:tcPr>
            <w:tcW w:type="dxa" w:w="7370"/>
          </w:tcPr>
          <w:p>
            <w:r>
              <w:rPr>
                <w:b/>
                <w:sz w:val="18"/>
              </w:rPr>
              <w:t>Giai thich</w:t>
            </w:r>
          </w:p>
        </w:tc>
      </w:tr>
      <w:tr>
        <w:tc>
          <w:tcPr>
            <w:tcW w:type="dxa" w:w="1701"/>
          </w:tcPr>
          <w:p>
            <w:r/>
            <w:r>
              <w:rPr>
                <w:b/>
                <w:sz w:val="18"/>
              </w:rPr>
              <w:t>LPA</w:t>
            </w:r>
          </w:p>
        </w:tc>
        <w:tc>
          <w:tcPr>
            <w:tcW w:type="dxa" w:w="7370"/>
          </w:tcPr>
          <w:p>
            <w:r/>
            <w:r>
              <w:rPr>
                <w:sz w:val="18"/>
              </w:rPr>
              <w:t>Latent Profile Analysis (Phan tich Ho so Tiem an)</w:t>
            </w:r>
          </w:p>
        </w:tc>
      </w:tr>
      <w:tr>
        <w:tc>
          <w:tcPr>
            <w:tcW w:type="dxa" w:w="1701"/>
          </w:tcPr>
          <w:p>
            <w:r/>
            <w:r>
              <w:rPr>
                <w:b/>
                <w:sz w:val="18"/>
              </w:rPr>
              <w:t>EMBU</w:t>
            </w:r>
          </w:p>
        </w:tc>
        <w:tc>
          <w:tcPr>
            <w:tcW w:type="dxa" w:w="7370"/>
          </w:tcPr>
          <w:p>
            <w:r/>
            <w:r>
              <w:rPr>
                <w:sz w:val="18"/>
              </w:rPr>
              <w:t>Egna Minnen Betraffande Uppfostran (Thang do Phong cach Nuoi day con)</w:t>
            </w:r>
          </w:p>
        </w:tc>
      </w:tr>
      <w:tr>
        <w:tc>
          <w:tcPr>
            <w:tcW w:type="dxa" w:w="1701"/>
          </w:tcPr>
          <w:p>
            <w:r/>
            <w:r>
              <w:rPr>
                <w:b/>
                <w:sz w:val="18"/>
              </w:rPr>
              <w:t>CES-D</w:t>
            </w:r>
          </w:p>
        </w:tc>
        <w:tc>
          <w:tcPr>
            <w:tcW w:type="dxa" w:w="7370"/>
          </w:tcPr>
          <w:p>
            <w:r/>
            <w:r>
              <w:rPr>
                <w:sz w:val="18"/>
              </w:rPr>
              <w:t>Center for Epidemiologic Studies Depression Scale</w:t>
            </w:r>
          </w:p>
        </w:tc>
      </w:tr>
      <w:tr>
        <w:tc>
          <w:tcPr>
            <w:tcW w:type="dxa" w:w="1701"/>
          </w:tcPr>
          <w:p>
            <w:r/>
            <w:r>
              <w:rPr>
                <w:b/>
                <w:sz w:val="18"/>
              </w:rPr>
              <w:t>SAS</w:t>
            </w:r>
          </w:p>
        </w:tc>
        <w:tc>
          <w:tcPr>
            <w:tcW w:type="dxa" w:w="7370"/>
          </w:tcPr>
          <w:p>
            <w:r/>
            <w:r>
              <w:rPr>
                <w:sz w:val="18"/>
              </w:rPr>
              <w:t>Self-Rating Anxiety Scale (Thang do Lo au Tu danh gia)</w:t>
            </w:r>
          </w:p>
        </w:tc>
      </w:tr>
      <w:tr>
        <w:tc>
          <w:tcPr>
            <w:tcW w:type="dxa" w:w="1701"/>
          </w:tcPr>
          <w:p>
            <w:r/>
            <w:r>
              <w:rPr>
                <w:b/>
                <w:sz w:val="18"/>
              </w:rPr>
              <w:t>SRSMSS</w:t>
            </w:r>
          </w:p>
        </w:tc>
        <w:tc>
          <w:tcPr>
            <w:tcW w:type="dxa" w:w="7370"/>
          </w:tcPr>
          <w:p>
            <w:r/>
            <w:r>
              <w:rPr>
                <w:sz w:val="18"/>
              </w:rPr>
              <w:t>Self-rating Resilience Scale for Middle School Students</w:t>
            </w:r>
          </w:p>
        </w:tc>
      </w:tr>
      <w:tr>
        <w:tc>
          <w:tcPr>
            <w:tcW w:type="dxa" w:w="1701"/>
          </w:tcPr>
          <w:p>
            <w:r/>
            <w:r>
              <w:rPr>
                <w:b/>
                <w:sz w:val="18"/>
              </w:rPr>
              <w:t>OR</w:t>
            </w:r>
          </w:p>
        </w:tc>
        <w:tc>
          <w:tcPr>
            <w:tcW w:type="dxa" w:w="7370"/>
          </w:tcPr>
          <w:p>
            <w:r/>
            <w:r>
              <w:rPr>
                <w:sz w:val="18"/>
              </w:rPr>
              <w:t>Odds Ratio (Ty so chenh)</w:t>
            </w:r>
          </w:p>
        </w:tc>
      </w:tr>
      <w:tr>
        <w:tc>
          <w:tcPr>
            <w:tcW w:type="dxa" w:w="1701"/>
          </w:tcPr>
          <w:p>
            <w:r/>
            <w:r>
              <w:rPr>
                <w:b/>
                <w:sz w:val="18"/>
              </w:rPr>
              <w:t>BLRT</w:t>
            </w:r>
          </w:p>
        </w:tc>
        <w:tc>
          <w:tcPr>
            <w:tcW w:type="dxa" w:w="7370"/>
          </w:tcPr>
          <w:p>
            <w:r/>
            <w:r>
              <w:rPr>
                <w:sz w:val="18"/>
              </w:rPr>
              <w:t>Bootstrapped Likelihood Ratio Test</w:t>
            </w:r>
          </w:p>
        </w:tc>
      </w:tr>
    </w:tbl>
    <w:p/>
    <w:p>
      <w:pPr>
        <w:pStyle w:val="Heading2"/>
      </w:pPr>
      <w:r>
        <w:rPr>
          <w:color w:val="CC0000"/>
        </w:rPr>
        <w:t>QUAN ĐIỂM PHẢN BIỆN / CRITICAL REVIEW</w:t>
      </w:r>
    </w:p>
    <w:p>
      <w:r>
        <w:rPr>
          <w:b/>
          <w:color w:val="CC0000"/>
          <w:sz w:val="24"/>
        </w:rPr>
        <w:t>[Phản biện 1]:</w:t>
      </w:r>
      <w:r>
        <w:rPr>
          <w:color w:val="CC0000"/>
          <w:sz w:val="24"/>
        </w:rPr>
        <w:t xml:space="preserve"> Việc kết hợp phân tích hồ sơ tiềm ẩn (</w:t>
      </w:r>
      <w:r>
        <w:rPr>
          <w:color w:val="CC0000"/>
          <w:sz w:val="24"/>
        </w:rPr>
        <w:t>LPA</w:t>
      </w:r>
      <w:r>
        <w:rPr>
          <w:color w:val="CC0000"/>
          <w:sz w:val="24"/>
        </w:rPr>
        <w:t xml:space="preserve">) để phân loại phong cách nuôi dạy con với hồi quy logistic đa biến là cách tiếp cận phương pháp luận tinh vi và phù hợp. Tuy nhiên, phong cách nuôi dạy được đánh giá từ </w:t>
      </w:r>
      <w:r>
        <w:rPr>
          <w:b/>
          <w:color w:val="CC0000"/>
          <w:sz w:val="24"/>
        </w:rPr>
        <w:t>quan điểm của thanh thiếu niên</w:t>
      </w:r>
      <w:r>
        <w:rPr>
          <w:color w:val="CC0000"/>
          <w:sz w:val="24"/>
        </w:rPr>
        <w:t xml:space="preserve"> (thang </w:t>
      </w:r>
      <w:r>
        <w:rPr>
          <w:color w:val="CC0000"/>
          <w:sz w:val="24"/>
        </w:rPr>
        <w:t>EMBU</w:t>
      </w:r>
      <w:r>
        <w:rPr>
          <w:color w:val="CC0000"/>
          <w:sz w:val="24"/>
        </w:rPr>
        <w:t>), không phải từ cha mẹ, tạo ra thiên lệch nhận thức đáng kể. Thanh thiếu niên đang trải qua trầm cảm có thể đánh giá cha mẹ tiêu cực hơn thực tế (negative cognitive bias), gây phóng đại mối liên quan giữa nuôi dạy tiêu cực và triệu chứng tâm thần. NSCH (2020) thu thập từ cha mẹ — ngược hướng thiên lệch so với nghiên cứu này. Thu thập song song từ cả cha mẹ và con cái sẽ cho bức tranh chính xác hơn.</w:t>
      </w:r>
    </w:p>
    <w:p>
      <w:r>
        <w:rPr>
          <w:b/>
          <w:color w:val="CC0000"/>
          <w:sz w:val="24"/>
        </w:rPr>
        <w:t>[Phản biện 2]:</w:t>
      </w:r>
      <w:r>
        <w:rPr>
          <w:color w:val="CC0000"/>
          <w:sz w:val="24"/>
        </w:rPr>
        <w:t xml:space="preserve"> Mẫu có tỷ lệ nam rất cao (63,4%), không cân đối giới tính. Nghiên cứu không giải thích lý do cho sự mất cân đối này và không phân tích riêng theo giới tính. Vì giới tính là yếu tố liên quan đến cả phong cách nuôi dạy (cha mẹ có thể nuôi dạy con trai và con gái khác nhau) và triệu chứng trầm cảm/lo âu, đây có thể là yếu tố gây nhiễu quan trọng không được kiểm soát đầy đủ. NSCH (2020) cho thấy nữ lo âu 20,1% so với nam 12,3% — sự khác biệt giới rất lớn. Mẫu lệch nam 63,4% có thể làm giảm tỷ lệ lo âu tổng thể so với dân số thực.</w:t>
      </w:r>
    </w:p>
    <w:p>
      <w:r>
        <w:rPr>
          <w:b/>
          <w:color w:val="CC0000"/>
          <w:sz w:val="24"/>
        </w:rPr>
        <w:t>[Phản biện 3]:</w:t>
      </w:r>
      <w:r>
        <w:rPr>
          <w:color w:val="CC0000"/>
          <w:sz w:val="24"/>
        </w:rPr>
        <w:t xml:space="preserve"> Hiệu ứng tương tác giữa phong cách nuôi dạy và khả năng phục hồi — mục tiêu nghiên cứu chính — </w:t>
      </w:r>
      <w:r>
        <w:rPr>
          <w:b/>
          <w:color w:val="CC0000"/>
          <w:sz w:val="24"/>
        </w:rPr>
        <w:t>không có ý nghĩa thống kê</w:t>
      </w:r>
      <w:r>
        <w:rPr>
          <w:color w:val="CC0000"/>
          <w:sz w:val="24"/>
        </w:rPr>
        <w:t>. Điều này có nghĩa giả thuyết trung tâm của nghiên cứu không được hỗ trợ. Mặc dù các tác giả cố gắng diễn giải kết quả phân tầng, thiếu ý nghĩa thống kê của tương tác làm giảm đáng kể giá trị đóng góp mới của nghiên cứu so với các nghiên cứu đã biết về ảnh hưởng độc lập của phong cách nuôi dạy và khả năng phục hồi. Kết quả âm tính cũng có giá trị khoa học nhưng ít được tạp chí và tác giả nhấn mạnh. Wen et al. (2020) tìm thấy hỗ trợ tại trường là yếu tố bảo vệ — có thể quan trọng hơn phong cách nuôi dạy.</w:t>
      </w:r>
    </w:p>
    <w:p>
      <w:r>
        <w:rPr>
          <w:b/>
          <w:color w:val="CC0000"/>
          <w:sz w:val="24"/>
        </w:rPr>
        <w:t>[Phản biện 4]:</w:t>
      </w:r>
      <w:r>
        <w:rPr>
          <w:color w:val="CC0000"/>
          <w:sz w:val="24"/>
        </w:rPr>
        <w:t xml:space="preserve"> Nghiên cứu sử dụng </w:t>
      </w:r>
      <w:r>
        <w:rPr>
          <w:color w:val="CC0000"/>
          <w:sz w:val="24"/>
        </w:rPr>
        <w:t>CES-D</w:t>
      </w:r>
      <w:r>
        <w:rPr>
          <w:color w:val="CC0000"/>
          <w:sz w:val="24"/>
        </w:rPr>
        <w:t xml:space="preserve"> cho trầm cảm và </w:t>
      </w:r>
      <w:r>
        <w:rPr>
          <w:color w:val="CC0000"/>
          <w:sz w:val="24"/>
        </w:rPr>
        <w:t>SAS</w:t>
      </w:r>
      <w:r>
        <w:rPr>
          <w:color w:val="CC0000"/>
          <w:sz w:val="24"/>
        </w:rPr>
        <w:t xml:space="preserve"> cho lo âu — hai công cụ khác nhau với cấu trúc và ngưỡng khác nhau — trong khi nhiều nghiên cứu khác trong tập hợp này sử dụng </w:t>
      </w:r>
      <w:r>
        <w:rPr>
          <w:b/>
          <w:color w:val="CC0000"/>
          <w:sz w:val="24"/>
        </w:rPr>
        <w:t>PHQ-9</w:t>
      </w:r>
      <w:r>
        <w:rPr>
          <w:color w:val="CC0000"/>
          <w:sz w:val="24"/>
        </w:rPr>
        <w:t>/</w:t>
      </w:r>
      <w:r>
        <w:rPr>
          <w:b/>
          <w:color w:val="CC0000"/>
          <w:sz w:val="24"/>
        </w:rPr>
        <w:t>GAD-7</w:t>
      </w:r>
      <w:r>
        <w:rPr>
          <w:color w:val="CC0000"/>
          <w:sz w:val="24"/>
        </w:rPr>
        <w:t xml:space="preserve"> hoặc </w:t>
      </w:r>
      <w:r>
        <w:rPr>
          <w:b/>
          <w:color w:val="CC0000"/>
          <w:sz w:val="24"/>
        </w:rPr>
        <w:t>DASS-21</w:t>
      </w:r>
      <w:r>
        <w:rPr>
          <w:color w:val="CC0000"/>
          <w:sz w:val="24"/>
        </w:rPr>
        <w:t xml:space="preserve">. Sự khác biệt công cụ gây khó khăn cho so sánh trực tiếp tỷ lệ giữa các nghiên cứu và nhấn mạnh vấn đề thiếu chuẩn hóa trong lĩnh vực này. Trong 11 bài: 3 dùng </w:t>
      </w:r>
      <w:r>
        <w:rPr>
          <w:color w:val="CC0000"/>
          <w:sz w:val="24"/>
        </w:rPr>
        <w:t>DASS-21</w:t>
      </w:r>
      <w:r>
        <w:rPr>
          <w:color w:val="CC0000"/>
          <w:sz w:val="24"/>
        </w:rPr>
        <w:t xml:space="preserve">, 2 dùng </w:t>
      </w:r>
      <w:r>
        <w:rPr>
          <w:color w:val="CC0000"/>
          <w:sz w:val="24"/>
        </w:rPr>
        <w:t>GAD-7</w:t>
      </w:r>
      <w:r>
        <w:rPr>
          <w:color w:val="CC0000"/>
          <w:sz w:val="24"/>
        </w:rPr>
        <w:t xml:space="preserve">, 2 dùng </w:t>
      </w:r>
      <w:r>
        <w:rPr>
          <w:color w:val="CC0000"/>
          <w:sz w:val="24"/>
        </w:rPr>
        <w:t>SAS</w:t>
      </w:r>
      <w:r>
        <w:rPr>
          <w:color w:val="CC0000"/>
          <w:sz w:val="24"/>
        </w:rPr>
        <w:t>, còn lại dùng công cụ khác. Sự đa dạng này là rào cản lớn nhất cho phân tích tổng hợp (meta-analysis).</w:t>
      </w:r>
    </w:p>
    <w:p>
      <w:r>
        <w:rPr>
          <w:b/>
          <w:color w:val="CC0000"/>
          <w:sz w:val="24"/>
        </w:rPr>
        <w:t>[Phản biện 5]:</w:t>
      </w:r>
      <w:r>
        <w:rPr>
          <w:color w:val="CC0000"/>
          <w:sz w:val="24"/>
        </w:rPr>
        <w:t xml:space="preserve"> Thiết kế cắt ngang với dữ liệu tự báo cáo tại một thời điểm không cho phép xác lập chiều hướng nhân quả. Phong cách nuôi dạy có thể ảnh hưởng đến sức khỏe tâm thần thanh thiếu niên, nhưng đồng thời, thanh thiếu niên có vấn đề tâm thần cũng có thể gây ra phản ứng nuôi dạy tiêu cực từ cha mẹ (evocative gene-environment correlation). Chỉ nghiên cứu dọc mới có thể phân tách các hiệu ứng này. Saikia et al. (2023) cũng tìm thấy gia đình đơn thân liên quan lo âu nhưng cùng vấn đề nhân quả. Đây là hạn chế cố hữu mà 10/11 bài trong tập hợp này đều mắc phải.</w:t>
      </w:r>
    </w:p>
    <w:p>
      <w:pPr>
        <w:jc w:val="center"/>
      </w:pPr>
      <w:r>
        <w:drawing>
          <wp:inline xmlns:a="http://schemas.openxmlformats.org/drawingml/2006/main" xmlns:pic="http://schemas.openxmlformats.org/drawingml/2006/picture">
            <wp:extent cx="5029200" cy="2702509"/>
            <wp:docPr id="2" name="Picture 2"/>
            <wp:cNvGraphicFramePr>
              <a:graphicFrameLocks noChangeAspect="1"/>
            </wp:cNvGraphicFramePr>
            <a:graphic>
              <a:graphicData uri="http://schemas.openxmlformats.org/drawingml/2006/picture">
                <pic:pic>
                  <pic:nvPicPr>
                    <pic:cNvPr id="0" name="09_fig1_parenting.png"/>
                    <pic:cNvPicPr/>
                  </pic:nvPicPr>
                  <pic:blipFill>
                    <a:blip r:embed="rId10"/>
                    <a:stretch>
                      <a:fillRect/>
                    </a:stretch>
                  </pic:blipFill>
                  <pic:spPr>
                    <a:xfrm>
                      <a:off x="0" y="0"/>
                      <a:ext cx="5029200" cy="2702509"/>
                    </a:xfrm>
                    <a:prstGeom prst="rect"/>
                  </pic:spPr>
                </pic:pic>
              </a:graphicData>
            </a:graphic>
          </wp:inline>
        </w:drawing>
      </w:r>
    </w:p>
    <w:p>
      <w:pPr>
        <w:jc w:val="center"/>
      </w:pPr>
      <w:r>
        <w:rPr>
          <w:i/>
          <w:color w:val="333399"/>
          <w:sz w:val="18"/>
        </w:rPr>
        <w:t>Hình 1: Ba nhóm nuôi dạy</w:t>
      </w:r>
    </w:p>
    <w:p/>
    <w:p>
      <w:pPr>
        <w:jc w:val="center"/>
      </w:pPr>
      <w:r>
        <w:drawing>
          <wp:inline xmlns:a="http://schemas.openxmlformats.org/drawingml/2006/main" xmlns:pic="http://schemas.openxmlformats.org/drawingml/2006/picture">
            <wp:extent cx="5029200" cy="3713838"/>
            <wp:docPr id="3" name="Picture 3"/>
            <wp:cNvGraphicFramePr>
              <a:graphicFrameLocks noChangeAspect="1"/>
            </wp:cNvGraphicFramePr>
            <a:graphic>
              <a:graphicData uri="http://schemas.openxmlformats.org/drawingml/2006/picture">
                <pic:pic>
                  <pic:nvPicPr>
                    <pic:cNvPr id="0" name="09_table3_associations.png"/>
                    <pic:cNvPicPr/>
                  </pic:nvPicPr>
                  <pic:blipFill>
                    <a:blip r:embed="rId11"/>
                    <a:stretch>
                      <a:fillRect/>
                    </a:stretch>
                  </pic:blipFill>
                  <pic:spPr>
                    <a:xfrm>
                      <a:off x="0" y="0"/>
                      <a:ext cx="5029200" cy="3713838"/>
                    </a:xfrm>
                    <a:prstGeom prst="rect"/>
                  </pic:spPr>
                </pic:pic>
              </a:graphicData>
            </a:graphic>
          </wp:inline>
        </w:drawing>
      </w:r>
    </w:p>
    <w:p>
      <w:pPr>
        <w:jc w:val="center"/>
      </w:pPr>
      <w:r>
        <w:rPr>
          <w:i/>
          <w:color w:val="333399"/>
          <w:sz w:val="18"/>
        </w:rPr>
        <w:t>Bảng 3: Liên quan nuôi dạy-phục hồi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