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TỔNG HỢP</w:t>
      </w:r>
    </w:p>
    <w:p>
      <w:pPr>
        <w:pStyle w:val="Heading1"/>
      </w:pPr>
      <w:r>
        <w:t>Phân tích so sánh 11 nghiên cứu về lo âu và trầm cảm ở học sinh</w:t>
      </w:r>
    </w:p>
    <w:p/>
    <w:p>
      <w:pPr>
        <w:pStyle w:val="Heading1"/>
      </w:pPr>
      <w:r>
        <w:t>PHẦN 1: BẢNG SO SÁNH TỔNG HỢP</w:t>
      </w:r>
    </w:p>
    <w:p>
      <w:r>
        <w:t>Bảng dưới đây tổng hợp tỷ lệ lo âu, trầm cảm, cỡ mẫu, công cụ đo lường, và phát hiện nổi bật của 11 nghiên cứu.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STT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Tác giả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Quốc gia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N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Công cụ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Lo âu %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Trầm cảm %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Căng thẳng %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Giới &gt; lo âu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Jenkins 2023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Hoa Kỳ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75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PHQ-9A GAD-10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50,6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44,0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Nữ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Saikia 2023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Ấn Độ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DASS-21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24,4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22,2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6,9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b/>
                <w:color w:val="CC0000"/>
                <w:sz w:val="16"/>
              </w:rPr>
              <w:t>NAM*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Mandaknalli 2021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Ấn Độ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450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GAD-7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~100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Nữ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NSCH 2020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Hoa Kỳ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55.162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Khảo sát QG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16,1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8,4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Nữ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Alharbi 2019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Ả Rập Saudi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1.245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PHQ-9 GAD-7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63,5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74,0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Nữ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Nakie 2022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Ethiopia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849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DASS-21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66,7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41,4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52,2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Nữ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Chen 2023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Trung Quốc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63.205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PHQ-9 GAD-7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13,9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23,0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Nữ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Wen 2020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Trung Quốc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900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MHT+LPA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24,78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b/>
                <w:color w:val="CC0000"/>
                <w:sz w:val="16"/>
              </w:rPr>
              <w:t>NAM*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Qiu 2022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Trung Quốc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2.079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CES-D SAS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13,4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26,0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Xu 2021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Trung Quốc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373.216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GAD-7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9,89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b/>
                <w:color w:val="CC0000"/>
                <w:sz w:val="16"/>
              </w:rPr>
              <w:t>NAM*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Bhardwaj 2020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Ấn Độ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288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DASS-21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73,3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64,9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74,7</w:t>
            </w:r>
          </w:p>
        </w:tc>
        <w:tc>
          <w:tcPr>
            <w:tcW w:type="dxa" w:w="960"/>
          </w:tcPr>
          <w:p>
            <w:r/>
            <w:r>
              <w:rPr>
                <w:rFonts w:ascii="Times New Roman" w:hAnsi="Times New Roman"/>
                <w:sz w:val="16"/>
              </w:rPr>
              <w:t>-</w:t>
            </w:r>
          </w:p>
        </w:tc>
      </w:tr>
    </w:tbl>
    <w:p/>
    <w:p>
      <w:r>
        <w:rPr>
          <w:b/>
          <w:color w:val="CC0000"/>
          <w:sz w:val="18"/>
        </w:rPr>
        <w:t>NAM* = Nam có tỷ lệ lo âu cao hơn nữ — trái ngược xu hướng toàn cầu (Saikia, Wen, Xu)</w:t>
      </w:r>
    </w:p>
    <w:p>
      <w:r>
        <w:rPr>
          <w:sz w:val="20"/>
        </w:rPr>
        <w:t>Nhận xét: Tỷ lệ lo âu dao động rộng từ 9,89% (Xu — cỡ mẫu lớn nhất) đến 73,3% (Bhardwaj — trường công lập). Sự khác biệt lớn do: (1) công cụ đo khác nhau; (2) ngưỡng cắt khác nhau; (3) bối cảnh văn hóa-xã hội; (4) cỡ mẫu.</w:t>
      </w:r>
    </w:p>
    <w:p>
      <w:r>
        <w:br w:type="page"/>
      </w:r>
    </w:p>
    <w:p>
      <w:pPr>
        <w:pStyle w:val="Heading1"/>
      </w:pPr>
      <w:r>
        <w:t>PHẦN 2: BIỂU ĐỒ SO SÁNH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nxiet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Biểu đồ 1: Tỷ lệ lo âu — 11 nghiên cứu. Xanh &lt;20%, Cam 20-50%, Đỏ &gt;50%. Đường xanh lá = trung bình toàn cầu ~25% (Racine et al., JAMA Pediatrics, 2021).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pression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Biểu đồ 2: Tỷ lệ trầm cảm. Alharbi (74%) và Bhardwaj (64,9%) cao bất thường — có thể do ngưỡng PHQ-9 ≥5 bao gồm cả triệu chứng nhẹ.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giona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Biểu đồ 3: Tỷ lệ lo âu trung bình theo vùng địa lý. Ấn Độ và Ethiopia có tỷ lệ cao nhất. Trung Quốc thấp nhất nhờ cỡ mẫu lớn và công cụ chuẩn.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mple_vs_anxie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Biểu đồ 4: Mối quan hệ cỡ mẫu — tỷ lệ lo âu. Xu hướng: cỡ mẫu càng lớn, tỷ lệ báo cáo càng thấp. Nghiên cứu nhỏ có thể phóng đại tỷ lệ.</w:t>
      </w:r>
    </w:p>
    <w:p/>
    <w:p>
      <w:r>
        <w:br w:type="page"/>
      </w:r>
    </w:p>
    <w:p>
      <w:pPr>
        <w:pStyle w:val="Heading1"/>
      </w:pPr>
      <w:r>
        <w:t>PHẦN 3: ĐỀ CƯƠNG NGHIÊN CỨU ĐỀ XUẤT</w:t>
      </w:r>
    </w:p>
    <w:p>
      <w:pPr>
        <w:pStyle w:val="Heading2"/>
      </w:pPr>
      <w:r>
        <w:t>3.1. Khoảng trống nghiên cứu được xác định</w:t>
      </w:r>
    </w:p>
    <w:p>
      <w:pPr>
        <w:pStyle w:val="ListBullet"/>
      </w:pPr>
      <w:r>
        <w:t>Thiếu nghiên cứu dọc (longitudinal) — tất cả 11 bài đều là cắt ngang, không thể xác lập nhân quả.</w:t>
      </w:r>
    </w:p>
    <w:p>
      <w:pPr>
        <w:pStyle w:val="ListBullet"/>
      </w:pPr>
      <w:r>
        <w:t>Thiếu nghiên cứu can thiệp (intervention) — không bài nào đánh giá hiệu quả chương trình can thiệp.</w:t>
      </w:r>
    </w:p>
    <w:p>
      <w:pPr>
        <w:pStyle w:val="ListBullet"/>
      </w:pPr>
      <w:r>
        <w:t>Thiếu dữ liệu từ Đông Nam Á — không có bài nào từ Việt Nam, Thái Lan, Philippines.</w:t>
      </w:r>
    </w:p>
    <w:p>
      <w:pPr>
        <w:pStyle w:val="ListBullet"/>
      </w:pPr>
      <w:r>
        <w:t>Công cụ đo lường không thống nhất — PHQ-9, GAD-7, DASS-21, CES-D, SAS được sử dụng khác nhau, gây khó so sánh.</w:t>
      </w:r>
    </w:p>
    <w:p>
      <w:pPr>
        <w:pStyle w:val="ListBullet"/>
      </w:pPr>
      <w:r>
        <w:t>Thiếu phân tích đa tầng (multilevel) — hầu hết chưa xem xét hiệu ứng cụm (trường học).</w:t>
      </w:r>
    </w:p>
    <w:p>
      <w:pPr>
        <w:pStyle w:val="ListBullet"/>
      </w:pPr>
      <w:r>
        <w:t>Mối quan hệ giới tính — lo âu phức tạp hơn giả định — 3/11 bài cho thấy nam &gt; nữ, cần nghiên cứu thêm.</w:t>
      </w:r>
    </w:p>
    <w:p>
      <w:pPr>
        <w:pStyle w:val="Heading2"/>
      </w:pPr>
      <w:r>
        <w:t>3.2. Đề cương nghiên cứu đề xuất</w:t>
      </w:r>
    </w:p>
    <w:p>
      <w:r>
        <w:rPr>
          <w:b/>
          <w:sz w:val="22"/>
        </w:rPr>
        <w:t xml:space="preserve">Tên đề tài: </w:t>
      </w:r>
      <w:r>
        <w:rPr>
          <w:sz w:val="22"/>
        </w:rPr>
        <w:t>Tỷ lệ hiện mắc và các yếu tố liên quan của lo âu, trầm cảm ở học sinh trung học cơ sở tại [địa phương], Việt Nam: Nghiên cứu cắt ngang tại trường học</w:t>
      </w:r>
    </w:p>
    <w:p>
      <w:r>
        <w:rPr>
          <w:b/>
          <w:sz w:val="22"/>
        </w:rPr>
        <w:t xml:space="preserve">Mục tiêu: </w:t>
      </w:r>
      <w:r>
        <w:rPr>
          <w:sz w:val="22"/>
        </w:rPr>
        <w:t>(1) Xác định tỷ lệ lo âu và trầm cảm; (2) Xác định các yếu tố nguy cơ và bảo vệ; (3) So sánh giữa các nhóm giới tính, vùng miền, điều kiện kinh tế xã hội</w:t>
      </w:r>
    </w:p>
    <w:p>
      <w:r>
        <w:rPr>
          <w:b/>
          <w:sz w:val="22"/>
        </w:rPr>
        <w:t xml:space="preserve">Thiết kế: </w:t>
      </w:r>
      <w:r>
        <w:rPr>
          <w:sz w:val="22"/>
        </w:rPr>
        <w:t>Cắt ngang, tại trường học, lấy mẫu cụm nhiều giai đoạn</w:t>
      </w:r>
    </w:p>
    <w:p>
      <w:r>
        <w:rPr>
          <w:b/>
          <w:sz w:val="22"/>
        </w:rPr>
        <w:t xml:space="preserve">Cỡ mẫu: </w:t>
      </w:r>
      <w:r>
        <w:rPr>
          <w:sz w:val="22"/>
        </w:rPr>
        <w:t>Tối thiểu 1.000 học sinh (tham khảo Saikia n=360, Alharbi n=1.245, Nakie n=849)</w:t>
      </w:r>
    </w:p>
    <w:p>
      <w:r>
        <w:rPr>
          <w:b/>
          <w:sz w:val="22"/>
        </w:rPr>
        <w:t xml:space="preserve">Công cụ: </w:t>
      </w:r>
      <w:r>
        <w:rPr>
          <w:sz w:val="22"/>
        </w:rPr>
        <w:t>PHQ-9A + GAD-7 (để so sánh với Alharbi, Chen, Xu) HOẶC DASS-21 (để so sánh với Saikia, Nakie, Bhardwaj). Cần xác thực phiên bản tiếng Việt.</w:t>
      </w:r>
    </w:p>
    <w:p>
      <w:r>
        <w:rPr>
          <w:b/>
          <w:sz w:val="22"/>
        </w:rPr>
        <w:t xml:space="preserve">Phân tích: </w:t>
      </w:r>
      <w:r>
        <w:rPr>
          <w:sz w:val="22"/>
        </w:rPr>
        <w:t>Hồi quy logistic đa biến (tham khảo Nakie, Chen). Xem xét mô hình đa tầng (multilevel) để kiểm soát hiệu ứng cụm trường học.</w:t>
      </w:r>
    </w:p>
    <w:p>
      <w:r>
        <w:rPr>
          <w:b/>
          <w:sz w:val="22"/>
        </w:rPr>
        <w:t xml:space="preserve">Biến số: </w:t>
      </w:r>
      <w:r>
        <w:rPr>
          <w:sz w:val="22"/>
        </w:rPr>
        <w:t>Giới tính, tuổi, thành thị/nông thôn, cấu trúc gia đình, sử dụng internet/game (Chen), chất lượng giấc ngủ (Chen), bắt nạt (Chen), phong cách nuôi dạy con (Qiu), khả năng phục hồi (Qiu)</w:t>
      </w:r>
    </w:p>
    <w:p>
      <w:r>
        <w:rPr>
          <w:b/>
          <w:sz w:val="22"/>
        </w:rPr>
        <w:t xml:space="preserve">Đạo đức: </w:t>
      </w:r>
      <w:r>
        <w:rPr>
          <w:sz w:val="22"/>
        </w:rPr>
        <w:t>Phê duyệt IRB, đồng ý của phụ huynh và học sinh, bảo mật dữ liệu</w:t>
      </w:r>
    </w:p>
    <w:p>
      <w:r>
        <w:rPr>
          <w:b/>
          <w:sz w:val="22"/>
        </w:rPr>
        <w:t xml:space="preserve">Hạn chế dự kiến: </w:t>
      </w:r>
      <w:r>
        <w:rPr>
          <w:sz w:val="22"/>
        </w:rPr>
        <w:t>Thiết kế cắt ngang (không xác lập nhân quả), tự báo cáo (không phải chẩn đoán lâm sàng), một địa phương (hạn chế khái quát hóa)</w:t>
      </w:r>
    </w:p>
    <w:p>
      <w:r>
        <w:rPr>
          <w:b/>
          <w:sz w:val="22"/>
        </w:rPr>
        <w:t xml:space="preserve">Ý nghĩa: </w:t>
      </w:r>
      <w:r>
        <w:rPr>
          <w:sz w:val="22"/>
        </w:rPr>
        <w:t>Cung cấp dữ liệu cơ sở cho chính sách sức khỏe tâm thần học đường tại Việt Nam. Đóng góp vào y văn khu vực Đông Nam Á — hiện còn rất thiếu dữ liệu.</w:t>
      </w:r>
    </w:p>
    <w:p>
      <w:pPr>
        <w:pStyle w:val="Heading2"/>
      </w:pPr>
      <w:r>
        <w:t>3.3. Khung thời gian đề xuất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Giai đoạn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Thời gian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1. Chuẩn bị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Tháng 1-2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Xác thực công cụ, phê duyệt đạo đức, tập huấn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2. Thu thập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Tháng 3-5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Khảo sát tại trường học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3. Phân tích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Tháng 6-7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Nhập liệu, làm sạch, phân tích thống kê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4. Báo cáo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Tháng 8-9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Viết báo cáo, gửi tạp chí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