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BẢN GIẢI TRÌNH TIẾP THU CHỈNH SỬA LUẬN ÁN</w:t>
      </w:r>
    </w:p>
    <w:p>
      <w:pPr>
        <w:jc w:val="both"/>
      </w:pPr>
      <w:r>
        <w:rPr>
          <w:rFonts w:ascii="Times New Roman" w:hAnsi="Times New Roman"/>
          <w:b w:val="0"/>
          <w:i/>
          <w:sz w:val="26"/>
        </w:rPr>
        <w:t>(Phản hồi nhận xét của PGS Đặng Hoàng Minh, ngày 25/05/2026)</w:t>
      </w:r>
    </w:p>
    <w:p/>
    <w:p>
      <w:pPr>
        <w:ind w:firstLine="567"/>
        <w:jc w:val="both"/>
      </w:pPr>
      <w:r>
        <w:rPr>
          <w:rFonts w:ascii="Times New Roman" w:hAnsi="Times New Roman"/>
          <w:b w:val="0"/>
          <w:i w:val="0"/>
          <w:sz w:val="26"/>
        </w:rPr>
        <w:t>NCS xin được giải trình các nội dung đã chỉnh sửa theo nhận xét lần 2 của thầy phản biện như sau. Các điểm chính được tóm tắt ở bảng dưới đây; các điểm chi tiết cùng vị trí cụ thể trong luận án được nêu ở phụ lục đi kèm.</w:t>
      </w:r>
    </w:p>
    <w:tbl>
      <w:tblPr>
        <w:tblStyle w:val="TableGrid"/>
        <w:tblW w:type="auto" w:w="0"/>
        <w:jc w:val="center"/>
        <w:tblLook w:firstColumn="1" w:firstRow="1" w:lastColumn="0" w:lastRow="0" w:noHBand="0" w:noVBand="1" w:val="04A0"/>
        <w:tblLayout w:type="fixed"/>
      </w:tblPr>
      <w:tblGrid>
        <w:gridCol w:w="1984"/>
        <w:gridCol w:w="3402"/>
        <w:gridCol w:w="3685"/>
      </w:tblGrid>
      <w:tr>
        <w:tc>
          <w:tcPr>
            <w:tcW w:w="1984" w:type="dxa"/>
            <w:shd w:fill="D9E2F3" w:val="clear"/>
          </w:tcPr>
          <w:p>
            <w:pPr>
              <w:jc w:val="center"/>
            </w:pPr>
            <w:r>
              <w:rPr>
                <w:rFonts w:ascii="Times New Roman" w:hAnsi="Times New Roman"/>
                <w:b/>
                <w:sz w:val="22"/>
              </w:rPr>
              <w:t>Mục phản biện</w:t>
            </w:r>
          </w:p>
        </w:tc>
        <w:tc>
          <w:tcPr>
            <w:tcW w:w="3402" w:type="dxa"/>
            <w:shd w:fill="D9E2F3" w:val="clear"/>
          </w:tcPr>
          <w:p>
            <w:pPr>
              <w:jc w:val="center"/>
            </w:pPr>
            <w:r>
              <w:rPr>
                <w:rFonts w:ascii="Times New Roman" w:hAnsi="Times New Roman"/>
                <w:b/>
                <w:sz w:val="22"/>
              </w:rPr>
              <w:t>Nội dung phản biện</w:t>
            </w:r>
          </w:p>
        </w:tc>
        <w:tc>
          <w:tcPr>
            <w:tcW w:w="3685" w:type="dxa"/>
            <w:shd w:fill="D9E2F3" w:val="clear"/>
          </w:tcPr>
          <w:p>
            <w:pPr>
              <w:jc w:val="center"/>
            </w:pPr>
            <w:r>
              <w:rPr>
                <w:rFonts w:ascii="Times New Roman" w:hAnsi="Times New Roman"/>
                <w:b/>
                <w:sz w:val="22"/>
              </w:rPr>
              <w:t>NCS đã chỉnh sửa</w:t>
            </w:r>
          </w:p>
        </w:tc>
      </w:tr>
      <w:tr>
        <w:tc>
          <w:tcPr>
            <w:tcW w:w="1984" w:type="dxa"/>
          </w:tcPr>
          <w:p>
            <w:pPr>
              <w:jc w:val="both"/>
            </w:pPr>
            <w:r/>
            <w:r>
              <w:rPr>
                <w:rFonts w:ascii="Times New Roman" w:hAnsi="Times New Roman"/>
                <w:sz w:val="22"/>
              </w:rPr>
              <w:t>Mục 2 — Thay đổi khách thể</w:t>
            </w:r>
          </w:p>
        </w:tc>
        <w:tc>
          <w:tcPr>
            <w:tcW w:w="3402" w:type="dxa"/>
          </w:tcPr>
          <w:p>
            <w:pPr>
              <w:jc w:val="both"/>
            </w:pPr>
            <w:r/>
            <w:r>
              <w:rPr>
                <w:rFonts w:ascii="Times New Roman" w:hAnsi="Times New Roman"/>
                <w:sz w:val="22"/>
              </w:rPr>
              <w:t>Quan ngại về việc thay đổi toàn bộ khách thể (1.352 HS THCS Nhật Tân + Tây Mỗ) trong 2 tháng, ảnh hưởng đến đề cương, hội đồng đạo đức, tiến độ.</w:t>
            </w:r>
          </w:p>
        </w:tc>
        <w:tc>
          <w:tcPr>
            <w:tcW w:w="3685" w:type="dxa"/>
          </w:tcPr>
          <w:p>
            <w:pPr>
              <w:jc w:val="both"/>
            </w:pPr>
            <w:r/>
            <w:r>
              <w:rPr>
                <w:rFonts w:ascii="Times New Roman" w:hAnsi="Times New Roman"/>
                <w:sz w:val="22"/>
              </w:rPr>
              <w:t xml:space="preserve">Đã bổ sung đoạn giải trình quy trình điều chỉnh khách thể ở Mở đầu (trang </w:t>
            </w:r>
            <w:r>
              <w:rPr>
                <w:rFonts w:ascii="Times New Roman" w:hAnsi="Times New Roman"/>
                <w:b/>
                <w:color w:val="C00000"/>
                <w:sz w:val="22"/>
              </w:rPr>
              <w:t>[điền số trang]</w:t>
            </w:r>
            <w:r>
              <w:rPr>
                <w:rFonts w:ascii="Times New Roman" w:hAnsi="Times New Roman"/>
                <w:sz w:val="22"/>
              </w:rPr>
              <w:t xml:space="preserve">), trong đó nêu rõ lý do điều chỉnh, văn bản chấp thuận của cơ sở đào tạo và Hội đồng đạo đức số </w:t>
            </w:r>
            <w:r>
              <w:rPr>
                <w:rFonts w:ascii="Times New Roman" w:hAnsi="Times New Roman"/>
                <w:b/>
                <w:color w:val="C00000"/>
                <w:sz w:val="22"/>
              </w:rPr>
              <w:t>[điền số]</w:t>
            </w:r>
            <w:r>
              <w:rPr>
                <w:rFonts w:ascii="Times New Roman" w:hAnsi="Times New Roman"/>
                <w:sz w:val="22"/>
              </w:rPr>
              <w:t xml:space="preserve">, ngày </w:t>
            </w:r>
            <w:r>
              <w:rPr>
                <w:rFonts w:ascii="Times New Roman" w:hAnsi="Times New Roman"/>
                <w:b/>
                <w:color w:val="C00000"/>
                <w:sz w:val="22"/>
              </w:rPr>
              <w:t>[điền ngày]</w:t>
            </w:r>
            <w:r>
              <w:rPr>
                <w:rFonts w:ascii="Times New Roman" w:hAnsi="Times New Roman"/>
                <w:sz w:val="22"/>
              </w:rPr>
              <w:t>.</w:t>
            </w:r>
          </w:p>
        </w:tc>
      </w:tr>
      <w:tr>
        <w:tc>
          <w:tcPr>
            <w:tcW w:w="1984" w:type="dxa"/>
          </w:tcPr>
          <w:p>
            <w:pPr>
              <w:jc w:val="both"/>
            </w:pPr>
            <w:r/>
            <w:r>
              <w:rPr>
                <w:rFonts w:ascii="Times New Roman" w:hAnsi="Times New Roman"/>
                <w:sz w:val="22"/>
              </w:rPr>
              <w:t>Mục 3 — Cách trình bày tiếp thu</w:t>
            </w:r>
          </w:p>
        </w:tc>
        <w:tc>
          <w:tcPr>
            <w:tcW w:w="3402" w:type="dxa"/>
          </w:tcPr>
          <w:p>
            <w:pPr>
              <w:jc w:val="both"/>
            </w:pPr>
            <w:r/>
            <w:r>
              <w:rPr>
                <w:rFonts w:ascii="Times New Roman" w:hAnsi="Times New Roman"/>
                <w:sz w:val="22"/>
              </w:rPr>
              <w:t>NCS cần nêu rõ "đã chỉnh sửa thế nào" thay vì chỉ "đã viết lại".</w:t>
            </w:r>
          </w:p>
        </w:tc>
        <w:tc>
          <w:tcPr>
            <w:tcW w:w="3685" w:type="dxa"/>
          </w:tcPr>
          <w:p>
            <w:pPr>
              <w:jc w:val="both"/>
            </w:pPr>
            <w:r/>
            <w:r>
              <w:rPr>
                <w:rFonts w:ascii="Times New Roman" w:hAnsi="Times New Roman"/>
                <w:sz w:val="22"/>
              </w:rPr>
              <w:t>Đã bổ sung bảng giải trình tiếp thu (chính là bản này) ở đầu luận án, kèm tham chiếu trang/mục cho từng điểm chỉnh sửa.</w:t>
            </w:r>
          </w:p>
        </w:tc>
      </w:tr>
      <w:tr>
        <w:tc>
          <w:tcPr>
            <w:tcW w:w="1984" w:type="dxa"/>
          </w:tcPr>
          <w:p>
            <w:pPr>
              <w:jc w:val="both"/>
            </w:pPr>
            <w:r/>
            <w:r>
              <w:rPr>
                <w:rFonts w:ascii="Times New Roman" w:hAnsi="Times New Roman"/>
                <w:sz w:val="22"/>
              </w:rPr>
              <w:t>Mục 10 — Cách viết tổng quan</w:t>
            </w:r>
          </w:p>
        </w:tc>
        <w:tc>
          <w:tcPr>
            <w:tcW w:w="3402" w:type="dxa"/>
          </w:tcPr>
          <w:p>
            <w:pPr>
              <w:jc w:val="both"/>
            </w:pPr>
            <w:r/>
            <w:r>
              <w:rPr>
                <w:rFonts w:ascii="Times New Roman" w:hAnsi="Times New Roman"/>
                <w:sz w:val="22"/>
              </w:rPr>
              <w:t>NCS liệt kê từng công trình thay vì tổng quát hóa theo chủ đề; nhận xét về công cụ (1.1.1.3, 1.1.2.3) không khớp công cụ thực tế được điểm luận.</w:t>
            </w:r>
          </w:p>
        </w:tc>
        <w:tc>
          <w:tcPr>
            <w:tcW w:w="3685" w:type="dxa"/>
          </w:tcPr>
          <w:p>
            <w:pPr>
              <w:jc w:val="both"/>
            </w:pPr>
            <w:r/>
            <w:r>
              <w:rPr>
                <w:rFonts w:ascii="Times New Roman" w:hAnsi="Times New Roman"/>
                <w:sz w:val="22"/>
              </w:rPr>
              <w:t xml:space="preserve">Đã viết lại toàn bộ mục 1.1 theo cấu trúc nhóm chủ đề (Tỷ lệ – Mức độ – Biểu hiện / Yếu tố nguy cơ / Yếu tố bảo vệ / Can thiệp), với các nghiên cứu Việt Nam gom vào cuối mỗi chủ đề (xem trang </w:t>
            </w:r>
            <w:r>
              <w:rPr>
                <w:rFonts w:ascii="Times New Roman" w:hAnsi="Times New Roman"/>
                <w:b/>
                <w:color w:val="C00000"/>
                <w:sz w:val="22"/>
              </w:rPr>
              <w:t>[điền]</w:t>
            </w:r>
            <w:r>
              <w:rPr>
                <w:rFonts w:ascii="Times New Roman" w:hAnsi="Times New Roman"/>
                <w:sz w:val="22"/>
              </w:rPr>
              <w:t>). Phần nhận xét công cụ đã được rà soát lại để chỉ đề cập đến các công cụ thực tế có trong điểm luận.</w:t>
            </w:r>
          </w:p>
        </w:tc>
      </w:tr>
      <w:tr>
        <w:tc>
          <w:tcPr>
            <w:tcW w:w="1984" w:type="dxa"/>
          </w:tcPr>
          <w:p>
            <w:pPr>
              <w:jc w:val="both"/>
            </w:pPr>
            <w:r/>
            <w:r>
              <w:rPr>
                <w:rFonts w:ascii="Times New Roman" w:hAnsi="Times New Roman"/>
                <w:sz w:val="22"/>
              </w:rPr>
              <w:t>Mục 8 + 14 + 28 + 49 — Biến "biện pháp đối phó"</w:t>
            </w:r>
          </w:p>
        </w:tc>
        <w:tc>
          <w:tcPr>
            <w:tcW w:w="3402" w:type="dxa"/>
          </w:tcPr>
          <w:p>
            <w:pPr>
              <w:jc w:val="both"/>
            </w:pPr>
            <w:r/>
            <w:r>
              <w:rPr>
                <w:rFonts w:ascii="Times New Roman" w:hAnsi="Times New Roman"/>
                <w:sz w:val="22"/>
              </w:rPr>
              <w:t>Biến "biện pháp đối phó" được trình bày không nhất quán: lúc là yếu tố bảo vệ, lúc là biến phụ thuộc.</w:t>
            </w:r>
          </w:p>
        </w:tc>
        <w:tc>
          <w:tcPr>
            <w:tcW w:w="3685" w:type="dxa"/>
          </w:tcPr>
          <w:p>
            <w:pPr>
              <w:jc w:val="both"/>
            </w:pPr>
            <w:r/>
            <w:r>
              <w:rPr>
                <w:rFonts w:ascii="Times New Roman" w:hAnsi="Times New Roman"/>
                <w:sz w:val="22"/>
              </w:rPr>
              <w:t xml:space="preserve">Đã làm rõ "biện pháp đối phó" được nghiên cứu như một biến trung gian (mediator) trong mối quan hệ giữa yếu tố nguy cơ và biểu hiện rối loạn lo âu. Đã chỉnh sửa cách trình bày ở cơ sở lý luận (trang </w:t>
            </w:r>
            <w:r>
              <w:rPr>
                <w:rFonts w:ascii="Times New Roman" w:hAnsi="Times New Roman"/>
                <w:b/>
                <w:color w:val="C00000"/>
                <w:sz w:val="22"/>
              </w:rPr>
              <w:t>[điền]</w:t>
            </w:r>
            <w:r>
              <w:rPr>
                <w:rFonts w:ascii="Times New Roman" w:hAnsi="Times New Roman"/>
                <w:sz w:val="22"/>
              </w:rPr>
              <w:t xml:space="preserve">), phương pháp (trang </w:t>
            </w:r>
            <w:r>
              <w:rPr>
                <w:rFonts w:ascii="Times New Roman" w:hAnsi="Times New Roman"/>
                <w:b/>
                <w:color w:val="C00000"/>
                <w:sz w:val="22"/>
              </w:rPr>
              <w:t>[điền]</w:t>
            </w:r>
            <w:r>
              <w:rPr>
                <w:rFonts w:ascii="Times New Roman" w:hAnsi="Times New Roman"/>
                <w:sz w:val="22"/>
              </w:rPr>
              <w:t xml:space="preserve">) và kết luận (trang </w:t>
            </w:r>
            <w:r>
              <w:rPr>
                <w:rFonts w:ascii="Times New Roman" w:hAnsi="Times New Roman"/>
                <w:b/>
                <w:color w:val="C00000"/>
                <w:sz w:val="22"/>
              </w:rPr>
              <w:t>[điền]</w:t>
            </w:r>
            <w:r>
              <w:rPr>
                <w:rFonts w:ascii="Times New Roman" w:hAnsi="Times New Roman"/>
                <w:sz w:val="22"/>
              </w:rPr>
              <w:t>) để bảo đảm nhất quán.</w:t>
            </w:r>
          </w:p>
        </w:tc>
      </w:tr>
      <w:tr>
        <w:tc>
          <w:tcPr>
            <w:tcW w:w="1984" w:type="dxa"/>
          </w:tcPr>
          <w:p>
            <w:pPr>
              <w:jc w:val="both"/>
            </w:pPr>
            <w:r/>
            <w:r>
              <w:rPr>
                <w:rFonts w:ascii="Times New Roman" w:hAnsi="Times New Roman"/>
                <w:sz w:val="22"/>
              </w:rPr>
              <w:t>Mục 15 đến 19 — Phân loại RLLA, DSM</w:t>
            </w:r>
          </w:p>
        </w:tc>
        <w:tc>
          <w:tcPr>
            <w:tcW w:w="3402" w:type="dxa"/>
          </w:tcPr>
          <w:p>
            <w:pPr>
              <w:jc w:val="both"/>
            </w:pPr>
            <w:r/>
            <w:r>
              <w:rPr>
                <w:rFonts w:ascii="Times New Roman" w:hAnsi="Times New Roman"/>
                <w:sz w:val="22"/>
              </w:rPr>
              <w:t>Phân loại RLLA dưới các góc độ chưa đúng cấu trúc; dùng lẫn lộn DSM-IV, DSM-5, DSM-5-TR; "RLLA tổng quát" vs "tổng quát".</w:t>
            </w:r>
          </w:p>
        </w:tc>
        <w:tc>
          <w:tcPr>
            <w:tcW w:w="3685" w:type="dxa"/>
          </w:tcPr>
          <w:p>
            <w:pPr>
              <w:jc w:val="both"/>
            </w:pPr>
            <w:r/>
            <w:r>
              <w:rPr>
                <w:rFonts w:ascii="Times New Roman" w:hAnsi="Times New Roman"/>
                <w:sz w:val="22"/>
              </w:rPr>
              <w:t>Đã thống nhất sử dụng DSM-5 trong toàn luận án; đã sửa "DSM V" thành "DSM-5"; đã thống nhất thuật ngữ "rối loạn lo âu tổng quát" theo bản tiếng Việt chính thức của DSM-5. Đã rà soát lại cấu trúc phân loại ở mục 1.2.2.</w:t>
            </w:r>
          </w:p>
        </w:tc>
      </w:tr>
      <w:tr>
        <w:tc>
          <w:tcPr>
            <w:tcW w:w="1984" w:type="dxa"/>
          </w:tcPr>
          <w:p>
            <w:pPr>
              <w:jc w:val="both"/>
            </w:pPr>
            <w:r/>
            <w:r>
              <w:rPr>
                <w:rFonts w:ascii="Times New Roman" w:hAnsi="Times New Roman"/>
                <w:sz w:val="22"/>
              </w:rPr>
              <w:t>Các mục còn lại (sâu)</w:t>
            </w:r>
          </w:p>
        </w:tc>
        <w:tc>
          <w:tcPr>
            <w:tcW w:w="3402" w:type="dxa"/>
          </w:tcPr>
          <w:p>
            <w:pPr>
              <w:jc w:val="both"/>
            </w:pPr>
            <w:r/>
            <w:r>
              <w:rPr>
                <w:rFonts w:ascii="Times New Roman" w:hAnsi="Times New Roman"/>
                <w:sz w:val="22"/>
              </w:rPr>
              <w:t>Các critique về phân tích SEM (mục 38-39), factor loading (mục 32-34), bổ sung phương pháp quan sát + phỏng vấn sâu (mục 9, 25, 30), restructure mục 3.7 (mục 41-46), Bảng 3.21-3.22 (mục 37).</w:t>
            </w:r>
          </w:p>
        </w:tc>
        <w:tc>
          <w:tcPr>
            <w:tcW w:w="3685" w:type="dxa"/>
          </w:tcPr>
          <w:p>
            <w:pPr>
              <w:jc w:val="both"/>
            </w:pPr>
            <w:r/>
            <w:r>
              <w:rPr>
                <w:rFonts w:ascii="Times New Roman" w:hAnsi="Times New Roman"/>
                <w:sz w:val="22"/>
              </w:rPr>
              <w:t>Các điểm này đòi hỏi điều chỉnh sâu hơn về thiết kế nghiên cứu và phân tích thống kê. NCS xin được làm việc thêm với thầy hướng dẫn và cập nhật trong lần nộp tiếp theo.</w:t>
            </w:r>
          </w:p>
        </w:tc>
      </w:tr>
    </w:tbl>
    <w:p/>
    <w:p>
      <w:pPr>
        <w:ind w:firstLine="567"/>
        <w:jc w:val="both"/>
      </w:pPr>
      <w:r>
        <w:rPr>
          <w:rFonts w:ascii="Times New Roman" w:hAnsi="Times New Roman"/>
          <w:b w:val="0"/>
          <w:i w:val="0"/>
          <w:sz w:val="26"/>
        </w:rPr>
        <w:t>NCS xin chân thành cảm ơn thầy phản biện đã dành thời gian đọc và đưa ra các nhận xét quý báu. Các góp ý của thầy giúp luận án được hoàn thiện hơn về cả cấu trúc, nội dung khoa học và phương pháp luận. Những điểm chưa kịp xử lý trong lần này sẽ được NCS tiếp tục làm việc cùng thầy hướng dẫn để bổ sung trong các lần nộp tới.</w:t>
      </w:r>
    </w:p>
    <w:p/>
    <w:p>
      <w:pPr>
        <w:jc w:val="both"/>
      </w:pPr>
      <w:r>
        <w:rPr>
          <w:rFonts w:ascii="Times New Roman" w:hAnsi="Times New Roman"/>
          <w:b w:val="0"/>
          <w:i w:val="0"/>
          <w:sz w:val="26"/>
        </w:rPr>
        <w:t xml:space="preserve">Hà Nội, ngày </w:t>
      </w:r>
      <w:r>
        <w:rPr>
          <w:rFonts w:ascii="Times New Roman" w:hAnsi="Times New Roman"/>
          <w:b/>
          <w:color w:val="C00000"/>
          <w:sz w:val="26"/>
        </w:rPr>
        <w:t>[điền]</w:t>
      </w:r>
      <w:r>
        <w:rPr>
          <w:rFonts w:ascii="Times New Roman" w:hAnsi="Times New Roman"/>
          <w:b w:val="0"/>
          <w:i w:val="0"/>
          <w:sz w:val="26"/>
        </w:rPr>
        <w:t xml:space="preserve"> tháng </w:t>
      </w:r>
      <w:r>
        <w:rPr>
          <w:rFonts w:ascii="Times New Roman" w:hAnsi="Times New Roman"/>
          <w:b/>
          <w:color w:val="C00000"/>
          <w:sz w:val="26"/>
        </w:rPr>
        <w:t>[điền]</w:t>
      </w:r>
      <w:r>
        <w:rPr>
          <w:rFonts w:ascii="Times New Roman" w:hAnsi="Times New Roman"/>
          <w:b w:val="0"/>
          <w:i w:val="0"/>
          <w:sz w:val="26"/>
        </w:rPr>
        <w:t xml:space="preserve"> năm 2026</w:t>
      </w:r>
    </w:p>
    <w:p>
      <w:pPr>
        <w:jc w:val="both"/>
      </w:pPr>
      <w:r>
        <w:rPr>
          <w:rFonts w:ascii="Times New Roman" w:hAnsi="Times New Roman"/>
          <w:b/>
          <w:i w:val="0"/>
          <w:sz w:val="26"/>
        </w:rPr>
        <w:t>Nghiên cứu sinh</w:t>
      </w:r>
    </w:p>
    <w:p>
      <w:pPr>
        <w:jc w:val="both"/>
      </w:pPr>
    </w:p>
    <w:p>
      <w:pPr>
        <w:jc w:val="both"/>
      </w:pPr>
    </w:p>
    <w:p>
      <w:pPr>
        <w:jc w:val="both"/>
      </w:pPr>
      <w:r>
        <w:rPr>
          <w:rFonts w:ascii="Times New Roman" w:hAnsi="Times New Roman"/>
          <w:b/>
          <w:i w:val="0"/>
          <w:sz w:val="26"/>
        </w:rPr>
        <w:t>Công Thị Hằng</w:t>
      </w:r>
    </w:p>
    <w:sectPr w:rsidR="00FC693F" w:rsidRPr="0006063C" w:rsidSect="00034616">
      <w:headerReference w:type="default" r:id="rId9"/>
      <w:footerReference w:type="default" r:id="rId10"/>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