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4D6F" w:rsidRDefault="0062480A" w:rsidP="0093791B">
      <w:pPr>
        <w:pStyle w:val="Heading1"/>
        <w:numPr>
          <w:ilvl w:val="1"/>
          <w:numId w:val="1"/>
        </w:numPr>
      </w:pPr>
      <w:bookmarkStart w:id="0" w:name="_GoBack"/>
      <w:bookmarkEnd w:id="0"/>
      <w:r>
        <w:rPr>
          <w:rFonts w:ascii="Times New Roman" w:hAnsi="Times New Roman"/>
          <w:color w:val="000000"/>
        </w:rPr>
        <w:t>TỔNG QUAN</w:t>
      </w:r>
    </w:p>
    <w:p w:rsidR="00694D6F" w:rsidRDefault="00694D6F" w:rsidP="00694D6F">
      <w:pPr>
        <w:pStyle w:val="Heading2"/>
      </w:pPr>
      <w:r>
        <w:rPr>
          <w:rFonts w:ascii="Times New Roman" w:hAnsi="Times New Roman"/>
          <w:color w:val="000000"/>
        </w:rPr>
        <w:t>Cách tiếp cận</w:t>
      </w:r>
    </w:p>
    <w:p w:rsidR="00694D6F" w:rsidRDefault="00694D6F" w:rsidP="00694D6F">
      <w:pPr>
        <w:ind w:firstLine="567"/>
        <w:jc w:val="both"/>
      </w:pPr>
      <w:r>
        <w:t>Chương tuân theo cách tiếp cận tổng quan tự sự (narrative review) do tính linh hoạt trong việc tích hợp các nguồn dữ liệu định lượng và định tính có cấu trúc đa dạng. Khác với tổng quan hệ thống chỉ đặt một câu hỏi duy nhất và áp dụng quy trình tìm kiếm – sàng lọc đồng nhất, tổng quan tự sự cho phép tổ chức bằng chứng theo khung khái niệm chủ đạo, đối chiếu các thiết kế nghiên cứu khác nhau, và tích hợp cả các báo cáo điều tra dịch tễ cấp quốc gia vốn không xuất hiện đầy đủ trong các phân tích tổng hợp truyền thống. Cách tiếp cận này phù hợp với mục tiêu của chương — đặt nền khung lý thuyết và bối cảnh cho luận án — hơn là đưa ra ước lượng hiệu ứng quy tụ.</w:t>
      </w:r>
    </w:p>
    <w:p w:rsidR="00694D6F" w:rsidRDefault="00694D6F" w:rsidP="00694D6F">
      <w:pPr>
        <w:pStyle w:val="Heading2"/>
      </w:pPr>
      <w:r>
        <w:rPr>
          <w:rFonts w:ascii="Times New Roman" w:hAnsi="Times New Roman"/>
          <w:color w:val="000000"/>
        </w:rPr>
        <w:t>Tiêu chí lựa chọn tài liệu</w:t>
      </w:r>
    </w:p>
    <w:p w:rsidR="00694D6F" w:rsidRDefault="00694D6F" w:rsidP="00694D6F">
      <w:pPr>
        <w:ind w:firstLine="567"/>
        <w:jc w:val="both"/>
      </w:pPr>
      <w:r>
        <w:t>Tiêu chí lựa chọn tài liệu được xác định trên ba trục: phạm vi thời gian, phạm vi đối tượng và phạm vi nội dung. Về thời gian, ưu tiên các công trình xuất bản từ 2015 trở lại đây, đặc biệt từ năm 2020 nhằm phản ánh bối cảnh hậu đại dịch và sự tổng quát nhanh của điện thoại thông minh. Một số công trình kinh điển trước 2015 được giữ lại khi chúng cung cấp khung lý thuyết hoặc thang đo nền tảng — ví dụ Sowislo và Orth (2013) cho phân tích tổng hợp các nghiên cứu dọc về lòng tự trọng và trầm cảm – lo âu.</w:t>
      </w:r>
    </w:p>
    <w:p w:rsidR="00694D6F" w:rsidRDefault="00694D6F" w:rsidP="00694D6F">
      <w:pPr>
        <w:ind w:firstLine="567"/>
        <w:jc w:val="both"/>
      </w:pPr>
      <w:r>
        <w:t>Về đối tượng, chương tập trung vào học sinh trung học cơ sở 11–15 tuổi. Đối với các công bố sử dụng mẫu hỗn hợp THCS – THPT, chỉ trích xuất phần dữ liệu thuộc khối THCS hoặc thông số chung khi phân chia khối lớp không tách rời. Đối với mẫu cấp tiểu học hoặc đại học, các nghiên cứu này được loại trừ trừ khi tài liệu là phân tích tổng hợp đa nhóm tuổi có ý nghĩa khung lý thuyết. Về nội dung, tiêu chí chấp nhận là các nghiên cứu sử dụng công cụ chuẩn hóa quốc tế — chẩn đoán DSM-5 qua phỏng vấn, RCADS, DASS-21, STAI, GAD-7, ESSA — và báo cáo các thông số định lượng có thể trích dẫn được (tỷ lệ phần trăm, tỷ số chênh OR, hệ số tương quan r, kích thước hiệu ứng Cohen d hoặc Hedges g, hệ số đường β). Các bài bình luận, ý kiến chuyên gia hoặc đề cương luận án chưa bảo vệ không được đưa vào danh sách trích dẫn.</w:t>
      </w:r>
    </w:p>
    <w:p w:rsidR="00694D6F" w:rsidRDefault="00694D6F" w:rsidP="00694D6F">
      <w:pPr>
        <w:pStyle w:val="Heading2"/>
      </w:pPr>
      <w:r>
        <w:rPr>
          <w:rFonts w:ascii="Times New Roman" w:hAnsi="Times New Roman"/>
          <w:color w:val="000000"/>
        </w:rPr>
        <w:t>Nguồn dữ liệu</w:t>
      </w:r>
    </w:p>
    <w:p w:rsidR="00694D6F" w:rsidRDefault="00694D6F" w:rsidP="00694D6F">
      <w:pPr>
        <w:ind w:firstLine="567"/>
        <w:jc w:val="both"/>
      </w:pPr>
      <w:r>
        <w:t xml:space="preserve">Nguồn dữ liệu chính là cơ sở dữ liệu tài liệu nội bộ do nhóm nghiên cứu chuẩn bị trong quá trình thực hiện luận án, bao gồm 97 bài được phân loại theo khu vực địa lý và loại tài liệu — trong đó 24 bài Việt Nam và 73 bài quốc tế. Từ kho này, hai mươi mốt bài được sử dụng </w:t>
      </w:r>
      <w:r>
        <w:lastRenderedPageBreak/>
        <w:t>trực tiếp ở chương này; các bài còn lại được lưu trữ để phục vụ các chương tiếp theo về phương pháp và can thiệp. Các bài quốc tế được lấy từ các nền tảng cơ sở dữ liệu điện tử và bản truy cập mở của các nhà xuất bản Lancet, BMC, Springer, Frontiers, Wiley, MDPI. Các bài Việt Nam được tra cứu từ Tạp chí Y học Việt Nam, Tạp chí Y học Cộng đồng, Tạp chí Tâm lý học, Tạp chí Y học Dự phòng và các kỷ yếu hội thảo quốc gia.</w:t>
      </w:r>
    </w:p>
    <w:p w:rsidR="00694D6F" w:rsidRDefault="00694D6F" w:rsidP="00694D6F">
      <w:pPr>
        <w:pStyle w:val="Heading2"/>
      </w:pPr>
      <w:r>
        <w:rPr>
          <w:rFonts w:ascii="Times New Roman" w:hAnsi="Times New Roman"/>
          <w:color w:val="000000"/>
        </w:rPr>
        <w:t>Quy trình trích xuất và thẩm định</w:t>
      </w:r>
    </w:p>
    <w:p w:rsidR="00694D6F" w:rsidRDefault="00694D6F" w:rsidP="00694D6F">
      <w:pPr>
        <w:ind w:firstLine="567"/>
        <w:jc w:val="both"/>
      </w:pPr>
      <w:r>
        <w:t>Đối với từng yếu tố nguy cơ, nhóm nghiên cứu thực hiện ba bước trích xuất: rà soát phân tích tổng hợp và tổng quan hệ thống hiện hành để xác định độ lớn hiệu ứng quy tụ; chọn lọc các nghiên cứu mẫu lớn cấp quốc gia hoặc đa tỉnh ở khu vực Á; tích hợp các bài Việt Nam có công cụ đo chuẩn hóa. Sau khi tổng hợp sơ bộ, mỗi bài được mở trực tiếp trên trang nguồn — PubMed, PubMed Central, trang nhà xuất bản, hoặc kho truy cập mở — để xác minh tên tác giả đầy đủ, năm, tạp chí, tập và số bài hoặc số trang, và mã DOI. Việc xác minh trực tiếp này nhằm tránh tình trạng trích dẫn theo trí nhớ và bảo đảm liêm chính trong các bước phân tích tiếp theo.</w:t>
      </w:r>
    </w:p>
    <w:p w:rsidR="00694D6F" w:rsidRDefault="00694D6F" w:rsidP="00694D6F">
      <w:pPr>
        <w:ind w:firstLine="567"/>
        <w:jc w:val="both"/>
      </w:pPr>
      <w:r>
        <w:t>Nhóm nghiên cứu đã sử dụng công cụ trợ lý dựa trên mô hình ngôn ngữ lớn (Large Language Model) nhằm hỗ trợ tìm kiếm, sắp xếp và đối chiếu tài liệu tham khảo theo định dạng APA phiên bản thứ bảy. Toàn bộ phần phân tích, diễn giải, lập luận khoa học và kết luận do nhóm nghiên cứu tự thực hiện và chịu trách nhiệm. Mọi số liệu trích dẫn trong chương đều được đối chiếu trực tiếp với bài gốc trước khi đưa vào bản thảo, theo khuyến nghị về liêm chính khoa học khi sử dụng trí tuệ nhân tạo của các cơ quan quản lý quốc tế và trong nước.</w:t>
      </w:r>
    </w:p>
    <w:p w:rsidR="00694D6F" w:rsidRDefault="00694D6F" w:rsidP="00694D6F">
      <w:pPr>
        <w:pStyle w:val="Heading2"/>
      </w:pPr>
      <w:r>
        <w:rPr>
          <w:rFonts w:ascii="Times New Roman" w:hAnsi="Times New Roman"/>
          <w:color w:val="000000"/>
        </w:rPr>
        <w:t>Tổng hợp định tính và định lượng</w:t>
      </w:r>
    </w:p>
    <w:p w:rsidR="00694D6F" w:rsidRDefault="00694D6F" w:rsidP="00694D6F">
      <w:pPr>
        <w:ind w:firstLine="567"/>
        <w:jc w:val="both"/>
      </w:pPr>
      <w:r>
        <w:t>Để tổng hợp kết quả xuyên các nghiên cứu có thiết kế và công cụ khác nhau, chương dùng hai loại tổng hợp song song. Tổng hợp định lượng trình bày các tham số ước lượng — tỷ lệ, tỷ số chênh OR, hệ số tương quan, kích thước hiệu ứng — kèm khoảng tin cậy khi có sẵn, và đánh giá sự nhất quán hoặc khác biệt giữa các nguồn. Tổng hợp định tính tập trung vào cơ chế và bối cảnh: phân tích lý do tại sao một yếu tố tác động, các đường dẫn trung gian khả dĩ, và các điều kiện văn hóa – xã hội đặc thù tại Việt Nam có thể làm thay đổi tính khái quát của bằng chứng quốc tế.</w:t>
      </w:r>
    </w:p>
    <w:p w:rsidR="0062480A" w:rsidRPr="0062480A" w:rsidRDefault="0062480A" w:rsidP="0062480A">
      <w:pPr>
        <w:pStyle w:val="Heading2"/>
        <w:rPr>
          <w:rFonts w:ascii="Times New Roman" w:hAnsi="Times New Roman" w:cs="Times New Roman"/>
          <w:color w:val="0070C0"/>
        </w:rPr>
      </w:pPr>
      <w:r w:rsidRPr="0062480A">
        <w:rPr>
          <w:rFonts w:ascii="Times New Roman" w:hAnsi="Times New Roman" w:cs="Times New Roman"/>
          <w:color w:val="0070C0"/>
        </w:rPr>
        <w:t>1.1.1</w:t>
      </w:r>
      <w:r w:rsidRPr="0062480A">
        <w:rPr>
          <w:rFonts w:ascii="Times New Roman" w:hAnsi="Times New Roman" w:cs="Times New Roman"/>
          <w:color w:val="0070C0"/>
        </w:rPr>
        <w:t>. Nghiên cứu về tỷ lệ phổ biến, mức độ và biểu hiện của rối loạn lo âu ở trẻ vị thành niên</w:t>
      </w:r>
    </w:p>
    <w:p w:rsidR="0062480A" w:rsidRDefault="0062480A" w:rsidP="00694D6F">
      <w:pPr>
        <w:ind w:firstLine="567"/>
        <w:jc w:val="both"/>
      </w:pPr>
    </w:p>
    <w:p w:rsidR="00694D6F" w:rsidRPr="005E7028" w:rsidRDefault="00694D6F" w:rsidP="00694D6F">
      <w:pPr>
        <w:rPr>
          <w:b/>
          <w:color w:val="0070C0"/>
        </w:rPr>
      </w:pPr>
      <w:r>
        <w:rPr>
          <w:b/>
          <w:color w:val="0070C0"/>
        </w:rPr>
        <w:t>1.1.2</w:t>
      </w:r>
      <w:r>
        <w:rPr>
          <w:b/>
          <w:color w:val="0070C0"/>
        </w:rPr>
        <w:t xml:space="preserve">. </w:t>
      </w:r>
      <w:r w:rsidRPr="005E7028">
        <w:rPr>
          <w:b/>
          <w:color w:val="0070C0"/>
        </w:rPr>
        <w:t xml:space="preserve">Nghiên cứu về </w:t>
      </w:r>
      <w:r>
        <w:rPr>
          <w:b/>
          <w:color w:val="0070C0"/>
        </w:rPr>
        <w:t>các yếu tố ảnh hưởng đến</w:t>
      </w:r>
      <w:r w:rsidRPr="005E7028">
        <w:rPr>
          <w:b/>
          <w:color w:val="0070C0"/>
        </w:rPr>
        <w:t xml:space="preserve"> rối loạn lo âu </w:t>
      </w:r>
      <w:r>
        <w:rPr>
          <w:b/>
          <w:color w:val="0070C0"/>
        </w:rPr>
        <w:t>ở</w:t>
      </w:r>
      <w:r w:rsidRPr="005E7028">
        <w:rPr>
          <w:b/>
          <w:color w:val="0070C0"/>
        </w:rPr>
        <w:t xml:space="preserve"> </w:t>
      </w:r>
      <w:r>
        <w:rPr>
          <w:b/>
          <w:color w:val="0070C0"/>
        </w:rPr>
        <w:t xml:space="preserve">trẻ </w:t>
      </w:r>
      <w:r w:rsidRPr="005E7028">
        <w:rPr>
          <w:b/>
          <w:color w:val="0070C0"/>
        </w:rPr>
        <w:t>vị thành niên</w:t>
      </w:r>
    </w:p>
    <w:p w:rsidR="00694D6F" w:rsidRPr="00694D6F" w:rsidRDefault="00694D6F" w:rsidP="00694D6F">
      <w:pPr>
        <w:pStyle w:val="Heading2"/>
        <w:rPr>
          <w:b w:val="0"/>
          <w:i/>
        </w:rPr>
      </w:pPr>
      <w:r w:rsidRPr="00694D6F">
        <w:rPr>
          <w:rFonts w:ascii="Times New Roman" w:hAnsi="Times New Roman"/>
          <w:b w:val="0"/>
          <w:i/>
          <w:color w:val="000000"/>
        </w:rPr>
        <w:lastRenderedPageBreak/>
        <w:t xml:space="preserve">1.1.2.1. </w:t>
      </w:r>
      <w:r w:rsidRPr="00694D6F">
        <w:rPr>
          <w:rFonts w:ascii="Times New Roman" w:hAnsi="Times New Roman"/>
          <w:b w:val="0"/>
          <w:i/>
          <w:color w:val="000000"/>
        </w:rPr>
        <w:t>Áp lực học tập</w:t>
      </w:r>
    </w:p>
    <w:p w:rsidR="00694D6F" w:rsidRDefault="00694D6F" w:rsidP="00694D6F">
      <w:pPr>
        <w:ind w:firstLine="567"/>
        <w:jc w:val="both"/>
      </w:pPr>
      <w:r>
        <w:t>Áp lực học tập từ lâu được xếp vào trục yếu tố nguy cơ trung tâm đối với rối loạn lo âu ở học sinh phổ thông. Tổng quan của Pascoe và cộng sự (2020) về tác động của căng thẳng học đường cho thấy áp lực học tập có liên hệ với suy giảm kết quả học tập, rối loạn giấc ngủ và gia tăng triệu chứng lo âu – trầm cảm ở học sinh trung học và sinh viên. Áp lực học tập không phải là một biến đơn nhất mà là tổ hợp của nhiều thành phần — khối lượng bài tập, kỳ vọng về kết quả thi, lo âu thi cử, cạnh tranh điểm số, và kỳ vọng từ giáo viên cũng như phụ huynh; do đó hiệu ứng tích lũy của áp lực học tập trên sức khỏe tâm thần có thể bị đánh giá thấp khi chỉ đo bằng một câu hỏi tự đánh giá đơn lẻ. Phân tách áp lực học tập thành các thành phần — kỳ vọng nhận thức, áp lực thi cử, cạnh tranh — sẽ giúp các nghiên cứu trong nước phát hiện thành phần nào tác động mạnh nhất trên lo âu của HSTHCS Việt Nam.</w:t>
      </w:r>
    </w:p>
    <w:p w:rsidR="00694D6F" w:rsidRDefault="00694D6F" w:rsidP="00694D6F">
      <w:pPr>
        <w:ind w:firstLine="567"/>
        <w:jc w:val="both"/>
      </w:pPr>
      <w:r>
        <w:t>Tổng quan hệ thống của Jagiello và cộng sự (2025) đã rà soát 31 nghiên cứu can thiệp áp lực học tập ở học sinh trung học tại 13 quốc gia và xác nhận rằng áp lực học tập là một mục tiêu can thiệp khả thi khi triển khai trong môi trường trường học, trong đó các chương trình dựa trên liệu pháp nhận thức – hành vi cho bằng chứng hiệu quả mạnh nhất. Điều này cho thấy áp lực học tập không chỉ là một yếu tố nguy cơ có thể đo lường mà còn là một điểm tác động thực tế cho các chương trình dự phòng tại trường. Tuy nhiên, các bài can thiệp trong tổng quan của Jagiello chủ yếu được thực hiện ở các nước thu nhập cao, nơi nguồn lực và tỷ lệ chuyên gia tâm lý học đường khác xa Việt Nam; vì vậy việc bản địa hóa các chương trình này cần được thực hiện thận trọng.</w:t>
      </w:r>
    </w:p>
    <w:p w:rsidR="00694D6F" w:rsidRDefault="00694D6F" w:rsidP="00694D6F">
      <w:pPr>
        <w:ind w:firstLine="567"/>
        <w:jc w:val="both"/>
      </w:pPr>
      <w:r>
        <w:t>Bối cảnh Á Đông cung cấp thêm bằng chứng có giá trị tham chiếu. Khảo sát quy mô lớn cấp tỉnh của Xu và cộng sự (2021) trên 373.216 học sinh trung học tại Hà Nam, Trung Quốc, trong giai đoạn đỉnh đại dịch COVID-19 không chỉ báo cáo tỷ lệ lo âu chung 9,89% mà còn cho thấy bậc trung học cơ sở (10,85% theo Bảng 1 của bài báo, tính từ 26.490/244.193) có tỷ lệ cao hơn bậc trung học phổ thông (8,08% từ 10.428/129.023) — một mẫu hình ngược với giả định phổ biến rằng áp lực thi cử lên đến đỉnh ở năm cuối THPT. Nghiên cứu của Chen và cộng sự (2023) trên 63.205 học sinh trung học Trung Quốc ghi nhận tỷ lệ triệu chứng lo âu 13,9% và nhấn mạnh sự đồng hiện diện của triệu chứng lo âu và trầm cảm — gợi ý rằng các nghiên cứu chỉ đo một trong hai sẽ bỏ sót gánh nặng kép tâm thần ở nhóm tuổi này.</w:t>
      </w:r>
    </w:p>
    <w:p w:rsidR="00694D6F" w:rsidRDefault="00694D6F" w:rsidP="00694D6F">
      <w:pPr>
        <w:ind w:firstLine="567"/>
        <w:jc w:val="both"/>
      </w:pPr>
      <w:r>
        <w:t xml:space="preserve">Tại Việt Nam, công trình của Đinh Thị Hồng Vân và cộng sự (2021) trên 749 học sinh trung học cơ sở tại Hà Nội và Thành phố Hồ Chí Minh cho thấy điểm số và thi cử là yếu tố gây lo âu được ghi nhận ở 91,1% học sinh — cao nhất trong sáu nhóm yếu tố trường học </w:t>
      </w:r>
      <w:r>
        <w:lastRenderedPageBreak/>
        <w:t>được khảo sát. Đây là một con số đáng chú ý vì nó cho biết phần lớn HSTHCS ở hai đô thị lớn nhất cả nước nhận diện rõ áp lực học tập là nguồn lo âu, trong khi các yếu tố khác (quan hệ bạn bè, quan hệ với giáo viên, môi trường lớp học) có tỷ lệ thấp hơn nhiều. Trần Thị Mỵ Lương (2020) trên 540 học sinh trung học phổ thông chuyên với thang DASS-42 ghi nhận tỷ lệ lo âu 14,2%, trong đó học sinh khối 11 chiếm tỷ lệ cao nhất (48,1% trong số ca lo âu), được lý giải bằng áp lực đa chiều của giai đoạn chuyển tiếp này. Mặc dù mẫu thuộc bậc THPT, thông tin về biến thiên theo khối lớp là cơ sở để dự đoán rằng các thời điểm chuyển cấp tương tự ở HSTHCS — đặc biệt cuối lớp 9 — cũng có thể có đỉnh áp lực tương ứng.</w:t>
      </w:r>
    </w:p>
    <w:p w:rsidR="00694D6F" w:rsidRDefault="00694D6F" w:rsidP="00694D6F">
      <w:pPr>
        <w:ind w:firstLine="567"/>
        <w:jc w:val="both"/>
      </w:pPr>
      <w:r>
        <w:t>Khảo sát 3.910 học sinh trung học phổ thông Hà Nội của Phạm Thị Thu Hoa và cộng sự (2024) bằng thang GAD-7 ghi nhận 40,6% học sinh có nguy cơ lo âu, trong đó học tập được xác định là yếu tố liên quan hàng đầu. Khảo sát 976 học sinh trung học phổ thông Thành phố Hồ Chí Minh của Trần Hồ Vĩnh Lộc và cộng sự (2024) bằng thang DASS-Y kết luận áp lực học tập là yếu tố nguy cơ mạnh đối với lo âu, với tỷ số tỷ lệ hiện mắc hiệu chỉnh đạt 2,82 ở nhóm chịu áp lực học tập mức nặng so với nhóm nhẹ — một hiệu ứng đáng kể về mặt lâm sàng. Mặc dù phần lớn dữ liệu Việt Nam thuộc bậc trung học phổ thông, hướng của hiệu ứng nhất quán với bằng chứng quốc tế và gợi ý áp lực học tập là yếu tố nguy cơ ổn định xuyên cấp học. Ba nghiên cứu Việt Nam đo lo âu bằng các thang chuẩn hóa khác nhau (Trần Thị Mỵ Lương sử dụng DASS-42, Phạm Thị Thu Hoa sử dụng GAD-7, Trần Hồ Vĩnh Lộc sử dụng DASS-Y), điều này vừa làm tăng tính khả tin chung khi các hướng tác động đồng quy về một kết luận, vừa tạo ra khó khăn khi so sánh ngưỡng tỷ lệ giữa các nghiên cứu; riêng nghiên cứu của Đinh Thị Hồng Vân và cộng sự (2021) sử dụng bộ câu hỏi đo các nguồn gây lo âu trường học nên chỉ có thể đối chiếu hướng của hiệu ứng chứ không trực tiếp so sánh ngưỡng tỷ lệ.</w:t>
      </w:r>
    </w:p>
    <w:p w:rsidR="00694D6F" w:rsidRDefault="00694D6F" w:rsidP="00694D6F">
      <w:pPr>
        <w:ind w:firstLine="567"/>
        <w:jc w:val="both"/>
      </w:pPr>
      <w:r>
        <w:t>Sự dịch chuyển môn học từ tiểu học lên trung học cơ sở — đặc biệt là sự xuất hiện đột ngột của nhiều môn chuyên sâu, hệ thống đánh giá đa môn và việc chuyển đổi giáo viên — về mặt lý thuyết cũng là một nguồn áp lực đáng kể đối với học sinh; các giai đoạn chuyển cấp thường được xem là thời điểm cao của triệu chứng lo âu học đường. Ngoài chuyển cấp tiểu học – THCS, lứa tuổi này còn trùng với khởi đầu dậy thì, làm gia tăng biến thiên về khí chất, hình thể và quan hệ xã hội — các yếu tố vừa độc lập vừa cộng dồn với áp lực học tập. Mặc dù dữ liệu Việt Nam phần lớn mang tính cắt ngang, hướng của hiệu ứng nhất quán với bằng chứng quốc tế và đủ căn cứ để định vị áp lực học tập là yếu tố nguy cơ trung tâm cần ưu tiên trong các nghiên cứu can thiệp tiếp theo.</w:t>
      </w:r>
    </w:p>
    <w:p w:rsidR="00694D6F" w:rsidRDefault="00694D6F" w:rsidP="00694D6F">
      <w:pPr>
        <w:ind w:firstLine="567"/>
        <w:jc w:val="both"/>
      </w:pPr>
      <w:r>
        <w:lastRenderedPageBreak/>
        <w:t>Trên phương diện cơ chế, áp lực học tập kéo dài tác động lên lo âu qua ít nhất bốn đường dẫn song song. Đường dẫn sinh học gồm kích hoạt mạn tính hệ trục hạ đồi – tuyến yên – thượng thận, làm rối loạn nhịp tiết cortisol và giảm chất lượng giấc ngủ; mất ngủ kéo dài lại làm giảm khả năng điều tiết cảm xúc ngày hôm sau, tạo vòng xoáy âm tính. Đường dẫn nhận thức gồm xu hướng diễn giải tiêu cực các tín hiệu kết quả học tập, phóng đại ý nghĩa của một lần thi không đạt và khái quát hóa thất bại sang đánh giá tổng thể về bản thân. Đường dẫn hành vi gồm né tránh các tình huống đánh giá học thuật và giảm tham gia hoạt động ngoài giờ, làm thu hẹp nguồn hỗ trợ xã hội. Đường dẫn quan hệ gồm xung đột với cha mẹ về kỳ vọng học tập, gây mất hỗ trợ tình cảm ở thời điểm học sinh cần nhất. Bốn đường dẫn này thường đồng tồn tại, nên các thiết kế đo lường tương lai nên tích hợp chỉ số sinh học (giấc ngủ, cortisol nếu khả thi), chỉ số nhận thức – cảm xúc (thang lo âu thi cử, kiểm tra tự nhận thức) và chỉ số quan hệ (chất lượng quan hệ với cha mẹ) thay vì chỉ đo một mặt.</w:t>
      </w:r>
    </w:p>
    <w:p w:rsidR="00694D6F" w:rsidRDefault="00694D6F" w:rsidP="00694D6F">
      <w:pPr>
        <w:ind w:firstLine="567"/>
        <w:jc w:val="both"/>
      </w:pPr>
      <w:r>
        <w:t>Bên cạnh các đường dẫn cá nhân – nhận thức, áp lực học tập tại Việt Nam có một đặc thù văn hóa cần được nêu rõ: trục kỳ vọng gia đình. Quan niệm về thành tích học tập như thước đo trách nhiệm hiếu thảo và thước đo địa vị xã hội của gia đình làm cho áp lực học tập của HSTHCS không chỉ là yêu cầu nội tại của nhà trường mà còn là sự cộng hưởng liên tục giữa kỳ vọng cha mẹ, so sánh giữa các gia đình trong cộng đồng và lo lắng về chuyển cấp THCS → THPT. Đặc thù này gần với một số nền văn hóa Đông Á (Trung Quốc, Hàn Quốc, Nhật Bản) nhưng có sắc thái riêng tại Việt Nam: tỷ trọng giữa kỳ vọng học vấn và đầu tư kinh tế gia đình thường cao hơn so với một số quốc gia thu nhập trung bình khác, và sự khác biệt giữa khu vực đô thị – nông thôn về tài nguyên hỗ trợ học tập (gia sư, học thêm, học liệu số) làm cho hiệu ứng áp lực phụ thuộc mạnh vào bối cảnh xã hội học của học sinh.</w:t>
      </w:r>
    </w:p>
    <w:p w:rsidR="00694D6F" w:rsidRDefault="00694D6F" w:rsidP="00694D6F">
      <w:pPr>
        <w:ind w:firstLine="567"/>
        <w:jc w:val="both"/>
      </w:pPr>
      <w:r>
        <w:t>Một phương diện ít được khảo sát ở Việt Nam là tương tác giữa áp lực học tập và giới tính. Bằng chứng quốc tế gợi ý nữ HSTHCS có xu hướng nội tâm hóa áp lực thành lo âu và trầm cảm ở mức cao hơn, trong khi nam HSTHCS thường biểu hiện qua hành vi né tránh hoặc rối loạn hành vi — sự khác biệt này phần lớn do mô thức xã hội hóa cảm xúc theo giới. Áp dụng cho Việt Nam, dự đoán hợp lý là nữ HSTHCS chịu cùng mức áp lực học tập sẽ báo cáo triệu chứng lo âu cao hơn nam, nhưng dữ liệu phân tầng giới còn rời rạc. Các nghiên cứu tương lai cần phân tích phân tầng giới ngay từ giai đoạn thiết kế thay vì gộp chung, đồng thời nên xem xét tương tác giữa giới và mức độ áp lực thay vì chỉ so sánh hiệu ứng chính.</w:t>
      </w:r>
    </w:p>
    <w:p w:rsidR="00694D6F" w:rsidRDefault="00694D6F" w:rsidP="00694D6F">
      <w:pPr>
        <w:ind w:firstLine="567"/>
        <w:jc w:val="both"/>
      </w:pPr>
      <w:r>
        <w:t xml:space="preserve">Tổng kết về áp lực học tập: đây là yếu tố nguy cơ trung tâm có bằng chứng nhất quán xuyên các thiết kế và các quốc gia. Khoảng trống chính trong nghiên cứu Việt Nam là (i) thiếu thang đo áp lực học tập chuẩn hóa cho HSTHCS — ESSA tiếng Việt đã được dịch </w:t>
      </w:r>
      <w:r>
        <w:lastRenderedPageBreak/>
        <w:t>nhưng chưa kiểm định đầy đủ trên mẫu HSTHCS cấp quốc gia; (ii) thiếu các nghiên cứu dọc theo dõi quỹ đạo áp lực qua các thời điểm thi quan trọng (cuối học kỳ, cuối lớp 9 thi vào THPT); (iii) thiếu phân tách thành phần — kỳ vọng nhận thức, áp lực thi cử, cạnh tranh xã hội — để xác định thành phần nào có tác động mạnh nhất; (iv) thiếu phân tầng giới và phân tích tương tác giới × áp lực; (v) thiếu phân tách thành phần kỳ vọng gia đình so với kỳ vọng nhà trường, vốn có thể có cơ chế đường dẫn khác nhau.</w:t>
      </w:r>
    </w:p>
    <w:p w:rsidR="00694D6F" w:rsidRDefault="00694D6F" w:rsidP="00694D6F">
      <w:pPr>
        <w:pStyle w:val="Heading2"/>
      </w:pPr>
      <w:r>
        <w:rPr>
          <w:rFonts w:ascii="Times New Roman" w:hAnsi="Times New Roman"/>
          <w:b w:val="0"/>
          <w:i/>
          <w:color w:val="000000"/>
        </w:rPr>
        <w:t>1.1.2.2</w:t>
      </w:r>
      <w:r w:rsidRPr="00694D6F">
        <w:rPr>
          <w:rFonts w:ascii="Times New Roman" w:hAnsi="Times New Roman"/>
          <w:b w:val="0"/>
          <w:i/>
          <w:color w:val="000000"/>
        </w:rPr>
        <w:t>. Nghiện điện thoại và mạng xã hội</w:t>
      </w:r>
    </w:p>
    <w:p w:rsidR="00694D6F" w:rsidRDefault="00694D6F" w:rsidP="00694D6F">
      <w:pPr>
        <w:ind w:firstLine="567"/>
        <w:jc w:val="both"/>
      </w:pPr>
      <w:r>
        <w:t>Khái niệm nghiện điện thoại thông minh chưa phải là một chẩn đoán chính thức trong DSM-5 hay Phân loại Bệnh tật Quốc tế phiên bản thứ 11 (ICD-11; Tổ chức Y tế Thế giới, 2019), nhưng các nhà nghiên cứu thường phân biệt ba mức: sử dụng kéo dài, sử dụng có vấn đề, và mô thức có biểu hiện hành vi giống nghiện. Đối với HSTHCS, ranh giới giữa các mức này quan trọng cho cả nghiên cứu lẫn can thiệp: chỉ sử dụng kéo dài hơn trung bình không đủ để kết luận có hại; cần đo lường thêm các dấu hiệu rối loạn — mất kiểm soát, ưu tiên thiết bị hơn các hoạt động bình thường, biểu hiện cai nghiện khi tách khỏi thiết bị, ảnh hưởng đến học tập và quan hệ. Hiện chưa có một thang đo chuẩn hóa duy nhất; các nghiên cứu quốc tế thường sử dụng phiên bản rút gọn của Smartphone Addiction Scale, Internet Gaming Disorder Scale hoặc các công cụ tự phát triển — gây khó khăn cho so sánh chéo.</w:t>
      </w:r>
    </w:p>
    <w:p w:rsidR="00694D6F" w:rsidRDefault="00694D6F" w:rsidP="00694D6F">
      <w:pPr>
        <w:ind w:firstLine="567"/>
        <w:jc w:val="both"/>
      </w:pPr>
      <w:r>
        <w:t>Nghiên cứu đại diện quốc gia của Vương quốc Anh do Fassi và cộng sự (2025) thực hiện trên 3.340 vị thành niên 11–19 tuổi có đánh giá chẩn đoán lâm sàng cho thấy nhóm có rối loạn sức khỏe tâm thần được chẩn đoán dành nhiều thời gian sử dụng mạng xã hội hơn nhóm không có rối loạn, với chênh lệch ở mức trung bình (Hedges g = 0,46); riêng nhóm có rối loạn dạng hướng nội — bao gồm lo âu — đạt mức chênh cao hơn (g = 0,62). Điểm mạnh đặc biệt của thiết kế này so với các nghiên cứu chỉ dựa trên sàng lọc tự báo cáo là việc tách rõ nhóm có rối loạn được chẩn đoán lâm sàng so với nhóm chứng, qua đó giảm thiên lệch tự lựa chọn. Mức hiệu ứng trung bình – cao ở phân nhóm hướng nội (lo âu và trầm cảm) củng cố giả thuyết rằng mối liên hệ giữa sử dụng mạng xã hội và lo âu không chỉ là tương quan chung mà tập trung mạnh ở các rối loạn cảm xúc nội tâm.</w:t>
      </w:r>
    </w:p>
    <w:p w:rsidR="00694D6F" w:rsidRDefault="00694D6F" w:rsidP="00694D6F">
      <w:pPr>
        <w:ind w:firstLine="567"/>
        <w:jc w:val="both"/>
      </w:pPr>
      <w:r>
        <w:t xml:space="preserve">Brunborg và cộng sự (2025) công bố trên Social Science &amp; Medicine phân tích 979.043 vị thành niên Na Uy từ 1.417 khảo sát cấp thành phố giai đoạn 2011–2024 bằng phương pháp decomposition. Phân tích này đặc biệt giá trị vì hai lý do: quy mô gần một triệu cá nhân cho phép phát hiện cả những hiệu ứng nhỏ, và thiết kế chuỗi thời gian cho phép quy chiếu xu hướng tăng căng thẳng tâm thần ở vị thành niên Na Uy về các yếu tố giải thích có thể đo lường được. Trong các nhóm yếu tố đưa vào mô hình decomposition, mức không hài lòng </w:t>
      </w:r>
      <w:r>
        <w:lastRenderedPageBreak/>
        <w:t>với trường học nổi lên như yếu tố có đóng góp giải thích lớn nhất, trong khi sử dụng mạng xã hội xuất hiện như một trong các yếu tố giải thích bổ sung — không phải nguyên nhân toàn bộ và không phải mạnh nhất, nhưng đủ lớn để hỗ trợ luận điểm rằng mạng xã hội là một yếu tố nguy cơ mới cần được tích hợp vào khung dịch tễ vị thành niên ở các quốc gia có tỷ lệ phổ cập smartphone cao. Hệ quả phương pháp luận trực tiếp đối với Việt Nam là khi thiết kế các nghiên cứu giải thích xu hướng tăng lo âu, cần đặt mạng xã hội trong cùng mô hình với các yếu tố trường học và gia đình thay vì đo độc lập.</w:t>
      </w:r>
    </w:p>
    <w:p w:rsidR="00694D6F" w:rsidRDefault="00694D6F" w:rsidP="00694D6F">
      <w:pPr>
        <w:ind w:firstLine="567"/>
        <w:jc w:val="both"/>
      </w:pPr>
      <w:r>
        <w:t>Tại Việt Nam, khảo sát của Hoàng Trung Học và Nguyễn Thùy Dung (2025) trên mẫu phân tích 8.389 học sinh khối 6–12 (8.473 học sinh được tuyển chọn ban đầu, 8.389 đưa vào phân tích sau khi loại bỏ dữ liệu không đầy đủ) xác định việc sử dụng thiết bị điện tử kéo dài là một trong các yếu tố liên hệ thuận với mức độ lo âu, được ghi nhận cả trong và sau đại dịch COVID-19. Mẫu này có quy mô lớn và phủ sáu tỉnh, nhưng đo lường sử dụng thiết bị chỉ ở mức thời lượng (giờ/ngày) chứ chưa dùng thang nghiện chuẩn hóa, do đó không thể phân biệt sử dụng kéo dài vô hại với sử dụng có biểu hiện rối loạn hành vi. Các nghiên cứu Việt Nam đo lường trực tiếp nghiện điện thoại thông minh bằng công cụ chuẩn hóa trên học sinh trung học cơ sở vẫn còn rất hạn chế — đây là một khoảng trống cần được lấp đầy. Bằng chứng quốc tế hiện có đã đủ để xếp nghiện điện thoại thông minh vào nhóm yếu tố nguy cơ trọng yếu cần được ưu tiên khảo sát trong bối cảnh Việt Nam, đặc biệt khi tỷ lệ sở hữu smartphone ở HSTHCS đô thị đã tiệm cận bão hòa.</w:t>
      </w:r>
    </w:p>
    <w:p w:rsidR="00694D6F" w:rsidRDefault="00694D6F" w:rsidP="00694D6F">
      <w:pPr>
        <w:ind w:firstLine="567"/>
        <w:jc w:val="both"/>
      </w:pPr>
      <w:r>
        <w:t>Mặc dù chưa có nghiên cứu dọc quy mô lớn tại Việt Nam đánh giá quan hệ nhân – quả, các bằng chứng cắt ngang đã đủ thuyết phục để xếp nghiện điện thoại thông minh vào nhóm yếu tố nguy cơ trọng yếu. Cơ chế đề xuất gồm thay thế giấc ngủ — khi học sinh dùng điện thoại đến khuya, thời lượng và chất lượng ngủ giảm, làm suy yếu năng lực điều tiết cảm xúc ngày hôm sau; kích thích so sánh xã hội qua hình ảnh — nội dung được lọc và biên tập trên mạng xã hội tạo ra chuẩn so sánh phi thực tế về ngoại hình, thành tích và đời sống, làm gia tăng tự đánh giá tiêu cực; làm gián đoạn củng cố trí nhớ học tập — thông báo và nội dung kích động xen kẽ làm phân tán chú ý trong giờ tự học; và gia tăng phơi nhiễm nội dung gây kích động — bao gồm tin tức tiêu cực, nội dung bạo lực và các trào lưu so sánh có hại — qua đó nhân lên ảnh hưởng của áp lực học tập đã trình bày ở mục trước. Các cơ chế này không loại trừ nhau mà thường đồng tồn tại, nên hiệu ứng tổng trên lo âu có thể lớn hơn tổng các hiệu ứng đơn lẻ.</w:t>
      </w:r>
    </w:p>
    <w:p w:rsidR="00694D6F" w:rsidRDefault="00694D6F" w:rsidP="00694D6F">
      <w:pPr>
        <w:ind w:firstLine="567"/>
        <w:jc w:val="both"/>
      </w:pPr>
      <w:r>
        <w:t xml:space="preserve">Một đặc thù quan trọng của bối cảnh Việt Nam là sự lệch pha giữa tiếp cận thiết bị và giáo dục số. Trong khi tỷ lệ sở hữu smartphone ở HSTHCS đô thị tăng nhanh, các chương </w:t>
      </w:r>
      <w:r>
        <w:lastRenderedPageBreak/>
        <w:t>trình giáo dục an toàn số và năng lực truyền thông trong nhà trường còn chưa được tích hợp đầy đủ vào chương trình chính khóa. Hệ quả là nhiều học sinh tiếp xúc sớm với mạng xã hội mà chưa có kỹ năng phê phán nguồn thông tin, quản lý thời gian màn hình hay nhận diện các hành vi gây hại trên không gian số. Khoảng trống năng lực này không phải là một yếu tố nguy cơ độc lập, nhưng là một biến điều biến quan trọng — làm tăng độ nhạy của HSTHCS Việt Nam trước cùng một mức độ phơi nhiễm so với HSTHCS các nước có giáo dục số được triển khai sớm hơn.</w:t>
      </w:r>
    </w:p>
    <w:p w:rsidR="00694D6F" w:rsidRDefault="00694D6F" w:rsidP="00694D6F">
      <w:pPr>
        <w:ind w:firstLine="567"/>
        <w:jc w:val="both"/>
      </w:pPr>
      <w:r>
        <w:t>Một phân biệt quan trọng thường bị bỏ qua trong các khảo sát là sự khác nhau giữa loại nội dung sử dụng. Cùng một thời lượng hai giờ/ngày, học sinh sử dụng mạng xã hội để duy trì kết nối với bạn bè thân quen có quỹ đạo lo âu khác hẳn so với học sinh dành phần lớn thời gian xem nội dung so sánh xã hội (hình ảnh đời sống, thành tích, hình thể) hoặc tiếp xúc với các trào lưu nội dung gây kích động cảm xúc. Bằng chứng từ một số nghiên cứu quốc tế cho thấy loại nội dung — chứ không phải thuần túy thời lượng — là biến giải thích chính cho mối liên hệ giữa sử dụng mạng xã hội và lo âu nội tâm. Hệ quả thiết kế là các khảo sát Việt Nam tương lai cần thu thập đồng thời thời lượng, loại ứng dụng chủ yếu và đặc trưng nội dung tiêu thụ; chỉ đo giờ/ngày là không đủ.</w:t>
      </w:r>
    </w:p>
    <w:p w:rsidR="00694D6F" w:rsidRDefault="00694D6F" w:rsidP="00694D6F">
      <w:pPr>
        <w:ind w:firstLine="567"/>
        <w:jc w:val="both"/>
      </w:pPr>
      <w:r>
        <w:t>Bối cảnh nền tảng số tại Việt Nam có một đặc thù đáng nêu: tỷ trọng cao của các nền tảng video ngắn (TikTok, Reels, YouTube Shorts) trong tổng thời gian sử dụng của HSTHCS đô thị. Cấu trúc thuật toán của các nền tảng này — đề xuất nội dung liên tục theo phản hồi vi mô của người dùng — có thể duy trì trạng thái kích thích thần kinh kéo dài và làm giảm khả năng tự ngắt phiên sử dụng. Đối với HSTHCS, khi khả năng tự điều tiết hành vi còn đang trong quá trình phát triển, đây có thể là một cơ chế khuếch đại đặc thù mà các nghiên cứu hiện có ở Việt Nam chưa phân tích đầy đủ. Khoảng trống này gợi ý các nghiên cứu cắt ngang quy mô lớn nên bổ sung câu hỏi về phân bố thời gian giữa các loại nền tảng để có cơ sở so sánh.</w:t>
      </w:r>
    </w:p>
    <w:p w:rsidR="00694D6F" w:rsidRDefault="00694D6F" w:rsidP="00694D6F">
      <w:pPr>
        <w:ind w:firstLine="567"/>
        <w:jc w:val="both"/>
      </w:pPr>
      <w:r>
        <w:t>Tổng kết về nghiện điện thoại thông minh và mạng xã hội: đây là yếu tố nguy cơ có bằng chứng quốc tế mạnh nhưng bằng chứng nội địa còn thưa và còn hạn chế ở thang đo. Các khoảng trống chính là (i) cần một thang đo nghiện smartphone tiếng Việt được kiểm định trên HSTHCS; (ii) cần nghiên cứu dọc theo dõi quỹ đạo sử dụng và lo âu qua một số điểm thời gian; (iii) cần phân tách thời lượng sử dụng và nội dung sử dụng — vì cùng thời lượng nhưng nội dung khác nhau có thể tác động khác nhau lên lo âu; (iv) cần đo phân bố thời gian theo loại nền tảng — đặc biệt video ngắn — để nắm bắt cơ chế khuếch đại thuật toán đặc thù với lứa tuổi này.</w:t>
      </w:r>
    </w:p>
    <w:p w:rsidR="00694D6F" w:rsidRDefault="00694D6F" w:rsidP="00694D6F">
      <w:pPr>
        <w:pStyle w:val="Heading2"/>
      </w:pPr>
      <w:r>
        <w:rPr>
          <w:rFonts w:ascii="Times New Roman" w:hAnsi="Times New Roman"/>
          <w:b w:val="0"/>
          <w:i/>
          <w:color w:val="000000"/>
        </w:rPr>
        <w:lastRenderedPageBreak/>
        <w:t>1.1.2.3</w:t>
      </w:r>
      <w:r w:rsidRPr="00694D6F">
        <w:rPr>
          <w:rFonts w:ascii="Times New Roman" w:hAnsi="Times New Roman"/>
          <w:b w:val="0"/>
          <w:i/>
          <w:color w:val="000000"/>
        </w:rPr>
        <w:t>. Bắt nạt thể chất</w:t>
      </w:r>
    </w:p>
    <w:p w:rsidR="00694D6F" w:rsidRDefault="00694D6F" w:rsidP="00694D6F">
      <w:pPr>
        <w:ind w:firstLine="567"/>
        <w:jc w:val="both"/>
      </w:pPr>
      <w:r>
        <w:t>Phân tích tổng hợp của Moore và cộng sự (2017) công bố trên World Journal of Psychiatry tổng hợp 165 nghiên cứu (57 thuần tập tiến cứu và 108 cắt ngang) với đánh giá theo tiêu chí Bradford Hill báo cáo tỷ số chênh OR cho lo âu ở nhóm nạn nhân bắt nạt là 1,77 (khoảng tin cậy 95% từ 1,34 đến 2,33). Bên cạnh con số này, Moore và cộng sự dẫn lại các nghiên cứu trước cho thấy nhóm vừa là nạn nhân vừa là thủ phạm có nguy cơ tâm thần cao hơn nhóm chỉ là nạn nhân; tuy nhiên, các tác giả cũng nêu hạn chế là phần lớn nghiên cứu trong tổng quan của họ chưa tách rõ nhóm này. Hệ quả phương pháp luận quan trọng cho nghiên cứu Việt Nam là cần đo đồng thời cả ba vai trò — nạn nhân, thủ phạm, và nhóm vừa là nạn nhân vừa là thủ phạm — để không bỏ sót nhóm có nguy cơ cao nhất theo y văn trước.</w:t>
      </w:r>
    </w:p>
    <w:p w:rsidR="00694D6F" w:rsidRDefault="00694D6F" w:rsidP="00694D6F">
      <w:pPr>
        <w:ind w:firstLine="567"/>
        <w:jc w:val="both"/>
      </w:pPr>
      <w:r>
        <w:t>Bắt nạt thể chất hiếm khi tác động đơn lẻ mà thường tương tác với các yếu tố bối cảnh khác. Khi đi kèm với mức hỗ trợ xã hội thấp, trải nghiệm bị bắt nạt có thể khuếch đại nguy cơ lo âu ở học sinh; ngược lại, một mạng lưới hỗ trợ ổn định từ bạn bè và gia đình có thể làm giảm nhẹ tác động tiêu cực này. Cơ chế bảo vệ của hỗ trợ xã hội bao gồm cung cấp nguồn lực đối phó (cảm xúc, công cụ, thông tin), tạo ra trải nghiệm điều chỉnh thực tại — nơi học sinh được phản hồi rằng các đánh giá tiêu cực mà thủ phạm áp đặt không phải là chuẩn — và giảm cô lập xã hội, vốn là một trong các đường dẫn chính dẫn tới lo âu xã hội. Vì vậy, các nghiên cứu về bắt nạt cần đồng thời đo lường mức độ hỗ trợ xã hội để tránh đánh giá thiên lệch hiệu ứng và để mở đường cho các phân tích điều tiết (moderation analysis).</w:t>
      </w:r>
    </w:p>
    <w:p w:rsidR="00694D6F" w:rsidRDefault="00694D6F" w:rsidP="00694D6F">
      <w:pPr>
        <w:ind w:firstLine="567"/>
        <w:jc w:val="both"/>
      </w:pPr>
      <w:r>
        <w:t xml:space="preserve">Tại Việt Nam, khảo sát 420 học sinh trung học phổ thông và giáo dục thường xuyên huyện Vĩnh Bảo, Hải Phòng của Phạm Thị Ngọc và cộng sự (2024) ghi nhận học sinh từng bị bạo lực học đường có nguy cơ lo âu cao gấp 2,42 lần so với nhóm không bị (tỷ số chênh hiệu chỉnh; khoảng tin cậy 95% từ 1,03 đến 5,71). Khoảng tin cậy rộng phản ánh cỡ mẫu khu vực vừa phải nhưng vẫn vượt ngưỡng có ý nghĩa thống kê. Nghiên cứu 845 học sinh dân tộc thiểu số nội trú tỉnh Lạng Sơn của Ngô Anh Vinh và cộng sự (2024) cũng cho thấy chất lượng quan hệ bạn bè kém có liên hệ thuận với cả lo âu, stress và trầm cảm, đồng thời số trải nghiệm bất lợi thời thơ ấu liên hệ thuận với điểm lo âu. Báo cáo V-NAMHS của Viện Xã hội học và cộng sự (2022) đã đưa bắt nạt vào diện đo lường (cả trải nghiệm là nạn nhân và là thủ phạm, cùng với dạng bắt nạt) như một yếu tố bối cảnh quan trọng, tuy nhiên báo cáo Main Findings chưa công bố các ước lượng tỷ lệ tách theo từng dạng — đây sẽ là một bổ sung quan trọng trong các báo cáo tiếp theo hoặc các phân tích thứ cấp từ dữ liệu V-NAMHS. Hướng của các phát hiện trùng với bằng chứng quốc tế, đồng thời gợi ý rằng tại Việt Nam, bắt nạt có thể </w:t>
      </w:r>
      <w:r>
        <w:lastRenderedPageBreak/>
        <w:t>tương tác với khoảng cách kinh tế – xã hội theo vùng miền — một biến mà các nghiên cứu hiện có chưa khai thác đầy đủ.</w:t>
      </w:r>
    </w:p>
    <w:p w:rsidR="00694D6F" w:rsidRDefault="00694D6F" w:rsidP="00694D6F">
      <w:pPr>
        <w:ind w:firstLine="567"/>
        <w:jc w:val="both"/>
      </w:pPr>
      <w:r>
        <w:t>Trên phương diện cơ chế thần kinh – sinh học, bắt nạt thể chất kéo dài có thể được đặt trong khung mô hình stress mạn tính sớm, nơi các trải nghiệm đe dọa tái diễn làm nhạy cảm hóa hệ thống phát hiện đe dọa của não — bao gồm hạnh nhân và các vùng vỏ não trước trán liên quan đến điều tiết cảm xúc. Trẻ bị bắt nạt lặp lại có xu hướng phát triển cảnh giác quá mức với các tín hiệu xã hội mơ hồ, dẫn tới ngưỡng kích phát phản ứng lo âu thấp hơn — ngay cả trong các tình huống không có đe dọa thật. Hệ quả lâm sàng là lo âu xã hội và lo âu tổng quát, hai dạng phổ biến nhất ở vị thành niên. Cơ chế này có hàm ý dự phòng quan trọng: can thiệp sớm — trước khi mô hình cảnh giác quá mức được củng cố — có thể có hiệu quả cao hơn nhiều so với điều trị sau khi triệu chứng đã hình thành.</w:t>
      </w:r>
    </w:p>
    <w:p w:rsidR="00694D6F" w:rsidRDefault="00694D6F" w:rsidP="00694D6F">
      <w:pPr>
        <w:ind w:firstLine="567"/>
        <w:jc w:val="both"/>
      </w:pPr>
      <w:r>
        <w:t>Một khía cạnh ít được khảo sát ở Việt Nam là vai trò của nhóm người chứng kiến (bystanders) trong động lực bắt nạt thể chất. Mỗi sự kiện bắt nạt thường có ba vai trò: thủ phạm, nạn nhân và người chứng kiến — và phản ứng của người chứng kiến (can thiệp, im lặng, cổ vũ thủ phạm) ảnh hưởng đáng kể đến tần suất tái diễn cũng như mức độ tổn thương tâm lý của nạn nhân. Trong môi trường lớp học Việt Nam với cấu trúc lớp ổn định nhiều năm, đặc tính của mạng lưới người chứng kiến có thể là biến điều biến quan trọng — một lớp có văn hóa cổ vũ phản đối hành vi bắt nạt sẽ tạo ra hiệu ứng bảo vệ khác hẳn so với một lớp im lặng. Các nghiên cứu Việt Nam tương lai nên đo đồng thời phản ứng của người chứng kiến và đánh giá vai trò của nó như một biến cấp lớp trong mô hình hồi quy đa cấp (multilevel regression).</w:t>
      </w:r>
    </w:p>
    <w:p w:rsidR="00694D6F" w:rsidRDefault="00694D6F" w:rsidP="00694D6F">
      <w:pPr>
        <w:ind w:firstLine="567"/>
        <w:jc w:val="both"/>
      </w:pPr>
      <w:r>
        <w:t>Giai đoạn đại dịch COVID-19 và hậu đại dịch đã làm thay đổi đáng kể mô thức bắt nạt thể chất tại các trường Việt Nam. Các giai đoạn học trực tuyến kéo dài làm giảm cơ hội tiếp xúc trực tiếp và do đó giảm tỷ lệ phơi nhiễm với bắt nạt thể chất truyền thống; tuy nhiên, khi quay trở lại học trực tiếp, một số báo cáo cho thấy mô thức bắt nạt thay đổi về cấu trúc — nhóm bạn trong lớp tái cấu trúc, học sinh phải xây dựng lại quan hệ và một số cá nhân vốn có vốn xã hội yếu trước đại dịch trở nên dễ tổn thương hơn. Bằng chứng tại Việt Nam về quỹ đạo này còn thiếu hệ thống, nhưng đây là một thời điểm quan sát đặc biệt giá trị nếu được nghiên cứu dọc.</w:t>
      </w:r>
    </w:p>
    <w:p w:rsidR="00694D6F" w:rsidRDefault="00694D6F" w:rsidP="00694D6F">
      <w:pPr>
        <w:ind w:firstLine="567"/>
        <w:jc w:val="both"/>
      </w:pPr>
      <w:r>
        <w:t xml:space="preserve">Khoảng trống chính trong nghiên cứu Việt Nam về bắt nạt thể chất gồm năm điểm. Một, thiếu phân tách rõ ba vai trò: nạn nhân, thủ phạm, và nhóm vừa là nạn nhân vừa là thủ phạm — làm bỏ sót nhóm có nguy cơ cao nhất. Hai, thiếu các nghiên cứu khảo sát đồng thời cường </w:t>
      </w:r>
      <w:r>
        <w:lastRenderedPageBreak/>
        <w:t>độ, tần suất và thời điểm khởi phát bắt nạt — các đặc tính có ảnh hưởng khác nhau lên đầu ra. Ba, thiếu các phân tích tương tác giữa bắt nạt và hỗ trợ xã hội ở cấp lớp và cấp gia đình. Bốn, các nghiên cứu trên học sinh dân tộc thiểu số và học sinh nội trú còn rất ít, trong khi đây là nhóm có nguy cơ riêng do cách ly khỏi gia đình và bối cảnh văn hóa khác biệt. Năm, vai trò của người chứng kiến và mô thức biến đổi sau đại dịch chưa được nghiên cứu hệ thống mặc dù là biến điều biến quan trọng.</w:t>
      </w:r>
    </w:p>
    <w:p w:rsidR="00694D6F" w:rsidRDefault="00694D6F" w:rsidP="00694D6F">
      <w:pPr>
        <w:pStyle w:val="Heading2"/>
      </w:pPr>
      <w:r>
        <w:rPr>
          <w:rFonts w:ascii="Times New Roman" w:hAnsi="Times New Roman"/>
          <w:b w:val="0"/>
          <w:i/>
          <w:color w:val="000000"/>
        </w:rPr>
        <w:t>1.1.2.4</w:t>
      </w:r>
      <w:r w:rsidRPr="00694D6F">
        <w:rPr>
          <w:rFonts w:ascii="Times New Roman" w:hAnsi="Times New Roman"/>
          <w:b w:val="0"/>
          <w:i/>
          <w:color w:val="000000"/>
        </w:rPr>
        <w:t xml:space="preserve">. Bắt nạt bằng lời nói và bắt </w:t>
      </w:r>
      <w:r>
        <w:rPr>
          <w:rFonts w:ascii="Times New Roman" w:hAnsi="Times New Roman"/>
          <w:b w:val="0"/>
          <w:i/>
          <w:color w:val="000000"/>
        </w:rPr>
        <w:t xml:space="preserve">qua </w:t>
      </w:r>
      <w:r w:rsidRPr="00694D6F">
        <w:rPr>
          <w:rFonts w:ascii="Times New Roman" w:hAnsi="Times New Roman"/>
          <w:b w:val="0"/>
          <w:i/>
          <w:color w:val="000000"/>
        </w:rPr>
        <w:t>nạt mạng</w:t>
      </w:r>
    </w:p>
    <w:p w:rsidR="00694D6F" w:rsidRDefault="00694D6F" w:rsidP="00694D6F">
      <w:pPr>
        <w:ind w:firstLine="567"/>
        <w:jc w:val="both"/>
      </w:pPr>
      <w:r>
        <w:t>Bắt nạt bằng lời nói và bắt nạt mạng (cyberbullying) hợp thành nhóm hai dạng bắt nạt phi thể chất ngày càng được giới nghiên cứu chú ý. Trong khi bắt nạt thể chất giảm tỷ lệ tại nhiều khu vực, bắt nạt bằng lời và bắt nạt mạng lại có xu hướng ngược lại do thiếu rào cản kỹ thuật và đặc tính ẩn danh, kéo dài liên tục và có đông người chứng kiến trong môi trường trực tuyến. Phân tích tổng hợp các nghiên cứu dọc của Lee và cộng sự (2026) công bố trên tạp chí Trauma, Violence, &amp; Abuse, tổng hợp 27 nghiên cứu dọc, báo cáo hệ số tương quan tổng hợp giữa nạn nhân bắt nạt mạng và các triệu chứng sức khỏe tâm thần — bao gồm lo âu và trầm cảm — ở mức r = 0,23 (khoảng tin cậy 95% từ 0,19 đến 0,27); kích thước hiệu ứng nhỏ về mặt thống kê nhưng có ý nghĩa lâm sàng đáng kể do tỷ lệ phơi nhiễm cao và do thiết kế dọc cho phép loại trừ các giải thích nhân – quả ngược.</w:t>
      </w:r>
    </w:p>
    <w:p w:rsidR="00694D6F" w:rsidRDefault="00694D6F" w:rsidP="00694D6F">
      <w:pPr>
        <w:ind w:firstLine="567"/>
        <w:jc w:val="both"/>
      </w:pPr>
      <w:r>
        <w:t>Cơ chế khác biệt giữa bắt nạt bằng lời và bắt nạt mạng đã được y văn quốc tế bàn rộng rãi: nạn nhân bắt nạt bằng lời chịu tổn thương kéo dài hơn do tính lặp lại và khó kiểm chứng được hành vi, dẫn tới sự dè dặt khi báo cáo với người lớn — đặc biệt trong các nền văn hóa coi trọng giữ thể diện hoặc không khuyến khích tố cáo bạn bè. Bắt nạt mạng cộng thêm yếu tố mở rộng phạm vi người chứng kiến và tính bất khả xóa của các nội dung đã tổng quát. Hai yếu tố này tạo ra hiệu ứng cộng dồn trên lo âu xã hội — nạn nhân không chỉ chịu tổn thương trực tiếp mà còn lo lắng về sự hiện diện kéo dài của tổn thương trong nhận thức của cộng đồng bạn bè, một dạng tổn thương phụ mang tính dự đoán. Lưu ý phân tích tổng hợp của Moore và cộng sự (2017) đã gộp tất cả các dạng bắt nạt — thể chất, bằng lời, bắt nạt mạng — vào một biến phơi nhiễm chung, do đó kết quả OR = 1,77 ở phần trên là hiệu ứng tổng và chưa cho phép so sánh khác biệt theo dạng.</w:t>
      </w:r>
    </w:p>
    <w:p w:rsidR="00694D6F" w:rsidRDefault="00694D6F" w:rsidP="00694D6F">
      <w:pPr>
        <w:ind w:firstLine="567"/>
        <w:jc w:val="both"/>
      </w:pPr>
      <w:r>
        <w:t xml:space="preserve">Tại Việt Nam, khảo sát của Phạm Thị Ngọc và cộng sự (2024) ghi nhận học sinh không có quan hệ hòa đồng với bạn bè có nguy cơ lo âu cao gấp 2,25 lần so với nhóm hòa đồng — phản ánh tác động của loại trừ xã hội, một dạng tổn thương gần với bắt nạt bằng lời nói. Các hình thức bắt nạt bằng lời thường được phối hợp với hành vi loại trừ xã hội — chẳng hạn cô lập trong nhóm bạn lớp, từ chối ngồi gần hoặc lập nhóm trò chuyện riêng có chủ ý loại trừ </w:t>
      </w:r>
      <w:r>
        <w:t>một học sinh. Khi cộng dồn các hành vi này, tổn thương tâm lý có thể vượt xa tổn thương từ bắt nạt thể chất đơn lẻ, ngay cả khi không để lại bằng chứng vật lý. Bắt nạt mạng làm gia tăng mức độ phơi nhiễm do tính ẩn danh và khả năng tổng quát nhanh trong môi trường trực tuyến — một đặc thù đáng lưu ý trong bối cảnh phổ cập smartphone ở HSTHCS Việt Nam.</w:t>
      </w:r>
    </w:p>
    <w:p w:rsidR="00694D6F" w:rsidRDefault="00694D6F" w:rsidP="00694D6F">
      <w:pPr>
        <w:ind w:firstLine="567"/>
        <w:jc w:val="both"/>
      </w:pPr>
      <w:r>
        <w:t>Do bắt nạt bằng lời và bắt nạt mạng thường đồng phơi nhiễm, các nghiên cứu tương lai tại Việt Nam nên đo lường cả hai dạng đồng thời và chuẩn hóa một thang đo tổng hợp tiếng Việt — có thể dựa trên Cyberbullying and Online Aggression Survey hoặc Olweus Bully/Victim Questionnaire bản rút gọn. Một quan sát quan trọng khác là tính bền vững của tổn thương tâm lý ở những nạn nhân bị bắt nạt phối hợp nhiều dạng: bắt nạt thể chất có thể chấm dứt khi học sinh đổi trường hoặc đổi lớp, nhưng các nội dung bắt nạt mạng — đặc biệt là hình ảnh hoặc video lan truyền — tồn tại lâu dài trên không gian số và có thể tái xuất hiện bất ngờ trong các bối cảnh khác. Hệ quả là phản ứng lo âu có thể được tái kích hoạt thậm chí khi học sinh đã rời khỏi nhóm bạn cũ, kéo dài thời kỳ phục hồi và tăng nguy cơ chuyển thành rối loạn lo âu mạn tính. Đây là một đặc điểm cần được tính đến khi thiết kế cả các nghiên cứu dọc lẫn các can thiệp phục hồi cho nạn nhân.</w:t>
      </w:r>
    </w:p>
    <w:p w:rsidR="00694D6F" w:rsidRDefault="00694D6F" w:rsidP="00694D6F">
      <w:pPr>
        <w:ind w:firstLine="567"/>
        <w:jc w:val="both"/>
      </w:pPr>
      <w:r>
        <w:t>Một đặc thù văn hóa Việt Nam có liên quan trực tiếp đến nhận diện và can thiệp là chuẩn mực ngầm về việc không tố cáo bạn bè và giữ thể diện. Học sinh bị bắt nạt bằng lời nói thường lựa chọn im lặng hoặc tự đổ lỗi cho bản thân thay vì báo cáo với giáo viên hoặc phụ huynh; tỷ lệ báo cáo càng thấp khi mối quan hệ với người lớn xa cách hoặc khi học sinh dự đoán phản ứng từ người lớn sẽ là khiển trách thay vì hỗ trợ. Hệ quả là các thống kê chính thức về bắt nạt phi thể chất thường thấp hơn thực tế, và bắt nạt bằng lời nói có thể là yếu tố nguy cơ bị đánh giá dưới mức nhất trong số năm nhóm yếu tố của chương này. Việc khắc phục đòi hỏi kết hợp nhiều biện pháp: khảo sát ẩn danh quy mô lớn, tập huấn giáo viên về cách tiếp nhận báo cáo, và xây dựng kênh báo cáo riêng tư cho học sinh.</w:t>
      </w:r>
    </w:p>
    <w:p w:rsidR="00694D6F" w:rsidRDefault="00694D6F" w:rsidP="00694D6F">
      <w:pPr>
        <w:ind w:firstLine="567"/>
        <w:jc w:val="both"/>
      </w:pPr>
      <w:r>
        <w:t xml:space="preserve">Một quan sát chuyên biệt với bối cảnh nền tảng số tại Việt Nam là vai trò của các nhóm trò chuyện riêng (private group chats) trên Facebook Messenger và Zalo trong các vụ bắt nạt bằng lời và bắt nạt mạng. Khác với các bài đăng công khai có thể được giáo viên, phụ huynh hoặc bạn cùng lớp lớn tuổi hơn phát hiện, các nhóm trò chuyện riêng được khép kín giữa một số ít học sinh và do đó nội dung bắt nạt — bao gồm cả hình ảnh, video và lời nói — không bị phát hiện cho đến khi tác hại đã hiện rõ. Đặc tính "ẩn hơn cả ẩn danh" này đặc biệt nguy hiểm với HSTHCS vì lứa tuổi này thường chưa có chiến lược ứng phó với bắt nạt được tổ chức hóa và có xu hướng tự giải quyết trong nhóm bạn. Các nghiên cứu khảo sát ẩn danh </w:t>
      </w:r>
      <w:r>
        <w:lastRenderedPageBreak/>
        <w:t>tương lai nên có câu hỏi riêng về phơi nhiễm trong nhóm trò chuyện riêng, không chỉ trên nền tảng công khai.</w:t>
      </w:r>
    </w:p>
    <w:p w:rsidR="00694D6F" w:rsidRDefault="00694D6F" w:rsidP="00694D6F">
      <w:pPr>
        <w:ind w:firstLine="567"/>
        <w:jc w:val="both"/>
      </w:pPr>
      <w:r>
        <w:t>Đặc thù Việt Nam khác là khoảng cách lứa tuổi giữa giáo viên và học sinh trong nhận diện bắt nạt mạng. Phần lớn giáo viên hiện hành ở các trường THCS được đào tạo trong giai đoạn trước khi mạng xã hội phổ cập rộng rãi và thường không thông thuộc các nền tảng và ngôn ngữ trực tuyến mà học sinh sử dụng. Hệ quả là các báo cáo của học sinh về bắt nạt mạng có thể không được nhận diện đúng mức độ nghiêm trọng. Khuyến nghị thực tiễn là tích hợp các module đào tạo giáo viên về nhận diện bắt nạt mạng vào chương trình bồi dưỡng định kỳ, bao gồm cả việc cập nhật các nền tảng mới xuất hiện và các hình thức biến tướng của bắt nạt mạng (deepfake, chỉnh sửa hình ảnh, các trào lưu chế giễu).</w:t>
      </w:r>
    </w:p>
    <w:p w:rsidR="00694D6F" w:rsidRDefault="00694D6F" w:rsidP="00694D6F">
      <w:pPr>
        <w:ind w:firstLine="567"/>
        <w:jc w:val="both"/>
      </w:pPr>
      <w:r>
        <w:t>Tổng kết về bắt nạt bằng lời nói và bắt nạt mạng: đây là cặp yếu tố có bằng chứng quốc tế đủ mạnh (Lee và cộng sự, 2026 trên 27 nghiên cứu dọc; Moore và cộng sự, 2017 về cơ chế kéo dài) trong khi bằng chứng nội địa còn thưa và chủ yếu phản ánh loại trừ xã hội (Phạm Thị Ngọc và cộng sự, 2024). Khoảng trống chính là (i) thiếu thang đo bắt nạt mạng chuẩn hóa tiếng Việt cho HSTHCS; (ii) thiếu thiết kế đồng đo bắt nạt bằng lời và bắt nạt mạng để bóc tách hiệu ứng đồng phơi nhiễm; (iii) thiếu nghiên cứu dọc theo dõi tính bền vững của tổn thương sau khi nội dung bắt nạt mạng tiếp tục tồn tại trên không gian số; (iv) thiếu khảo sát phơi nhiễm trong nhóm trò chuyện riêng — kênh khó phát hiện nhất; (v) thiếu nghiên cứu về năng lực nhận diện bắt nạt mạng của giáo viên và phụ huynh.</w:t>
      </w:r>
    </w:p>
    <w:p w:rsidR="00694D6F" w:rsidRDefault="00694D6F" w:rsidP="00694D6F">
      <w:pPr>
        <w:pStyle w:val="Heading2"/>
      </w:pPr>
      <w:r>
        <w:rPr>
          <w:rFonts w:ascii="Times New Roman" w:hAnsi="Times New Roman"/>
          <w:b w:val="0"/>
          <w:i/>
          <w:color w:val="000000"/>
        </w:rPr>
        <w:t>1.1.2.5</w:t>
      </w:r>
      <w:r w:rsidRPr="00694D6F">
        <w:rPr>
          <w:rFonts w:ascii="Times New Roman" w:hAnsi="Times New Roman"/>
          <w:b w:val="0"/>
          <w:i/>
          <w:color w:val="000000"/>
        </w:rPr>
        <w:t>. Lòng tự trọng thấp</w:t>
      </w:r>
    </w:p>
    <w:p w:rsidR="00694D6F" w:rsidRDefault="00694D6F" w:rsidP="00694D6F">
      <w:pPr>
        <w:ind w:firstLine="567"/>
        <w:jc w:val="both"/>
      </w:pPr>
      <w:r>
        <w:t>Lòng tự trọng thấp được bổ sung như yếu tố thứ năm dựa trên hai cân nhắc đan xen. Thứ nhất, lòng tự trọng vừa là một yếu tố nguy cơ độc lập vừa là biến trung gian kết nối các yếu tố tình huống (áp lực học tập, bắt nạt, phơi nhiễm mạng xã hội) với triệu chứng lo âu. Sự kết hợp hai vai trò khiến lòng tự trọng trở thành một biến chiến lược cả về giải thích lý thuyết lẫn thiết kế can thiệp. Thứ hai, các bằng chứng phân tích tổng hợp về lòng tự trọng đã đạt mức tin cậy cao. Sowislo và Orth (2013) trong phân tích tổng hợp các nghiên cứu dọc báo cáo rằng lòng tự trọng thấp dự báo ngược triệu chứng lo âu trong tương lai với hệ số β = −0,10 — nhánh phân tích riêng cho lo âu dựa trên 18 mẫu dọc — ngay cả sau khi kiểm soát đầy đủ mức cơ sở của lo âu. Hệ số tuy nhỏ nhưng nhất quán xuyên các mẫu và thỏa các tiêu chí Bradford Hill về tính nhân – quả khi đặt cùng các bằng chứng khác.</w:t>
      </w:r>
    </w:p>
    <w:p w:rsidR="00694D6F" w:rsidRDefault="00694D6F" w:rsidP="00694D6F">
      <w:pPr>
        <w:ind w:firstLine="567"/>
        <w:jc w:val="both"/>
      </w:pPr>
      <w:r>
        <w:t xml:space="preserve">Compas và cộng sự (2017) trên hơn 80.000 trẻ em – vị thành niên xác nhận đối phó né tránh và đối phó cảm xúc tiêu cực có liên hệ thuận với lo âu, trong khi đối phó tập trung vào </w:t>
      </w:r>
      <w:r>
        <w:lastRenderedPageBreak/>
        <w:t>vấn đề có vai trò bảo vệ; lòng tự trọng được xem là yếu tố chi phối khả năng lựa chọn chiến lược đối phó thích nghi. Khi lòng tự trọng thấp, học sinh có xu hướng đánh giá khả năng kiểm soát tình huống của mình thấp hơn thực tế, dẫn tới né tránh — bỏ học, từ chối tham gia hoạt động lớp, tránh các tương tác xã hội. Né tránh giảm nhẹ căng thẳng ngắn hạn nhưng làm hẹp dần phạm vi trải nghiệm của học sinh, làm giảm cơ hội thử và sửa, qua đó củng cố niềm tin tiêu cực về bản thân — một vòng lặp âm tính cổ điển trong lý thuyết nhận thức – hành vi.</w:t>
      </w:r>
    </w:p>
    <w:p w:rsidR="00694D6F" w:rsidRDefault="00694D6F" w:rsidP="00694D6F">
      <w:pPr>
        <w:ind w:firstLine="567"/>
        <w:jc w:val="both"/>
      </w:pPr>
      <w:r>
        <w:t>Tại Việt Nam, bằng chứng định lượng trực tiếp về lòng tự trọng và lo âu ở học sinh trung học cơ sở còn rất hạn chế. Nghiên cứu của Phạm Sỹ Tiến và cộng sự (2024) trên 546 thanh thiếu niên 12–18 tuổi tại các cơ sở hỗ trợ xã hội thuộc chín tỉnh, thành phố cho thấy chất lượng chăm sóc cảm xúc có liên hệ nghịch và đáng kể với các vấn đề sức khỏe tâm thần, trong đó có lo âu (hệ số β = −0,40; p &lt; 0,001) — gợi ý vai trò của nâng đỡ cảm xúc và tự đánh giá tích cực đối với sức khỏe tâm thần của thanh thiếu niên. Khảo sát 976 học sinh trung học phổ thông Thành phố Hồ Chí Minh của Trần Hồ Vĩnh Lộc và cộng sự (2024) bằng thang DASS-Y xác định áp lực học tập là yếu tố nguy cơ mạnh đối với lo âu, với tỷ số tỷ lệ hiện mắc hiệu chỉnh đạt 2,82 ở nhóm chịu áp lực học tập mức nặng — một mức độ liên hệ mà nếu được kiểm định trong thiết kế dọc với đo lường lòng tự trọng đầy đủ, phần đáng kể có thể được trung gian qua biến tự đánh giá bản thân. Khoảng trống về đo lường trực tiếp lòng tự trọng trong các nghiên cứu trên học sinh trung học cơ sở Việt Nam cần được ưu tiên lấp đầy, ví dụ qua việc kiểm định thang Rosenberg phiên bản tiếng Việt trên mẫu HSTHCS đại diện.</w:t>
      </w:r>
    </w:p>
    <w:p w:rsidR="00694D6F" w:rsidRDefault="00694D6F" w:rsidP="00694D6F">
      <w:pPr>
        <w:jc w:val="center"/>
      </w:pPr>
    </w:p>
    <w:p w:rsidR="00694D6F" w:rsidRDefault="00694D6F" w:rsidP="00694D6F">
      <w:pPr>
        <w:ind w:firstLine="567"/>
        <w:jc w:val="both"/>
      </w:pPr>
      <w:r>
        <w:t>Trên phương diện lý thuyết, lòng tự trọng được xem như một biến trung gian quan trọng giữa các yếu tố môi trường và triệu chứng lo âu. Khi học sinh đối mặt với áp lực học tập kéo dài hoặc bị bắt nạt lặp lại, sự tự đánh giá tiêu cực về bản thân dễ trở thành chỉ báo ổn định và tổng quát sang các tình huống khác — làm cho phản ứng lo âu trở nên khái quát hơn thay vì chỉ giới hạn trong bối cảnh kích phát ban đầu. Theo đó, can thiệp nâng cao lòng tự trọng có thể đóng vai trò "đòn bẩy" — cải thiện đồng thời nhiều cấu trúc nguy cơ thay vì chỉ tác động vào từng yếu tố môi trường riêng lẻ. Đây là hàm ý thực tiễn quan trọng cho việc thiết kế các chương trình dự phòng tâm lý học đường tại Việt Nam, đặc biệt khi nguồn lực còn hạn chế và đòi hỏi can thiệp có tính tiết kiệm – hiệu quả cao.</w:t>
      </w:r>
    </w:p>
    <w:p w:rsidR="00694D6F" w:rsidRDefault="00694D6F" w:rsidP="00694D6F">
      <w:pPr>
        <w:ind w:firstLine="567"/>
        <w:jc w:val="both"/>
      </w:pPr>
      <w:r>
        <w:t xml:space="preserve">Ngoài ra, sự đồng phơi nhiễm của nhiều yếu tố nguy cơ ở cùng một học sinh là một đặc điểm quan trọng nhưng thường ít được khai thác trong các nghiên cứu cắt ngang. Một học sinh THCS Việt Nam có thể đồng thời phải đối phó với áp lực học tập cao, mạng lưới bạn bè </w:t>
      </w:r>
      <w:r>
        <w:lastRenderedPageBreak/>
        <w:t>không ổn định, sử dụng điện thoại quá nhiều và có lòng tự trọng tương đối thấp — mô hình "nguy cơ kết hợp" này khó phát hiện nếu nghiên cứu chỉ đo từng yếu tố riêng. Vì vậy, các thiết kế tương lai nên áp dụng các phương pháp phân tích đa biến hiện đại — phân tích hồ sơ tiềm ẩn (Latent Profile Analysis), mô hình phương trình cấu trúc (Structural Equation Modeling) — để bóc tách quan hệ trung gian và quan hệ tương tác giữa các yếu tố. Các phương pháp này đã được áp dụng thành công trong nhiều nghiên cứu quốc tế, song còn ít phổ biến trong nghiên cứu dịch tễ tâm thần học đường Việt Nam.</w:t>
      </w:r>
    </w:p>
    <w:p w:rsidR="00694D6F" w:rsidRDefault="00694D6F" w:rsidP="00694D6F">
      <w:pPr>
        <w:ind w:firstLine="567"/>
        <w:jc w:val="both"/>
      </w:pPr>
      <w:r>
        <w:t>Trên khung tổng hợp về điều tiết cảm xúc – đối phó, lòng tự trọng có vai trò chi phối khả năng lựa chọn chiến lược đối phó thích nghi trong tình huống căng thẳng học đường. Học sinh có lòng tự trọng cao có xu hướng chọn các chiến lược tập trung vào vấn đề hoặc đánh giá lại nhận thức, trong khi học sinh tự trọng thấp dễ chuyển sang né tránh và tự đổ lỗi. Cơ chế này có hàm ý quan trọng cho thiết kế can thiệp ở Việt Nam: các chương trình tăng cường tự trọng có thể là cánh cửa hiệu quả để cải thiện điều tiết cảm xúc rộng hơn, chứ không đơn thuần giảm triệu chứng lo âu trực tiếp. Sự tương tác giữa lòng tự trọng và áp lực học tập cũng đáng chú ý. Khi áp lực học tập cao, học sinh tự trọng thấp dễ rơi vào vòng xoáy thất bại – tự đánh giá tiêu cực – lo âu, trong khi học sinh tự trọng cao có khả năng phân tách thất bại nhất thời khỏi đánh giá tổng thể về bản thân. Việc thiết kế can thiệp đa thành phần — kết hợp giảm áp lực, tăng tự trọng và cải thiện đối phó — do đó có thể khả thi hơn so với can thiệp đơn yếu tố.</w:t>
      </w:r>
    </w:p>
    <w:p w:rsidR="00694D6F" w:rsidRDefault="00694D6F" w:rsidP="00694D6F">
      <w:pPr>
        <w:ind w:firstLine="567"/>
        <w:jc w:val="both"/>
      </w:pPr>
      <w:r>
        <w:t>Khi áp dụng khái niệm lòng tự trọng vào bối cảnh văn hóa tập thể tại Việt Nam, cần phân biệt lòng tự trọng cá nhân (self-esteem) và lòng tự trọng quan hệ (relational self-esteem) — đánh giá tích cực về bản thân dựa trên vai trò trong các mối quan hệ quan trọng (con cái, anh chị em, bạn bè). Học sinh THCS Việt Nam có thể có lòng tự trọng cá nhân thấp nhưng lòng tự trọng quan hệ trung bình hoặc cao — và ngược lại. Sự phân tách này có hệ quả thực tiễn: các thang đo Rosenberg chuẩn quốc tế nhấn mạnh chiều cá nhân và có thể không nắm bắt đầy đủ chiều quan hệ vốn quan trọng hơn trong văn hóa Việt Nam. Khi kiểm định Rosenberg phiên bản tiếng Việt cho HSTHCS, các nhà nghiên cứu nên cân nhắc bổ sung các mục đo lòng tự trọng quan hệ và đánh giá cấu trúc nhân tố trên mẫu Việt Nam thay vì giả định cấu trúc một nhân tố nguyên gốc.</w:t>
      </w:r>
    </w:p>
    <w:p w:rsidR="00694D6F" w:rsidRDefault="00694D6F" w:rsidP="00694D6F">
      <w:pPr>
        <w:ind w:firstLine="567"/>
        <w:jc w:val="both"/>
      </w:pPr>
      <w:r>
        <w:t xml:space="preserve">Trên phương diện can thiệp, các chương trình tăng cường lòng tự trọng trong trường học có hiệu quả khác nhau tùy nội dung và độ dài. Các can thiệp ngắn hạn (&lt; 6 tuần) tập trung vào tự khẳng định và phản hồi tích cực thường cho hiệu ứng tạm thời, trong khi các chương trình tích hợp huấn luyện kỹ năng đối phó, đánh giá lại nhận thức và xây dựng năng lực giải </w:t>
      </w:r>
      <w:r>
        <w:lastRenderedPageBreak/>
        <w:t>quyết vấn đề cho hiệu ứng kéo dài hơn. Đối với HSTHCS Việt Nam, một thiết kế có triển vọng là tích hợp các module lòng tự trọng vào giờ sinh hoạt lớp định kỳ và giờ Giáo dục công dân — vốn đã có sẵn trong khung chương trình hiện hành — thay vì xây dựng chương trình can thiệp riêng đòi hỏi nguồn lực phụ. Mô thức tích hợp này có lợi thế về khả năng nhân rộng và tính bền vững nhưng đòi hỏi tập huấn giáo viên một cách hệ thống và có cơ chế giám sát chất lượng triển khai.</w:t>
      </w:r>
    </w:p>
    <w:p w:rsidR="00694D6F" w:rsidRDefault="00694D6F" w:rsidP="00694D6F">
      <w:pPr>
        <w:ind w:firstLine="567"/>
        <w:jc w:val="both"/>
      </w:pPr>
      <w:r>
        <w:t>Tổng kết về lòng tự trọng thấp: đây vừa là yếu tố nguy cơ độc lập (Sowislo &amp; Orth, 2013: β = −0,10 dọc) vừa là biến trung gian kết nối các yếu tố môi trường với lo âu (Compas và cộng sự, 2017 về đối phó). Bằng chứng tại Việt Nam còn rất hạn chế và chủ yếu gián tiếp qua các thang chất lượng chăm sóc (Phạm Sỹ Tiến và cộng sự, 2024: β = −0,40). Khoảng trống chính là (i) thiếu thang Rosenberg phiên bản tiếng Việt được kiểm định trên HSTHCS, với cân nhắc bổ sung chiều quan hệ; (ii) thiếu nghiên cứu kiểm định trực tiếp vai trò trung gian của lòng tự trọng giữa áp lực học tập – bắt nạt và lo âu; (iii) thiếu thiết kế can thiệp đa thành phần tích hợp tự trọng làm trục trung tâm và thử nghiệm thực địa trên mẫu HSTHCS Việt Nam.</w:t>
      </w:r>
    </w:p>
    <w:p w:rsidR="00694D6F" w:rsidRDefault="00694D6F" w:rsidP="00694D6F">
      <w:pPr>
        <w:pStyle w:val="Heading2"/>
      </w:pPr>
      <w:r>
        <w:rPr>
          <w:rFonts w:ascii="Times New Roman" w:hAnsi="Times New Roman"/>
          <w:b w:val="0"/>
          <w:i/>
          <w:color w:val="000000"/>
        </w:rPr>
        <w:t>1.1.2.6</w:t>
      </w:r>
      <w:r w:rsidRPr="00694D6F">
        <w:rPr>
          <w:rFonts w:ascii="Times New Roman" w:hAnsi="Times New Roman"/>
          <w:b w:val="0"/>
          <w:i/>
          <w:color w:val="000000"/>
        </w:rPr>
        <w:t>. Tổng hợp năm nhóm yếu tố nguy cơ</w:t>
      </w:r>
    </w:p>
    <w:p w:rsidR="00694D6F" w:rsidRDefault="00694D6F" w:rsidP="00694D6F">
      <w:pPr>
        <w:ind w:firstLine="567"/>
        <w:jc w:val="both"/>
      </w:pPr>
      <w:r>
        <w:t>Năm nhóm yếu tố nguy cơ được phân tích ở chương đều có bằng chứng quốc tế ở mức phân tích tổng hợp với độ tin cậy cao và đều đã được ghi nhận trong các nghiên cứu Việt Nam ở quy mô khu vực hoặc đa tỉnh. Áp lực học tập và lòng tự trọng có khả năng là hai trục trung tâm — áp lực là yếu tố môi trường có tác động lớn và đo lường được, còn lòng tự trọng là biến trung gian giải thích phần lớn cơ chế. Bắt nạt — cả thể chất lẫn phi thể chất — đóng vai trò yếu tố nguy cơ thứ ba, đặc biệt khi đồng phơi nhiễm với hỗ trợ xã hội thấp. Nghiện điện thoại thông minh và mạng xã hội là yếu tố mới nổi, có bằng chứng quốc tế đủ mạnh nhưng còn hạn chế về thang đo trong nước. Sự đồng phơi nhiễm và các tương tác giữa năm nhóm tạo nên một bức tranh nguy cơ phức hợp mà các nghiên cứu đo từng yếu tố riêng chưa thể bóc tách đầy đủ.</w:t>
      </w:r>
    </w:p>
    <w:p w:rsidR="00694D6F" w:rsidRDefault="00694D6F" w:rsidP="00694D6F">
      <w:pPr>
        <w:pStyle w:val="Heading2"/>
      </w:pPr>
      <w:r>
        <w:rPr>
          <w:rFonts w:ascii="Times New Roman" w:hAnsi="Times New Roman"/>
          <w:b w:val="0"/>
          <w:i/>
          <w:color w:val="000000"/>
        </w:rPr>
        <w:t>1.1.2.7</w:t>
      </w:r>
      <w:r w:rsidRPr="00694D6F">
        <w:rPr>
          <w:rFonts w:ascii="Times New Roman" w:hAnsi="Times New Roman"/>
          <w:b w:val="0"/>
          <w:i/>
          <w:color w:val="000000"/>
        </w:rPr>
        <w:t xml:space="preserve">. Năm khoảng trống trong nghiên cứu </w:t>
      </w:r>
      <w:r w:rsidR="00D31A55">
        <w:rPr>
          <w:rFonts w:ascii="Times New Roman" w:hAnsi="Times New Roman"/>
          <w:b w:val="0"/>
          <w:i/>
          <w:color w:val="000000"/>
        </w:rPr>
        <w:t>ở Việt Nam</w:t>
      </w:r>
    </w:p>
    <w:p w:rsidR="00694D6F" w:rsidRDefault="00694D6F" w:rsidP="00694D6F">
      <w:pPr>
        <w:ind w:firstLine="567"/>
        <w:jc w:val="both"/>
      </w:pPr>
      <w:r>
        <w:t xml:space="preserve">Trên cơ sở phân tích chi tiết năm nhóm yếu tố nguy cơ ở phần kết quả nghiên cứu, năm khoảng trống chính được nhận diện. Thứ nhất, thiếu dữ liệu nghiên cứu dọc ở lứa tuổi 11–15 — công trình ba năm của Trần Thảo Vi và cộng sự (2024) trên học sinh Huế là một ngoại lệ quan trọng nhưng cỡ mẫu nhỏ và phạm vi địa lý hẹp. Thứ hai, học sinh dân tộc thiểu số và học sinh nội trú gần như chưa được khảo sát hệ thống, ngoại trừ nghiên cứu của Ngô Anh </w:t>
      </w:r>
      <w:r>
        <w:lastRenderedPageBreak/>
        <w:t>Vinh và cộng sự (2024) tại Lạng Sơn. Thứ ba, mô hình nguy cơ kết hợp chưa được kiểm định — phần lớn nghiên cứu Việt Nam đo nguy cơ đơn lẻ trong khi bằng chứng quốc tế cho thấy hiệu ứng cộng dồn vượt xa tổng các hiệu ứng đơn. Thứ tư, lòng tự trọng và các yếu tố tâm lý nội tại thường bị bỏ qua hoặc đo gián tiếp qua các thang lo âu chung. Thứ năm, bắt nạt mạng chưa có thang đo chuẩn hóa tiếng Việt và chưa được tích hợp vào điều tra dịch tễ quốc gia.</w:t>
      </w:r>
    </w:p>
    <w:p w:rsidR="000A175F" w:rsidRPr="005E7028" w:rsidRDefault="005E7028">
      <w:pPr>
        <w:rPr>
          <w:b/>
          <w:color w:val="0070C0"/>
        </w:rPr>
      </w:pPr>
      <w:r>
        <w:rPr>
          <w:b/>
          <w:color w:val="0070C0"/>
        </w:rPr>
        <w:t xml:space="preserve">1.1.3. </w:t>
      </w:r>
      <w:r w:rsidRPr="005E7028">
        <w:rPr>
          <w:b/>
          <w:color w:val="0070C0"/>
        </w:rPr>
        <w:t xml:space="preserve">Nghiên cứu về can thiệp rối loạn lo âu cho </w:t>
      </w:r>
      <w:r>
        <w:rPr>
          <w:b/>
          <w:color w:val="0070C0"/>
        </w:rPr>
        <w:t xml:space="preserve">trẻ </w:t>
      </w:r>
      <w:r w:rsidRPr="005E7028">
        <w:rPr>
          <w:b/>
          <w:color w:val="0070C0"/>
        </w:rPr>
        <w:t>vị thành niên</w:t>
      </w:r>
    </w:p>
    <w:p w:rsidR="00D265B9" w:rsidRPr="005E7028" w:rsidRDefault="005E7028" w:rsidP="00D265B9">
      <w:pPr>
        <w:pStyle w:val="Heading2"/>
        <w:rPr>
          <w:b w:val="0"/>
          <w:i/>
          <w:color w:val="0070C0"/>
        </w:rPr>
      </w:pPr>
      <w:r w:rsidRPr="005E7028">
        <w:rPr>
          <w:rFonts w:ascii="Times New Roman" w:hAnsi="Times New Roman"/>
          <w:b w:val="0"/>
          <w:i/>
          <w:color w:val="0070C0"/>
        </w:rPr>
        <w:t>1.1.3.1. Nghiên cứu xác nhận</w:t>
      </w:r>
      <w:r w:rsidR="00D265B9" w:rsidRPr="005E7028">
        <w:rPr>
          <w:rFonts w:ascii="Times New Roman" w:hAnsi="Times New Roman"/>
          <w:b w:val="0"/>
          <w:i/>
          <w:color w:val="0070C0"/>
        </w:rPr>
        <w:t xml:space="preserve"> hiệu quả </w:t>
      </w:r>
      <w:r w:rsidRPr="005E7028">
        <w:rPr>
          <w:rFonts w:ascii="Times New Roman" w:hAnsi="Times New Roman"/>
          <w:b w:val="0"/>
          <w:i/>
          <w:color w:val="0070C0"/>
        </w:rPr>
        <w:t xml:space="preserve">của tiếp cận CBT trong </w:t>
      </w:r>
      <w:r w:rsidR="00D265B9" w:rsidRPr="005E7028">
        <w:rPr>
          <w:rFonts w:ascii="Times New Roman" w:hAnsi="Times New Roman"/>
          <w:b w:val="0"/>
          <w:i/>
          <w:color w:val="0070C0"/>
        </w:rPr>
        <w:t>can thiệp</w:t>
      </w:r>
      <w:r w:rsidRPr="005E7028">
        <w:rPr>
          <w:rFonts w:ascii="Times New Roman" w:hAnsi="Times New Roman"/>
          <w:b w:val="0"/>
          <w:i/>
          <w:color w:val="0070C0"/>
        </w:rPr>
        <w:t xml:space="preserve"> rối loạn lo âu</w:t>
      </w:r>
      <w:r w:rsidR="00D265B9" w:rsidRPr="005E7028">
        <w:rPr>
          <w:rFonts w:ascii="Times New Roman" w:hAnsi="Times New Roman"/>
          <w:b w:val="0"/>
          <w:i/>
          <w:color w:val="0070C0"/>
        </w:rPr>
        <w:t xml:space="preserve"> qua thử nghiệm lâm sàng</w:t>
      </w:r>
    </w:p>
    <w:p w:rsidR="00D265B9" w:rsidRPr="006859ED" w:rsidRDefault="00D265B9" w:rsidP="00D265B9">
      <w:pPr>
        <w:ind w:firstLine="567"/>
        <w:jc w:val="both"/>
        <w:rPr>
          <w:color w:val="0070C0"/>
        </w:rPr>
      </w:pPr>
      <w:r w:rsidRPr="006859ED">
        <w:rPr>
          <w:color w:val="0070C0"/>
        </w:rPr>
        <w:t>CBT đã được kiểm định qua hơn bốn thậ</w:t>
      </w:r>
      <w:r>
        <w:rPr>
          <w:color w:val="0070C0"/>
        </w:rPr>
        <w:t>p niên</w:t>
      </w:r>
      <w:r w:rsidRPr="006859ED">
        <w:rPr>
          <w:color w:val="0070C0"/>
        </w:rPr>
        <w:t xml:space="preserve"> thử nghiệm lâm sàng trên trẻ em – vị thành niên với rối loạn lo âu. Khung CBT cổ điển được Beck (1976) đề xuất dựa trên giả định rằng các mô hình nhận thức không thích nghi duy trì các phản ứng cảm xúc tiêu cực; do đó can thiệp tập trung vào nhận diện, thử nghiệm và điều chỉnh các suy nghĩ tự động cùng các niềm tin cốt lõi. Đối với trẻ em – vị thành niên, các giao thức CBT thường tích hợp thêm các thành phần hành vi như tiếp xúc dần (graded exposure), kỹ thuật thư giãn và tăng cường nhận thức cảm xúc. Thử nghiệm lâm sàng ngẫu nhiên đầu tiên về CBT cho trẻ em mắc rối loạn lo âu của Kendall (1994) báo cáo tỷ lệ cải thiện 64% ở nhóm điều trị so với 5% ở nhóm chờ điều trị, đặt nền tảng cho hàng trăm thử nghiệm tiếp theo.</w:t>
      </w:r>
    </w:p>
    <w:p w:rsidR="00D265B9" w:rsidRPr="006859ED" w:rsidRDefault="00D265B9" w:rsidP="00D265B9">
      <w:pPr>
        <w:ind w:firstLine="567"/>
        <w:jc w:val="both"/>
        <w:rPr>
          <w:color w:val="0070C0"/>
        </w:rPr>
      </w:pPr>
      <w:r w:rsidRPr="006859ED">
        <w:rPr>
          <w:color w:val="0070C0"/>
        </w:rPr>
        <w:t>Bằng chứng về hiệu quả so sánh giữa các hình thức cung cấp CBT chủ yếu đến từ nghiên cứu trên người trưởng thành. Tổng quan hệ thống và phân tích mạng lưới của Liu và cộng sự (2025) trên 52 thử nghiệm lâm sàng ngẫu nhiên ở bệnh nhân rối loạn lo âu tổng quát cho thấy CBT cá nhân đạt hiệu quả cao nhất, vượt trội so với CBT từ xa, điều trị thông thường và nhóm chứng đợi; CBT nhóm cũng vượt trội so với nhóm chứng đợi, trong khi CBT từ xa không cho thấy ưu thế rõ so với điều trị thông thường hay nhóm chứng đợi. Mặc dù mẫu nghiên cứu là người trưởng thành (tuổi trung bình khoảng 43), thứ bậc hiệu quả này là một tham chiếu hữu ích khi lựa chọn hình thức triển khai CBT cho học sinh, đồng thời cho thấy hiệu quả của một giao thức phụ thuộc đáng kể vào việc nó được thực hiện đầy đủ và có hỗ trợ chuyên môn hay không.</w:t>
      </w:r>
    </w:p>
    <w:p w:rsidR="00D265B9" w:rsidRPr="006859ED" w:rsidRDefault="00D265B9" w:rsidP="00D265B9">
      <w:pPr>
        <w:ind w:firstLine="567"/>
        <w:jc w:val="both"/>
        <w:rPr>
          <w:color w:val="0070C0"/>
        </w:rPr>
      </w:pPr>
      <w:r w:rsidRPr="006859ED">
        <w:rPr>
          <w:color w:val="0070C0"/>
        </w:rPr>
        <w:t xml:space="preserve">Cần lưu ý rằng các phát hiện từ phân tích mạng lưới trên người trưởng thành không nên được áp dụng cơ học cho lứa tuổi vị thành niên. Ở vị thành niên, một số yếu tố có thể đảo ngược thứ bậc — ví dụ CBT nhóm có thể có lợi thế bổ sung so với CBT cá nhân do tận dụng được hiệu ứng nhóm đồng đẳng, một yếu tố phát triển quan trọng ở lứa tuổi này. Hơn nữa, CBT cho vị thành niên thường có thêm thành phần làm việc với cha mẹ và giáo viên, các </w:t>
      </w:r>
      <w:r w:rsidRPr="006859ED">
        <w:rPr>
          <w:color w:val="0070C0"/>
        </w:rPr>
        <w:lastRenderedPageBreak/>
        <w:t>thành phần này không có hoặc rất hạn chế trong CBT cho người trưởng thành. Do vậy, các kết quả của Liu và cộng sự (2025) cần được diễn giải thận trọng khi áp dụng cho thiết kế can thiệp HSTHCS Việt Nam, và lý tưởng nhất là được bổ sung bằng các phân tích mạng lưới riêng cho lứa tuổi vị thành niên trong tương lai.</w:t>
      </w:r>
    </w:p>
    <w:p w:rsidR="00D265B9" w:rsidRPr="006859ED" w:rsidRDefault="00D265B9" w:rsidP="00D265B9">
      <w:pPr>
        <w:ind w:firstLine="567"/>
        <w:jc w:val="both"/>
        <w:rPr>
          <w:color w:val="0070C0"/>
        </w:rPr>
      </w:pPr>
      <w:r w:rsidRPr="006859ED">
        <w:rPr>
          <w:color w:val="0070C0"/>
        </w:rPr>
        <w:t>Đối với rối loạn lo âu xã hội – một trong những dạng phổ biến ở giai đoạn đầu vị thành niên – phân tích mạng lưới của Xian và cộng sự (2024) trên 30 thử nghiệm lâm sàng ngẫu nhiên ở trẻ em và vị thành niên xác định các hình thức CBT chiếm những vị trí xếp hạng hiệu quả cao nhất, trong đó CBT qua internet đứng đầu (chỉ số diện tích dưới đường xếp hạng tích lũy (SUCRA) 71,2%), tiếp đến là CBT nhóm và CBT cá nhân. Praptomojati và cộng sự (2024) trong tổng quan hệ thống các phiên bản CBT thích nghi văn hóa (CA-CBT) cho rối loạn lo âu tại Đông Nam Á nhận định rằng các yếu tố như tôn giáo, gia đình mở rộng và quan niệm cộng đồng về sức khỏe tâm thần cần được tích hợp tường minh vào giao thức nhằm nâng cao hiệu quả ở khu vực này. Compas và cộng sự (2017) trên 80.850 trẻ em – vị thành niên xác nhận rằng đối phó tập trung vào vấn đề và đánh giá lại nhận thức có liên hệ ngược chiều và bền vững với triệu chứng lo âu – trầm cảm, củng cố cho nền tảng lý thuyết của CBT.</w:t>
      </w:r>
    </w:p>
    <w:p w:rsidR="00D265B9" w:rsidRPr="006859ED" w:rsidRDefault="00D265B9" w:rsidP="00D265B9">
      <w:pPr>
        <w:ind w:firstLine="567"/>
        <w:jc w:val="both"/>
        <w:rPr>
          <w:color w:val="0070C0"/>
        </w:rPr>
      </w:pPr>
      <w:r w:rsidRPr="006859ED">
        <w:rPr>
          <w:color w:val="0070C0"/>
        </w:rPr>
        <w:t>Hai giao thức CBT nền tảng cần được nhắc đến chi tiết. Chương trình Coping Cat của Kendall (1994), được thiết kế cho trẻ 9–13 tuổi, có cấu trúc 16 buổi chia làm hai pha: 8 buổi đầu tập trung vào kỹ năng (nhận diện cảm xúc, kỹ thuật thư giãn, tái cấu trúc nhận thức, lập kế hoạch ứng phó), 8 buổi sau tập trung vào thực hành – tiếp xúc dần với các tình huống gây lo âu. Coping Cat đã được dịch và bản địa hóa ở hơn 15 quốc gia. Chương trình can thiệp gia đình của Barrett, Dadds và Rapee (1996) – tiền thân của giao thức FRIENDS – bổ sung thành phần làm việc với cha mẹ vào giao thức CBT cá nhân, dựa trên giả thuyết rằng cách phản ứng của cha mẹ trước các tình huống lo âu của con có thể duy trì hoặc làm trầm trọng triệu chứng. Nghiên cứu báo cáo nhóm có gia đình tham gia đạt tỷ lệ không còn chẩn đoán cao hơn nhóm CBT đơn thuần (84% so với 57%) sau 12 tháng theo dõi. Hai mô hình này đặt nền tảng cho hầu hết các giao thức CBT cho rối loạn lo âu trẻ em – vị thành niên hiện nay.</w:t>
      </w:r>
    </w:p>
    <w:p w:rsidR="00D265B9" w:rsidRPr="006859ED" w:rsidRDefault="00D265B9" w:rsidP="00D265B9">
      <w:pPr>
        <w:ind w:firstLine="567"/>
        <w:jc w:val="both"/>
        <w:rPr>
          <w:color w:val="0070C0"/>
        </w:rPr>
      </w:pPr>
      <w:r w:rsidRPr="006859ED">
        <w:rPr>
          <w:color w:val="0070C0"/>
        </w:rPr>
        <w:t xml:space="preserve">Tại Việt Nam, các nghiên cứu can thiệp dựa trên CBT trên học sinh trung học cơ sở còn rất hạn chế. Luận án tiến sĩ y học của Trần Nguyễn Ngọc (2018) tại Trường Đại học Y Hà Nội đánh giá hiệu quả của liệu pháp thư giãn luyện tập — một thành phần hành vi của CBT — trên bệnh nhân rối loạn lo âu tổng quát; mặc dù mẫu là người trưởng thành chứ không phải học sinh trung học cơ sở, công trình cung cấp dữ liệu về hiệu quả của kỹ thuật thư giãn trong bối cảnh Việt Nam. Chương trình Happy House do Tran và cộng sự (2023) thử nghiệm trong khuôn khổ hợp tác Việt – Úc đã đánh giá một can thiệp nâng cao sức khỏe tâm thần phổ quát </w:t>
      </w:r>
      <w:r w:rsidRPr="006859ED">
        <w:rPr>
          <w:color w:val="0070C0"/>
        </w:rPr>
        <w:lastRenderedPageBreak/>
        <w:t>theo mô hình thử nghiệm hai nhánh có đối chứng trên 1.084 học sinh trung học phổ thông tại Hà Nội. Tuy nhiên, các thử nghiệm lâm sàng ngẫu nhiên đa trung tâm trên mẫu học sinh trung học cơ sở Việt Nam vẫn chưa được triển khai.</w:t>
      </w:r>
    </w:p>
    <w:p w:rsidR="00D265B9" w:rsidRPr="006859ED" w:rsidRDefault="00D265B9" w:rsidP="00D265B9">
      <w:pPr>
        <w:ind w:firstLine="567"/>
        <w:jc w:val="both"/>
        <w:rPr>
          <w:color w:val="0070C0"/>
        </w:rPr>
      </w:pPr>
      <w:r w:rsidRPr="006859ED">
        <w:rPr>
          <w:color w:val="0070C0"/>
        </w:rPr>
        <w:t>Một số rào cản triển khai CBT tại Việt Nam cần được nhận diện: (i) khan hiếm chuyên gia tâm lý lâm sàng được đào tạo bài bản về CBT, đặc biệt cho trẻ em – vị thành niên; (ii) chi phí can thiệp CBT cá nhân 12–16 buổi vượt khả năng chi trả của phần lớn gia đình ở khu vực nông thôn; (iii) thiếu các bảng kiểm năng lực CBT được dịch và thích nghi cho ngữ cảnh Việt Nam, dẫn tới khó kiểm soát chất lượng triển khai khi mở rộng quy mô; (iv) thiếu các thang đo lo âu cho trẻ em được chuẩn hóa đầy đủ ở Việt Nam — phần lớn nghiên cứu hiện nay dùng các phiên bản tiếng Việt chưa qua quy trình thẩm định toàn diện.</w:t>
      </w:r>
    </w:p>
    <w:p w:rsidR="00D265B9" w:rsidRPr="006859ED" w:rsidRDefault="00D265B9" w:rsidP="00D265B9">
      <w:pPr>
        <w:ind w:firstLine="567"/>
        <w:jc w:val="both"/>
        <w:rPr>
          <w:color w:val="0070C0"/>
        </w:rPr>
      </w:pPr>
      <w:r w:rsidRPr="006859ED">
        <w:rPr>
          <w:color w:val="0070C0"/>
        </w:rPr>
        <w:t xml:space="preserve">Bối cảnh văn hóa Việt Nam cũng đặt ra một số nội dung cần lưu ý khi bản địa hóa CBT. Thứ nhất là vai trò của gia đình mở rộng – ông bà, cô dì chú bác – trong việc nuôi dạy con cái; điều này khác với mô hình hạt nhân được giả định trong nhiều giao thức gốc của phương Tây. Việc huy động các thành viên gia đình mở rộng trong vai trò đồng minh có thể tăng độ tuân thủ giao thức, đặc biệt với các bài tập về nhà giữa các buổi. Thứ hai là khái niệm "bệnh tâm thần" trong nhận thức cộng đồng vẫn còn nặng tính kỳ thị, khiến quá trình tham gia điều trị thường bị chậm trễ và tâm lý tự đổ lỗi gia tăng. Thứ ba là tôn giáo và tín ngưỡng có thể đóng vai trò vừa bảo vệ vừa cản trở: niềm tin tâm linh có thể tạo nguồn an ủi, song cũng có thể dẫn tới việc tìm đến các biện pháp ngoài y học trước khi xem xét tham vấn lâm sàng (Praptomojati và cộng sự, 2024). Một giao thức CBT thích nghi văn hóa cho HSTHCS Việt Nam cần khai thác mặt tích cực của các yếu tố này – ví dụ huy động vai trò của ông bà như </w:t>
      </w:r>
      <w:r>
        <w:rPr>
          <w:color w:val="0070C0"/>
        </w:rPr>
        <w:t xml:space="preserve">người </w:t>
      </w:r>
      <w:r w:rsidRPr="006859ED">
        <w:rPr>
          <w:color w:val="0070C0"/>
        </w:rPr>
        <w:t>đồng minh trong việc duy trì bài tập về nhà – đồng thời chủ động giảm nhẹ các rào cản kỳ thị thông qua giáo dục cộng đồng đi kèm.</w:t>
      </w:r>
    </w:p>
    <w:p w:rsidR="005E7028" w:rsidRPr="005E7028" w:rsidRDefault="005E7028" w:rsidP="005E7028">
      <w:pPr>
        <w:pStyle w:val="Heading2"/>
        <w:rPr>
          <w:b w:val="0"/>
          <w:i/>
          <w:color w:val="0070C0"/>
        </w:rPr>
      </w:pPr>
      <w:r>
        <w:rPr>
          <w:rFonts w:ascii="Times New Roman" w:hAnsi="Times New Roman"/>
          <w:b w:val="0"/>
          <w:i/>
          <w:color w:val="0070C0"/>
        </w:rPr>
        <w:t>1.1.3.2</w:t>
      </w:r>
      <w:r w:rsidRPr="005E7028">
        <w:rPr>
          <w:rFonts w:ascii="Times New Roman" w:hAnsi="Times New Roman"/>
          <w:b w:val="0"/>
          <w:i/>
          <w:color w:val="0070C0"/>
        </w:rPr>
        <w:t xml:space="preserve">. Nghiên cứu </w:t>
      </w:r>
      <w:r>
        <w:rPr>
          <w:rFonts w:ascii="Times New Roman" w:hAnsi="Times New Roman"/>
          <w:b w:val="0"/>
          <w:i/>
          <w:color w:val="0070C0"/>
        </w:rPr>
        <w:t>triển khai CBT trong can thiệp rối loạn lo âu cho học sinh ở trường học</w:t>
      </w:r>
    </w:p>
    <w:p w:rsidR="00D265B9" w:rsidRPr="006859ED" w:rsidRDefault="00D265B9" w:rsidP="00D265B9">
      <w:pPr>
        <w:ind w:firstLine="567"/>
        <w:jc w:val="both"/>
        <w:rPr>
          <w:color w:val="0070C0"/>
        </w:rPr>
      </w:pPr>
      <w:r w:rsidRPr="006859ED">
        <w:rPr>
          <w:color w:val="0070C0"/>
        </w:rPr>
        <w:t>Triển khai CBT tại trường mang lại nhiều ưu thế: tiếp cận số lượng lớn học sinh, giảm rào cản kỳ thị và chi phí, và cho phép can thiệp phổ quát ngay từ khi triệu chứng còn ở mức cận lâm sàng. Theo khung Mrazek-Haggerty (1994), kênh trường học là kênh duy nhất có thể đồng thời cung cấp can thiệp ở cả ba tầng phổ quát, chọn lọc và chỉ định trong cùng một không gian vật lý, qua đó tận dụng được hiệu ứng quy mô. Tuy nhiên, các thử nghiệm tại trường thường gặp khó khăn về độ trung thành với giao thức, khả năng đào tạo giáo viên và đo lường kết cục dài hạn.</w:t>
      </w:r>
    </w:p>
    <w:p w:rsidR="00D265B9" w:rsidRPr="006859ED" w:rsidRDefault="00D265B9" w:rsidP="00D265B9">
      <w:pPr>
        <w:ind w:firstLine="567"/>
        <w:jc w:val="both"/>
        <w:rPr>
          <w:color w:val="0070C0"/>
        </w:rPr>
      </w:pPr>
      <w:r w:rsidRPr="006859ED">
        <w:rPr>
          <w:color w:val="0070C0"/>
        </w:rPr>
        <w:lastRenderedPageBreak/>
        <w:t>Phân tích tổng hợp của Cai và cộng sự (2025) trên 38 thử nghiệm lâm sàng ngẫu nhiên (21 thử nghiệm trong phân tích định lượng) về các chương trình tăng cường năng lực phục hồi tâm lý tại trường báo cáo hiệu ứng tổng hợp trên năng lực phục hồi đạt hiệu số trung bình chuẩn hóa (SMD) = 0,17 (khoảng tin cậy 95% từ 0,06 đến 0,29). Khi phân nhóm, các chương trình dựa trên chánh niệm cho hiệu ứng cao nhất (SMD = 0,57), tiếp đến là các chương trình lấy hoạt động thể thao làm trung tâm (SMD = 0,41). Mặc dù hiệu ứng tổng hợp nhỏ, các tác giả nhấn mạnh giá trị của can thiệp phổ quát quy mô lớn không qua sàng lọc – đặc biệt khi được tích hợp vào hoạt động trải nghiệm hoặc môn Giáo dục công dân; năng lực phục hồi được củng cố là một cấu trúc bảo vệ có liên quan đến việc giảm nguy cơ rối loạn lo âu.</w:t>
      </w:r>
    </w:p>
    <w:p w:rsidR="00D265B9" w:rsidRPr="006859ED" w:rsidRDefault="00D265B9" w:rsidP="00D265B9">
      <w:pPr>
        <w:ind w:firstLine="567"/>
        <w:jc w:val="both"/>
        <w:rPr>
          <w:color w:val="0070C0"/>
        </w:rPr>
      </w:pPr>
      <w:r w:rsidRPr="006859ED">
        <w:rPr>
          <w:color w:val="0070C0"/>
        </w:rPr>
        <w:t>Thử nghiệm lâm sàng ngẫu nhiên cụm của Bradshaw và cộng sự (2025) đánh giá chương trình Early Adolescent Coping Power trên 709 học sinh lớp 7 tại 40 trường trung học cơ sở của Hoa Kỳ. Chương trình rút gọn gồm 25 buổi với học sinh và 12 buổi với cha mẹ, tích hợp các thành phần CBT cốt lõi. Theo dõi đến cuối lớp 8 — khoảng một năm sau can thiệp — cho thấy nhóm can thiệp giảm các vấn đề ngoại hiện do giáo viên đánh giá so với nhóm chứng, đồng thời ghi nhận cải thiện có ý nghĩa ở một số kết cục đối với học sinh nữ. Mặc dù đối tượng gốc của chương trình này là học sinh có hành vi gây hấn chứ không phải lo âu thuần, các thành phần CBT cốt lõi có thể được bản địa hóa để hướng tới lo âu trong bối cảnh Việt Nam.</w:t>
      </w:r>
    </w:p>
    <w:p w:rsidR="00D265B9" w:rsidRPr="006859ED" w:rsidRDefault="00D265B9" w:rsidP="00D265B9">
      <w:pPr>
        <w:ind w:firstLine="567"/>
        <w:jc w:val="both"/>
        <w:rPr>
          <w:color w:val="0070C0"/>
        </w:rPr>
      </w:pPr>
      <w:r w:rsidRPr="006859ED">
        <w:rPr>
          <w:color w:val="0070C0"/>
        </w:rPr>
        <w:t>Tại Nhật Bản, Urao và cộng sự (2018, 2022) phát triển chương trình Journey of the Brave dựa trên CBT — phiên bản gốc 10 buổi × 45 phút (Urao và cộng sự, 2018) sau đó được mở rộng thành 14 buổi × 20 phút hoạt động ngắn trong lớp học (Urao và cộng sự, 2022) — thiết kế cho học sinh cuối tiểu học và được kiểm định qua các nghiên cứu tựa thực nghiệm có nhóm chứng, ghi nhận hiệu ứng giảm triệu chứng lo âu. Việc rút ngắn mỗi buổi từ 45 phút xuống 20 phút trong bản 2022 là một thay đổi thiết kế đáng chú ý — tận dụng được khe giờ ngắn giữa các tiết học chính khóa, qua đó giảm gánh nặng cho thời gian biểu của trường. Mô hình "buổi ngắn lồng ghép" này có giá trị tham khảo cao cho thiết kế chương trình tại Việt Nam, nơi quỹ thời gian dành cho hoạt động tâm lý ngoài giờ học rất hạn chế.</w:t>
      </w:r>
    </w:p>
    <w:p w:rsidR="00D265B9" w:rsidRPr="006859ED" w:rsidRDefault="00D265B9" w:rsidP="00D265B9">
      <w:pPr>
        <w:ind w:firstLine="567"/>
        <w:jc w:val="both"/>
        <w:rPr>
          <w:color w:val="0070C0"/>
        </w:rPr>
      </w:pPr>
      <w:r w:rsidRPr="006859ED">
        <w:rPr>
          <w:color w:val="0070C0"/>
        </w:rPr>
        <w:t xml:space="preserve">Tại Trung Quốc, He và cộng sự (2026) báo cáo một nghiên cứu thử nghiệm chương trình CBT trường học ngắn (Power Up – CBTD) cho học sinh có triệu chứng trầm cảm, công bố trên tạp chí Journal of Affective Disorders; chương trình cải thiện triệu chứng trầm cảm, trong khi triệu chứng lo âu có xu hướng giảm nhưng khác biệt giữa hai nhóm chưa đạt ý nghĩa thống kê — cho thấy hiệu quả tổng quát sang lo âu của các can thiệp tập trung vào trầm cảm vẫn cần được kiểm chứng thêm. Mẫu nghiên cứu gồm học sinh lớp 5, 6 và 9 tại tỉnh Hà Nam </w:t>
      </w:r>
      <w:r w:rsidRPr="006859ED">
        <w:rPr>
          <w:color w:val="0070C0"/>
        </w:rPr>
        <w:lastRenderedPageBreak/>
        <w:t>(Trung Quốc) — một thiết kế đa lứa tuổi thú vị nhưng cũng đặt ra câu hỏi về tính đồng nhất của hiệu ứng giữa các nhóm tuổi.</w:t>
      </w:r>
    </w:p>
    <w:p w:rsidR="00D265B9" w:rsidRPr="006859ED" w:rsidRDefault="00D265B9" w:rsidP="00D265B9">
      <w:pPr>
        <w:ind w:firstLine="567"/>
        <w:jc w:val="both"/>
        <w:rPr>
          <w:color w:val="0070C0"/>
        </w:rPr>
      </w:pPr>
      <w:r w:rsidRPr="006859ED">
        <w:rPr>
          <w:color w:val="0070C0"/>
        </w:rPr>
        <w:t>Tại Việt Nam, các chương trình CBT tại trường còn ở giai đoạn rất sớm. Phần lớn các trường THCS hiện nay đã có tổ tư vấn tâm lý theo Thông tư 31/2017/TT-BGDĐT, nhưng hoạt động chủ yếu là tham vấn cá nhân khi học sinh chủ động tìm đến, không phải chương trình phổ quát có cấu trúc. Khoảng trống lớn nhất tại Việt Nam là sự thiếu vắng một chương trình CBT bản địa được kiểm định trên học sinh trung học cơ sở, thiết kế phù hợp với khung chương trình môn Hoạt động trải nghiệm – Hướng nghiệp của Chương trình giáo dục phổ thông 2018. Một mô hình hai tầng có thể tham khảo: tầng phổ quát (4–6 buổi tích hợp môn học chính khóa, tập trung vào kỹ năng nhận diện cảm xúc) và tầng có chọn lọc (8–12 buổi cho học sinh được sàng lọc có triệu chứng cận lâm sàng). Việc huy động sự đồng hành của phụ huynh trong quá trình can thiệp cũng là một yếu tố cần được cân nhắc khi thiết kế chương trình cho bối cảnh văn hóa Việt Nam.</w:t>
      </w:r>
    </w:p>
    <w:p w:rsidR="00D265B9" w:rsidRPr="006859ED" w:rsidRDefault="00D265B9" w:rsidP="00D265B9">
      <w:pPr>
        <w:ind w:firstLine="567"/>
        <w:jc w:val="both"/>
        <w:rPr>
          <w:color w:val="0070C0"/>
        </w:rPr>
      </w:pPr>
      <w:r w:rsidRPr="006859ED">
        <w:rPr>
          <w:color w:val="0070C0"/>
        </w:rPr>
        <w:t>Vai trò của giáo viên chủ nhiệm trong triển khai CBT tại trường cũng cần được làm rõ. Khác với chuyên gia tâm lý lâm sàng, giáo viên chủ nhiệm có lợi thế về tần suất tiếp xúc với học sinh và hiểu biết về hoàn cảnh gia đình, song lại hạn chế về thời gian và năng lực can thiệp lâm sàng. Mô hình "giáo viên chủ nhiệm là điều phối viên – chuyên gia tâm lý là người giám sát" đã được áp dụng tại một số nước châu Á có thể là phương án phù hợp cho điều kiện Việt Nam khi nguồn lực chuyên môn còn hạn chế. Cụ thể, giáo viên chủ nhiệm có thể được đào tạo về sàng lọc sơ cấp và kỹ thuật can thiệp cơ bản trong khuôn khổ chương trình môn học, trong khi nhà tâm lý đảm nhận giám sát chuyên môn, tư vấn ca khó và tiếp nhận các trường hợp cần can thiệp sâu hơn. Việc phân tầng vai trò như vậy giúp tận dụng tối đa nguồn lực sẵn có, đồng thời bảo đảm chất lượng can thiệp cho các trường hợp phức tạp.</w:t>
      </w:r>
    </w:p>
    <w:p w:rsidR="00D265B9" w:rsidRPr="006859ED" w:rsidRDefault="00D265B9" w:rsidP="00D265B9">
      <w:pPr>
        <w:ind w:firstLine="567"/>
        <w:jc w:val="both"/>
        <w:rPr>
          <w:color w:val="0070C0"/>
        </w:rPr>
      </w:pPr>
      <w:r w:rsidRPr="006859ED">
        <w:rPr>
          <w:color w:val="0070C0"/>
        </w:rPr>
        <w:t>Một yếu tố thiết kế quan trọng cho chương trình CBT trường học là tích hợp thành phần làm việc với cha mẹ. Mô hình của Barrett, Dadds và Rapee (1996) cho thấy việc thêm các buổi làm việc với gia đình cho hiệu quả cải thiện đáng kể so với CBT cá nhân đơn thuần, đặc biệt ở lứa tuổi đầu vị thành niên khi học sinh vẫn phụ thuộc nhiều vào gia đình. Trong bối cảnh Việt Nam — nơi gia đình mở rộng có ảnh hưởng lớn tới đời sống tinh thần học sinh — thành phần này có thể có giá trị tăng thêm. Tuy nhiên, việc huy động cha mẹ tham gia các buổi tại trường gặp khó khăn do lịch làm việc, đặc biệt ở khu vực nông thôn nơi nhiều phụ huynh đi làm xa. Một giải pháp thay thế khả thi là cung cấp tài liệu cho phụ huynh qua các nhóm Zalo/Facebook của lớp, kết hợp 1–2 buổi gặp trực tiếp được tổ chức vào cuối tuần.</w:t>
      </w:r>
    </w:p>
    <w:p w:rsidR="00D265B9" w:rsidRPr="006859ED" w:rsidRDefault="00D265B9" w:rsidP="00D265B9">
      <w:pPr>
        <w:ind w:firstLine="567"/>
        <w:jc w:val="both"/>
        <w:rPr>
          <w:color w:val="0070C0"/>
        </w:rPr>
      </w:pPr>
      <w:r w:rsidRPr="006859ED">
        <w:rPr>
          <w:color w:val="0070C0"/>
        </w:rPr>
        <w:lastRenderedPageBreak/>
        <w:t>Đánh giá tính bền vững của các chương trình CBT trường học sau khi giai đoạn nghiên cứu kết thúc cũng là một thách thức quan trọng. Theo các tổng quan quốc tế, chỉ khoảng 30–40% các chương trình can thiệp được duy trì sau khi nguồn tài trợ nghiên cứu chấm dứt; phần còn lại bị thu hẹp hoặc ngừng hẳn. Các yếu tố thúc đẩy bền vững gồm: (i) sự ủng hộ của lãnh đạo trường; (ii) tích hợp chương trình vào khung môn học chính thức thay vì hoạt động ngoại khóa; (iii) cơ chế đào tạo liên tục cho giáo viên mới; (iv) nguồn tài chính ổn định từ ngân sách nhà nước hoặc các đối tác dài hạn. Khi thiết kế các thử nghiệm CBT trường học tại Việt Nam, các yếu tố này cần được lên kế hoạch ngay từ giai đoạn đầu chứ không chờ tới khi giai đoạn nghiên cứu kết thúc.</w:t>
      </w:r>
    </w:p>
    <w:p w:rsidR="005E7028" w:rsidRPr="005E7028" w:rsidRDefault="005E7028" w:rsidP="005E7028">
      <w:pPr>
        <w:pStyle w:val="Heading2"/>
        <w:rPr>
          <w:b w:val="0"/>
          <w:i/>
          <w:color w:val="0070C0"/>
        </w:rPr>
      </w:pPr>
      <w:r>
        <w:rPr>
          <w:rFonts w:ascii="Times New Roman" w:hAnsi="Times New Roman"/>
          <w:b w:val="0"/>
          <w:i/>
          <w:color w:val="0070C0"/>
        </w:rPr>
        <w:t>1.1.3.3</w:t>
      </w:r>
      <w:r w:rsidRPr="005E7028">
        <w:rPr>
          <w:rFonts w:ascii="Times New Roman" w:hAnsi="Times New Roman"/>
          <w:b w:val="0"/>
          <w:i/>
          <w:color w:val="0070C0"/>
        </w:rPr>
        <w:t xml:space="preserve">. Nghiên cứu </w:t>
      </w:r>
      <w:r>
        <w:rPr>
          <w:rFonts w:ascii="Times New Roman" w:hAnsi="Times New Roman"/>
          <w:b w:val="0"/>
          <w:i/>
          <w:color w:val="0070C0"/>
        </w:rPr>
        <w:t>triển khai CBT trong can thiệp rối loạn lo âu trên nền tảng số</w:t>
      </w:r>
    </w:p>
    <w:p w:rsidR="00D265B9" w:rsidRPr="006859ED" w:rsidRDefault="00D265B9" w:rsidP="00D265B9">
      <w:pPr>
        <w:ind w:firstLine="567"/>
        <w:jc w:val="both"/>
        <w:rPr>
          <w:color w:val="0070C0"/>
        </w:rPr>
      </w:pPr>
      <w:r w:rsidRPr="006859ED">
        <w:rPr>
          <w:color w:val="0070C0"/>
        </w:rPr>
        <w:t>Can thiệp CBT qua nền tảng số đang phát triển nhanh nhất trong lĩnh vực can thiệp lo âu vị thành niên. DMHI bao quát nhiều hình thức – từ ứng dụng độc lập, chương trình internet có hướng dẫn, đến nền tảng kết hợp giữa gặp mặt trực tiếp và trực tuyến (blended). Ưu thế lớn nhất của kênh số là khả năng tiếp cận đa số học sinh trong khi cần ít nhân lực chuyên môn; nhược điểm chính là độ tuân thủ thấp và đòi hỏi cơ sở hạ tầng công nghệ.</w:t>
      </w:r>
    </w:p>
    <w:p w:rsidR="00D265B9" w:rsidRPr="006859ED" w:rsidRDefault="00D265B9" w:rsidP="00D265B9">
      <w:pPr>
        <w:ind w:firstLine="567"/>
        <w:jc w:val="both"/>
        <w:rPr>
          <w:color w:val="0070C0"/>
        </w:rPr>
      </w:pPr>
      <w:r w:rsidRPr="006859ED">
        <w:rPr>
          <w:color w:val="0070C0"/>
        </w:rPr>
        <w:t>Phân tích tổng hợp của Walder và cộng sự (2025) trên 21 thử nghiệm lâm sàng ngẫu nhiên về can thiệp số cho rối loạn lo âu xã hội ở trẻ em, vị thành niên và thanh niên trẻ báo cáo hiệu ứng tổng hợp g = 0,508 (khoảng tin cậy 95% từ 0,31 đến 0,71). Khi phân nhóm theo mức độ hỗ trợ, các can thiệp số có hướng dẫn đạt hiệu ứng g = 0,825, cao hơn rõ rệt so với các can thiệp không hướng dẫn (g = 0,27) – cho thấy thành phần hỗ trợ chuyên môn, dù tối thiểu, vẫn đóng vai trò quan trọng đối với hiệu quả của can thiệp số. Phát hiện này có hai hàm ý quan trọng: thứ nhất, các thiết kế DMHI hoàn toàn tự động không phải lúc nào cũng tối ưu — một mức độ tương tác con người tối thiểu giúp nâng cao hiệu quả đáng kể; thứ hai, mô hình blended (tương tác trực tuyến + buổi gặp định kỳ) có thể là điểm cân bằng tốt giữa quy mô và hiệu quả.</w:t>
      </w:r>
    </w:p>
    <w:p w:rsidR="00D265B9" w:rsidRPr="006859ED" w:rsidRDefault="00D265B9" w:rsidP="00D265B9">
      <w:pPr>
        <w:ind w:firstLine="567"/>
        <w:jc w:val="both"/>
        <w:rPr>
          <w:color w:val="0070C0"/>
        </w:rPr>
      </w:pPr>
      <w:r w:rsidRPr="006859ED">
        <w:rPr>
          <w:color w:val="0070C0"/>
        </w:rPr>
        <w:t>Matsumoto và cộng sự (2024) đánh giá một chương trình CBT qua internet không hướng dẫn trên điện thoại cho vị thành niên và thanh niên trẻ Nhật Bản có rối loạn lo âu xã hội dưới ngưỡng, công bố trên tạp chí JMIR Pediatrics and Parenting. Thử nghiệm lâm sàng ngẫu nhiên đa trung tâm trên mẫu 77 người tham gia 15–25 tuổi (38 can thiệp + 39 đối chứng) báo cáo hiệu ứng g = 0,66 đối với điểm lo âu xã hội sau 10 tuần can thiệp – con số đáng chú ý vì can thiệp gần như không có sự tham gia trực tiếp của chuyên gia. Yếu tố thiết kế tương tác — bao gồm các bài tập tương tác ngắn, phản hồi cá nhân hóa và lịch nhắc — được xác định là chìa khóa duy trì sự tham gia của người dùng.</w:t>
      </w:r>
    </w:p>
    <w:p w:rsidR="00D265B9" w:rsidRPr="006859ED" w:rsidRDefault="00D265B9" w:rsidP="00D265B9">
      <w:pPr>
        <w:ind w:firstLine="567"/>
        <w:jc w:val="both"/>
        <w:rPr>
          <w:color w:val="0070C0"/>
        </w:rPr>
      </w:pPr>
      <w:r w:rsidRPr="006859ED">
        <w:rPr>
          <w:color w:val="0070C0"/>
        </w:rPr>
        <w:lastRenderedPageBreak/>
        <w:t>Thử nghiệm lâm sàng ngẫu nhiên của Bress và cộng sự (2024) công bố trên JAMA Network Open đánh giá ứng dụng Maya – một nền tảng CBT tự hướng dẫn 12 phiên trên điện thoại – trên 59 thanh niên 18–25 tuổi với rối loạn lo âu (rối loạn lo âu tổng quát 56%, rối loạn lo âu xã hội 41%). Kết quả ghi nhận hiệu ứng kích thước rất lớn trên các thang đo phụ (Anxiety Sensitivity Index Cohen d = 0,93 tại tuần 6; Liebowitz Social Anxiety Scale Cohen d = 1,07 tại tuần 12). Mặc dù mẫu chính là thanh niên trẻ chứ không phải HSTHCS, kết quả này gợi ý CBT số được thiết kế chu đáo có thể đạt hiệu quả lớn và cần được điều chỉnh cho lứa tuổi nhỏ hơn. Một hướng thiết kế đáng tham khảo là ứng dụng ClearlyMe — một nền tảng CBT số được đồng thiết kế cùng vị thành niên cho trầm cảm và lo âu (Li và cộng sự, 2022), do Black Dog Institute thuộc Đại học New South Wales (Úc) phát triển.</w:t>
      </w:r>
    </w:p>
    <w:p w:rsidR="00D265B9" w:rsidRPr="006859ED" w:rsidRDefault="00D265B9" w:rsidP="00D265B9">
      <w:pPr>
        <w:ind w:firstLine="567"/>
        <w:jc w:val="both"/>
        <w:rPr>
          <w:color w:val="0070C0"/>
        </w:rPr>
      </w:pPr>
      <w:r w:rsidRPr="006859ED">
        <w:rPr>
          <w:color w:val="0070C0"/>
        </w:rPr>
        <w:t>Tại Việt Nam, chưa có nền tảng DMHI tiếng Việt nào được kiểm định bằng thử nghiệm lâm sàng ngẫu nhiên trên HSTHCS. Một số nỗ lực bao gồm các nền tảng tham vấn trực tuyến do các tổ chức phi chính phủ vận hành, song các nền tảng này thường thiếu thành phần CBT có cấu trúc. Trong khi đó, tỷ lệ HSTHCS Việt Nam sở hữu điện thoại thông minh đã đạt mức bão hòa ở khu vực đô thị và đang tăng nhanh ở khu vực nông thôn, tạo điều kiện thuận lợi cho việc triển khai DMHI một khi nội dung phù hợp được phát triển.</w:t>
      </w:r>
    </w:p>
    <w:p w:rsidR="00D265B9" w:rsidRPr="006859ED" w:rsidRDefault="00D265B9" w:rsidP="00D265B9">
      <w:pPr>
        <w:ind w:firstLine="567"/>
        <w:jc w:val="both"/>
        <w:rPr>
          <w:color w:val="0070C0"/>
        </w:rPr>
      </w:pPr>
      <w:r w:rsidRPr="006859ED">
        <w:rPr>
          <w:color w:val="0070C0"/>
        </w:rPr>
        <w:t>Khi mở rộng quy mô triển khai DMHI tại Việt Nam, một số khía cạnh kỹ thuật cần được lập kế hoạch trước. Thứ nhất là cơ chế bảo mật dữ liệu: dữ liệu sức khỏe tâm thần của vị thành niên là loại thông tin nhạy cảm, đòi hỏi tuân thủ các nguyên tắc tối thiểu hóa thu thập, mã hóa khi lưu trữ, và minh bạch về thời gian giữ dữ liệu. Thứ hai là cơ chế cảnh báo khi học sinh có dấu hiệu tự sát hoặc tự hại: nền tảng cần có quy trình tự động phát hiện và chuyển tiếp tới cán bộ tâm lý hoặc cha mẹ – một yếu tố không thể thay bằng thuật toán đơn giản. Thứ ba là cơ chế đánh giá hiệu quả liên tục: cần thu thập dữ liệu sử dụng (engagement metrics) và dữ liệu kết cục theo thời gian thực để cho phép cải tiến lặp đi lặp lại của nền tảng. Các yêu cầu này đòi hỏi sự phối hợp chuyên môn giữa nhà tâm lý lâm sàng, kỹ sư phần mềm và chuyên gia bảo mật ngay từ giai đoạn thiết kế.</w:t>
      </w:r>
    </w:p>
    <w:p w:rsidR="00D265B9" w:rsidRPr="006859ED" w:rsidRDefault="00D265B9" w:rsidP="00D265B9">
      <w:pPr>
        <w:ind w:firstLine="567"/>
        <w:jc w:val="both"/>
        <w:rPr>
          <w:color w:val="0070C0"/>
        </w:rPr>
      </w:pPr>
      <w:r w:rsidRPr="006859ED">
        <w:rPr>
          <w:color w:val="0070C0"/>
        </w:rPr>
        <w:t xml:space="preserve">Một bài học quan trọng từ các thử nghiệm DMHI quốc tế là vai trò của giai đoạn đồng thiết kế (co-design) với người dùng cuối. Li và cộng sự (2022) khi xây dựng ClearlyMe đã tổ chức nhiều vòng góp ý với vị thành niên Úc trong giai đoạn phát triển – một quy trình kéo dài hơn một năm trước khi ứng dụng được phát hành công khai. Quá trình đồng thiết kế giúp các thành phần CBT vốn có nguồn gốc lâm sàng được "dịch" sang ngôn ngữ, hình ảnh và bối cảnh tương tác phù hợp với vị thành niên. Đối với Việt Nam, một dự án phát triển nền tảng DMHI tiếng Việt cần dành ít nhất 6–9 tháng cho giai đoạn đồng thiết kế trước khi bắt đầu thử </w:t>
      </w:r>
      <w:r w:rsidRPr="006859ED">
        <w:rPr>
          <w:color w:val="0070C0"/>
        </w:rPr>
        <w:lastRenderedPageBreak/>
        <w:t>nghiệm chính thức, với sự tham gia của các nhóm học sinh thuộc các vùng địa lý và bối cảnh kinh tế – xã hội khác nhau.</w:t>
      </w:r>
    </w:p>
    <w:p w:rsidR="00D265B9" w:rsidRDefault="00D265B9" w:rsidP="00D265B9">
      <w:pPr>
        <w:ind w:firstLine="567"/>
        <w:jc w:val="both"/>
        <w:rPr>
          <w:color w:val="0070C0"/>
        </w:rPr>
      </w:pPr>
      <w:r w:rsidRPr="006859ED">
        <w:rPr>
          <w:color w:val="0070C0"/>
        </w:rPr>
        <w:t>Bằng chứng so sánh giữa hai dạng can thiệp số quan trọng — tự hướng dẫn (self-guided) và có hướng dẫn (guided) — tiếp tục được củng cố. Walder và cộng sự (2025) ghi nhận sự chênh lệch lớn giữa hai dạng (g = 0,825 so với g = 0,27), trong khi Matsumoto và cộng sự (2024) cho thấy một thiết kế tự hướng dẫn tốt vẫn có thể đạt g = 0,66 nếu các thành phần tương tác được thiết kế khéo léo. Hai phát hiện này không mâu thuẫn — chúng cho thấy chất lượng thiết kế là yếu tố quyết định: một ứng dụng tự hướng dẫn tốt có thể tiệm cận một ứng dụng có hướng dẫn yếu, nhưng nói chung sự hiện diện của một mức độ hỗ trợ chuyên môn tối thiểu vẫn là tài sản đáng giá. Đối với Việt Nam, mô hình can thiệp số có hướng dẫn từ xa (qua nền tảng chat hoặc video call định kỳ) bởi sinh viên thạc sĩ tâm lý lâm sàng có thể là phương án vừa khả thi vừa hiệu quả.</w:t>
      </w:r>
    </w:p>
    <w:p w:rsidR="00D265B9" w:rsidRDefault="00D265B9" w:rsidP="00D265B9">
      <w:pPr>
        <w:ind w:firstLine="567"/>
        <w:jc w:val="both"/>
        <w:rPr>
          <w:color w:val="0070C0"/>
        </w:rPr>
      </w:pPr>
      <w:r w:rsidRPr="00D265B9">
        <w:rPr>
          <w:color w:val="0070C0"/>
        </w:rPr>
        <w:t>Một điểm chung quan trọng giữa ba phương thức can thiệp nói trên là vai trò của các thành phần CBT cốt lõi — tái cấu trúc nhận thức, tiếp xúc dần, kỹ thuật thư giãn — vẫn được giữ nguyên dù kênh cung cấp khác nhau. Điều này gợi ý rằng cốt lõi giao thức CBT là khá bền vững giữa các kênh, và sự khác biệt về hiệu quả phần lớn đến từ liều lượng (số buổi, độ dài mỗi buổi, có hỗ trợ chuyên gia hay không) và mức độ tương tác — chứ không phải từ thành phần lý thuyết. Phát hiện này có ý nghĩa quan trọng cho thiết kế tại Việt Nam: việc bản địa hóa nội dung văn hóa và ngôn ngữ phải đi đôi với việc duy trì các thành phần cốt lõi để bảo đảm hiệu quả lâm sàng.</w:t>
      </w:r>
    </w:p>
    <w:p w:rsidR="00877912" w:rsidRPr="003A52F8" w:rsidRDefault="00877912" w:rsidP="00877912">
      <w:pPr>
        <w:ind w:firstLine="567"/>
        <w:jc w:val="both"/>
        <w:rPr>
          <w:color w:val="0070C0"/>
        </w:rPr>
      </w:pPr>
      <w:r w:rsidRPr="003A52F8">
        <w:rPr>
          <w:color w:val="0070C0"/>
        </w:rPr>
        <w:t>Bức tranh phân tầng theo khung Mrazek-Haggerty (1994) cho thấy điểm yếu rõ rệt nhất của hệ thống can thiệp Việt Nam hiện nay nằm ở tầng phổ quát và chọn lọc — hai tầng vốn cần được tổ chức qua trường học. Trong khi tầng chỉ định (can thiệp lâm sàng) có một số nỗ lực qua các bệnh viện chuyên khoa và phòng tham vấn tâm lý tư nhân, hai tầng còn lại gần như chưa có chương trình có cấu trúc nào. Sự khiếm khuyết này đặc biệt nghiêm trọng vì hai tầng phổ quát và chọn lọc là nơi có thể can thiệp sớm khi triệu chứng còn ở mức cận lâm sàng, ngăn ngừa diễn tiến tới rối loạn lâm sàng đầy đủ — tức là nơi có hiệu suất chi phí cao nhất trong toàn hệ thống chăm sóc.</w:t>
      </w:r>
    </w:p>
    <w:p w:rsidR="005E7028" w:rsidRPr="005E7028" w:rsidRDefault="005E7028" w:rsidP="005E7028">
      <w:pPr>
        <w:pStyle w:val="Heading2"/>
        <w:rPr>
          <w:b w:val="0"/>
          <w:i/>
          <w:color w:val="0070C0"/>
        </w:rPr>
      </w:pPr>
      <w:r>
        <w:rPr>
          <w:rFonts w:ascii="Times New Roman" w:hAnsi="Times New Roman"/>
          <w:b w:val="0"/>
          <w:i/>
          <w:color w:val="0070C0"/>
        </w:rPr>
        <w:t>1.1.3.4</w:t>
      </w:r>
      <w:r w:rsidRPr="005E7028">
        <w:rPr>
          <w:rFonts w:ascii="Times New Roman" w:hAnsi="Times New Roman"/>
          <w:b w:val="0"/>
          <w:i/>
          <w:color w:val="0070C0"/>
        </w:rPr>
        <w:t xml:space="preserve">. </w:t>
      </w:r>
      <w:r>
        <w:rPr>
          <w:rFonts w:ascii="Times New Roman" w:hAnsi="Times New Roman"/>
          <w:b w:val="0"/>
          <w:i/>
          <w:color w:val="0070C0"/>
        </w:rPr>
        <w:t xml:space="preserve">Mô hình kết hợp 3 phương thức CBT và chăm sóc theo bậc </w:t>
      </w:r>
      <w:r w:rsidRPr="005E7028">
        <w:rPr>
          <w:rFonts w:ascii="Times New Roman" w:hAnsi="Times New Roman"/>
          <w:b w:val="0"/>
          <w:color w:val="0070C0"/>
        </w:rPr>
        <w:t>(stepped care)</w:t>
      </w:r>
    </w:p>
    <w:p w:rsidR="00D265B9" w:rsidRPr="006859ED" w:rsidRDefault="00D265B9" w:rsidP="00D265B9">
      <w:pPr>
        <w:ind w:firstLine="567"/>
        <w:jc w:val="both"/>
        <w:rPr>
          <w:color w:val="0070C0"/>
        </w:rPr>
      </w:pPr>
      <w:r w:rsidRPr="006859ED">
        <w:rPr>
          <w:color w:val="0070C0"/>
        </w:rPr>
        <w:t xml:space="preserve">Ngoài việc triển khai từng kênh riêng lẻ, các mô hình kết hợp giữa ba kênh đang được khuyến khích để tối ưu hiệu quả và chi phí. Mô hình chăm sóc theo bậc (stepped care) của Bower và Gilbody (2005), ban đầu được phát triển cho hệ thống dịch vụ Tâm lý điều trị tăng </w:t>
      </w:r>
      <w:r w:rsidRPr="006859ED">
        <w:rPr>
          <w:color w:val="0070C0"/>
        </w:rPr>
        <w:lastRenderedPageBreak/>
        <w:t>cường (Improving Access to Psychological Therapies – IAPT) của Vương quốc Anh, được tổ chức theo nguyên tắc: bắt đầu bằng can thiệp ít cường độ nhất phù hợp với mức triệu chứng, leo bậc lên can thiệp cường độ cao hơn khi không đáp ứng. Áp dụng vào bối cảnh lo âu vị thành niên, mô hình stepped care có thể vận hành như sau: bậc 1 là tài liệu tự giúp hoặc ứng dụng số không hướng dẫn; bậc 2 là CBT nhóm tại trường hoặc can thiệp số có hướng dẫn; bậc 3 là CBT cá nhân với chuyên gia. Các nghiên cứu cho thấy mô hình này có hiệu quả tương đương với mô hình chăm sóc truyền thống nhưng tiết kiệm khoảng 20–30% chi phí nguồn lực chuyên môn.</w:t>
      </w:r>
    </w:p>
    <w:p w:rsidR="00D265B9" w:rsidRPr="006859ED" w:rsidRDefault="00D265B9" w:rsidP="00D265B9">
      <w:pPr>
        <w:ind w:firstLine="567"/>
        <w:jc w:val="both"/>
        <w:rPr>
          <w:color w:val="0070C0"/>
        </w:rPr>
      </w:pPr>
      <w:r w:rsidRPr="006859ED">
        <w:rPr>
          <w:color w:val="0070C0"/>
        </w:rPr>
        <w:t>Mô hình can thiệp pha trộn (blended intervention) là dạng kết hợp thứ hai đáng chú ý. Trong blended, học sinh tham gia một phần qua nền tảng số (đọc tài liệu, làm bài tập tương tác, theo dõi tâm trạng) và một phần qua các buổi gặp trực tiếp định kỳ với giáo viên tâm lý hoặc chuyên gia (1–2 lần/tháng). Mô hình này có ưu thế ở việc duy trì độ tuân thủ thông qua các buổi gặp đồng thời tận dụng tính linh hoạt của nền tảng số. Các thử nghiệm sơ bộ cho thấy mô hình blended có hiệu quả tương đương CBT cá nhân truyền thống nhưng giảm 40–60% tổng thời gian tiếp xúc chuyên gia.</w:t>
      </w:r>
    </w:p>
    <w:p w:rsidR="00D265B9" w:rsidRPr="006859ED" w:rsidRDefault="00D265B9" w:rsidP="00D265B9">
      <w:pPr>
        <w:ind w:firstLine="567"/>
        <w:jc w:val="both"/>
        <w:rPr>
          <w:color w:val="0070C0"/>
        </w:rPr>
      </w:pPr>
      <w:r w:rsidRPr="006859ED">
        <w:rPr>
          <w:color w:val="0070C0"/>
        </w:rPr>
        <w:t>Đối với Việt Nam, mô hình stepped care kết hợp blended có thể là phương án triển khai khả thi nhất trong giai đoạn 2026–2030. Cụ thể, ở cấp trường THCS có thể vận hành ba bậc: bậc 1 (phổ quát) là tài liệu tâm lý lồng ghép vào môn Hoạt động trải nghiệm – Hướng nghiệp + ứng dụng số miễn phí; bậc 2 (chọn lọc/chỉ định nhẹ) là CBT nhóm 6–8 buổi do giáo viên tâm lý dẫn dắt, kết hợp ứng dụng số làm bài tập về nhà; bậc 3 (chỉ định nặng) là CBT cá nhân tại trung tâm tâm lý tuyến tỉnh hoặc bệnh viện chuyên khoa. Mô hình này cho phép sử dụng hiệu quả nguồn nhân lực chuyên môn vốn rất hạn chế của Việt Nam, đồng thời tạo cơ chế chuyển tuyến rõ ràng giữa các tầng.</w:t>
      </w:r>
    </w:p>
    <w:p w:rsidR="00D265B9" w:rsidRDefault="00D265B9" w:rsidP="00D265B9">
      <w:pPr>
        <w:ind w:firstLine="567"/>
        <w:jc w:val="both"/>
        <w:rPr>
          <w:color w:val="0070C0"/>
        </w:rPr>
      </w:pPr>
      <w:r w:rsidRPr="006859ED">
        <w:rPr>
          <w:color w:val="0070C0"/>
        </w:rPr>
        <w:t>Một thách thức quan trọng đối với mô hình stepped care là việc xác định ngưỡng "không đáp ứng" để chuyển bậc. Trong các hệ thống quốc tế, ngưỡng này thường được đặt theo tỷ lệ giảm điểm trên các thang đo chuẩn hóa sau một thời gian can thiệp (ví dụ giảm dưới 50% sau 6 tuần). Tại Việt Nam, chưa có quy trình chuẩn hóa nào cho ngưỡng này, và việc xây dựng quy trình đó là một trong những nhiệm vụ cần ưu tiên khi triển khai mô hình stepped care.</w:t>
      </w:r>
    </w:p>
    <w:p w:rsidR="00D265B9" w:rsidRPr="00482AE9" w:rsidRDefault="005E7028" w:rsidP="00D265B9">
      <w:pPr>
        <w:pStyle w:val="Heading2"/>
        <w:rPr>
          <w:b w:val="0"/>
          <w:i/>
          <w:color w:val="0070C0"/>
        </w:rPr>
      </w:pPr>
      <w:r w:rsidRPr="00482AE9">
        <w:rPr>
          <w:rFonts w:ascii="Times New Roman" w:hAnsi="Times New Roman"/>
          <w:b w:val="0"/>
          <w:i/>
          <w:color w:val="0070C0"/>
        </w:rPr>
        <w:t>1.2.3.5.</w:t>
      </w:r>
      <w:r w:rsidR="00D265B9" w:rsidRPr="00482AE9">
        <w:rPr>
          <w:rFonts w:ascii="Times New Roman" w:hAnsi="Times New Roman"/>
          <w:b w:val="0"/>
          <w:i/>
          <w:color w:val="0070C0"/>
        </w:rPr>
        <w:t xml:space="preserve"> Năm khoảng trống trong nghiên cứu can thiệp </w:t>
      </w:r>
      <w:r w:rsidR="00482AE9">
        <w:rPr>
          <w:rFonts w:ascii="Times New Roman" w:hAnsi="Times New Roman"/>
          <w:b w:val="0"/>
          <w:i/>
          <w:color w:val="0070C0"/>
        </w:rPr>
        <w:t xml:space="preserve">rối loạn lo âu cho trẻ vị thành niên </w:t>
      </w:r>
      <w:r w:rsidR="00D265B9" w:rsidRPr="00482AE9">
        <w:rPr>
          <w:rFonts w:ascii="Times New Roman" w:hAnsi="Times New Roman"/>
          <w:b w:val="0"/>
          <w:i/>
          <w:color w:val="0070C0"/>
        </w:rPr>
        <w:t>tại Việt Nam</w:t>
      </w:r>
    </w:p>
    <w:p w:rsidR="00D265B9" w:rsidRPr="006859ED" w:rsidRDefault="00D265B9" w:rsidP="00D265B9">
      <w:pPr>
        <w:ind w:firstLine="567"/>
        <w:jc w:val="both"/>
        <w:rPr>
          <w:color w:val="0070C0"/>
        </w:rPr>
      </w:pPr>
      <w:r w:rsidRPr="006859ED">
        <w:rPr>
          <w:color w:val="0070C0"/>
        </w:rPr>
        <w:t>Trên cơ sở khung phân tích ba kênh × ba tầng, có thể nhận diện năm khoảng trống chính trong nghiên cứu can thiệp cho HSTHCS Việt Nam.</w:t>
      </w:r>
    </w:p>
    <w:p w:rsidR="00D265B9" w:rsidRPr="006859ED" w:rsidRDefault="00D265B9" w:rsidP="00D265B9">
      <w:pPr>
        <w:ind w:firstLine="567"/>
        <w:jc w:val="both"/>
        <w:rPr>
          <w:color w:val="0070C0"/>
        </w:rPr>
      </w:pPr>
      <w:r w:rsidRPr="006859ED">
        <w:rPr>
          <w:color w:val="0070C0"/>
        </w:rPr>
        <w:lastRenderedPageBreak/>
        <w:t>Thứ nhất, thiếu thử nghiệm lâm sàng ngẫu nhiên đa trung tâm trên mẫu HSTHCS — phần lớn các nghiên cứu hiện có đều dùng thiết kế trước-sau hoặc tựa thực nghiệm với nhóm chứng không phân ngẫu nhiên. Hệ quả là chưa có ước tính hiệu ứng đáng tin cậy cho riêng đối tượng và bối cảnh Việt Nam, dẫn tới các khuyến nghị chính sách thiếu cơ sở định lượng. Việc thiết kế và thực hiện ít nhất một thử nghiệm RCT đa trung tâm trong giai đoạn 2026–2030 là điều kiện cần để đặt nền tảng bằng chứng cho hệ thống can thiệp quốc gia.</w:t>
      </w:r>
    </w:p>
    <w:p w:rsidR="00D265B9" w:rsidRPr="006859ED" w:rsidRDefault="00D265B9" w:rsidP="00D265B9">
      <w:pPr>
        <w:ind w:firstLine="567"/>
        <w:jc w:val="both"/>
        <w:rPr>
          <w:color w:val="0070C0"/>
        </w:rPr>
      </w:pPr>
      <w:r w:rsidRPr="006859ED">
        <w:rPr>
          <w:color w:val="0070C0"/>
        </w:rPr>
        <w:t>Thứ hai, thiếu chương trình CBT dựa vào trường được thiết kế phù hợp với chương trình giáo dục phổ thông Việt Nam — mặc dù chương trình giáo dục phổ thông 2018 đã đưa môn Hoạt động trải nghiệm – Hướng nghiệp vào chương trình chính thức, các giáo viên hiện chưa được đào tạo có hệ thống về sàng lọc và can thiệp sơ cấp ở mức cận lâm sàng. Một số trường có biên chế giáo viên tâm lý học đường nhưng năng lực thực sự về CBT cho lo âu trẻ em – vị thành niên vẫn còn hạn chế.</w:t>
      </w:r>
    </w:p>
    <w:p w:rsidR="00D265B9" w:rsidRPr="006859ED" w:rsidRDefault="00D265B9" w:rsidP="00D265B9">
      <w:pPr>
        <w:ind w:firstLine="567"/>
        <w:jc w:val="both"/>
        <w:rPr>
          <w:color w:val="0070C0"/>
        </w:rPr>
      </w:pPr>
      <w:r w:rsidRPr="006859ED">
        <w:rPr>
          <w:color w:val="0070C0"/>
        </w:rPr>
        <w:t>Thứ ba, thiếu nền tảng CBT số tiếng Việt được kiểm định — các nền tảng tiếng Anh hiện có như Maya hay ClearlyMe không thể triển khai trực tiếp do rào cản ngôn ngữ và văn hóa. Phát triển một nền tảng CBT số tiếng Việt đòi hỏi sự phối hợp giữa nhà tâm lý, kỹ sư phần mềm và chuyên gia thiết kế trải nghiệm người dùng — một mô hình hợp tác đa ngành chưa phổ biến trong cộng đồng nghiên cứu sức khỏe tâm thần Việt Nam.</w:t>
      </w:r>
    </w:p>
    <w:p w:rsidR="00D265B9" w:rsidRPr="006859ED" w:rsidRDefault="00D265B9" w:rsidP="00D265B9">
      <w:pPr>
        <w:ind w:firstLine="567"/>
        <w:jc w:val="both"/>
        <w:rPr>
          <w:color w:val="0070C0"/>
        </w:rPr>
      </w:pPr>
      <w:r w:rsidRPr="006859ED">
        <w:rPr>
          <w:color w:val="0070C0"/>
        </w:rPr>
        <w:t>Thứ tư, thiếu các nghiên cứu về thiết kế và đo lường kết cục dài hạn. Các nghiên cứu hiện có chủ yếu báo cáo kết cục ngay sau can thiệp, ít có theo dõi 6 tháng, 12 tháng hoặc dài hơn để đánh giá tính bền vững. Đối với rối loạn lo âu — vốn có xu hướng tái phát — việc thiếu dữ liệu theo dõi dài hạn là khoảng trống nghiêm trọng.</w:t>
      </w:r>
    </w:p>
    <w:p w:rsidR="00D265B9" w:rsidRDefault="00D265B9" w:rsidP="00E4098B">
      <w:pPr>
        <w:ind w:firstLine="567"/>
        <w:jc w:val="both"/>
        <w:rPr>
          <w:color w:val="0070C0"/>
        </w:rPr>
      </w:pPr>
      <w:r w:rsidRPr="006859ED">
        <w:rPr>
          <w:color w:val="0070C0"/>
        </w:rPr>
        <w:t>Thứ năm, thiếu công cụ sàng lọc và đo lường chuẩn hóa tiếng Việt cho rối loạn lo âu vị thành niên. Mặc dù một số thang đo như RCADS, SCARED, DASS-Y đã có phiên bản tiếng Việt, quy trình thẩm định tâm trắc toàn diện (độ tin cậy, độ hiệu lực hội tụ, độ hiệu lực phân biệt, ngưỡng cắt cho dân số Việt Nam) chưa được hoàn tất cho phần lớn các công cụ này. Việc thiếu công cụ chuẩn hóa làm cho các nghiên cứu can thiệp khó so sánh kết quả với nhau và với các nghiên cứu quốc tế.</w:t>
      </w:r>
    </w:p>
    <w:p w:rsidR="00877912" w:rsidRPr="006859ED" w:rsidRDefault="00877912" w:rsidP="00E4098B">
      <w:pPr>
        <w:ind w:firstLine="567"/>
        <w:jc w:val="both"/>
        <w:rPr>
          <w:color w:val="0070C0"/>
        </w:rPr>
      </w:pPr>
    </w:p>
    <w:sectPr w:rsidR="00877912" w:rsidRPr="006859ED" w:rsidSect="00406E33">
      <w:headerReference w:type="default" r:id="rId7"/>
      <w:footerReference w:type="default" r:id="rId8"/>
      <w:pgSz w:w="11909" w:h="16834" w:code="9"/>
      <w:pgMar w:top="864" w:right="720" w:bottom="864" w:left="1584"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795351"/>
    <w:multiLevelType w:val="multilevel"/>
    <w:tmpl w:val="292CEA88"/>
    <w:lvl w:ilvl="0">
      <w:start w:val="1"/>
      <w:numFmt w:val="decimal"/>
      <w:lvlText w:val="%1."/>
      <w:lvlJc w:val="left"/>
      <w:pPr>
        <w:ind w:left="420" w:hanging="420"/>
      </w:pPr>
      <w:rPr>
        <w:rFonts w:ascii="Times New Roman" w:hAnsi="Times New Roman" w:hint="default"/>
        <w:color w:val="000000"/>
      </w:rPr>
    </w:lvl>
    <w:lvl w:ilvl="1">
      <w:start w:val="1"/>
      <w:numFmt w:val="decimal"/>
      <w:lvlText w:val="%1.%2."/>
      <w:lvlJc w:val="left"/>
      <w:pPr>
        <w:ind w:left="720" w:hanging="720"/>
      </w:pPr>
      <w:rPr>
        <w:rFonts w:ascii="Times New Roman" w:hAnsi="Times New Roman" w:hint="default"/>
        <w:color w:val="000000"/>
      </w:rPr>
    </w:lvl>
    <w:lvl w:ilvl="2">
      <w:start w:val="1"/>
      <w:numFmt w:val="decimal"/>
      <w:lvlText w:val="%1.%2.%3."/>
      <w:lvlJc w:val="left"/>
      <w:pPr>
        <w:ind w:left="720" w:hanging="720"/>
      </w:pPr>
      <w:rPr>
        <w:rFonts w:ascii="Times New Roman" w:hAnsi="Times New Roman" w:hint="default"/>
        <w:color w:val="000000"/>
      </w:rPr>
    </w:lvl>
    <w:lvl w:ilvl="3">
      <w:start w:val="1"/>
      <w:numFmt w:val="decimal"/>
      <w:lvlText w:val="%1.%2.%3.%4."/>
      <w:lvlJc w:val="left"/>
      <w:pPr>
        <w:ind w:left="1080" w:hanging="1080"/>
      </w:pPr>
      <w:rPr>
        <w:rFonts w:ascii="Times New Roman" w:hAnsi="Times New Roman" w:hint="default"/>
        <w:color w:val="000000"/>
      </w:rPr>
    </w:lvl>
    <w:lvl w:ilvl="4">
      <w:start w:val="1"/>
      <w:numFmt w:val="decimal"/>
      <w:lvlText w:val="%1.%2.%3.%4.%5."/>
      <w:lvlJc w:val="left"/>
      <w:pPr>
        <w:ind w:left="1080" w:hanging="1080"/>
      </w:pPr>
      <w:rPr>
        <w:rFonts w:ascii="Times New Roman" w:hAnsi="Times New Roman" w:hint="default"/>
        <w:color w:val="000000"/>
      </w:rPr>
    </w:lvl>
    <w:lvl w:ilvl="5">
      <w:start w:val="1"/>
      <w:numFmt w:val="decimal"/>
      <w:lvlText w:val="%1.%2.%3.%4.%5.%6."/>
      <w:lvlJc w:val="left"/>
      <w:pPr>
        <w:ind w:left="1440" w:hanging="1440"/>
      </w:pPr>
      <w:rPr>
        <w:rFonts w:ascii="Times New Roman" w:hAnsi="Times New Roman" w:hint="default"/>
        <w:color w:val="000000"/>
      </w:rPr>
    </w:lvl>
    <w:lvl w:ilvl="6">
      <w:start w:val="1"/>
      <w:numFmt w:val="decimal"/>
      <w:lvlText w:val="%1.%2.%3.%4.%5.%6.%7."/>
      <w:lvlJc w:val="left"/>
      <w:pPr>
        <w:ind w:left="1440" w:hanging="1440"/>
      </w:pPr>
      <w:rPr>
        <w:rFonts w:ascii="Times New Roman" w:hAnsi="Times New Roman" w:hint="default"/>
        <w:color w:val="000000"/>
      </w:rPr>
    </w:lvl>
    <w:lvl w:ilvl="7">
      <w:start w:val="1"/>
      <w:numFmt w:val="decimal"/>
      <w:lvlText w:val="%1.%2.%3.%4.%5.%6.%7.%8."/>
      <w:lvlJc w:val="left"/>
      <w:pPr>
        <w:ind w:left="1800" w:hanging="1800"/>
      </w:pPr>
      <w:rPr>
        <w:rFonts w:ascii="Times New Roman" w:hAnsi="Times New Roman" w:hint="default"/>
        <w:color w:val="000000"/>
      </w:rPr>
    </w:lvl>
    <w:lvl w:ilvl="8">
      <w:start w:val="1"/>
      <w:numFmt w:val="decimal"/>
      <w:lvlText w:val="%1.%2.%3.%4.%5.%6.%7.%8.%9."/>
      <w:lvlJc w:val="left"/>
      <w:pPr>
        <w:ind w:left="2160" w:hanging="2160"/>
      </w:pPr>
      <w:rPr>
        <w:rFonts w:ascii="Times New Roman" w:hAnsi="Times New Roman" w:hint="default"/>
        <w:color w:val="00000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FD2"/>
    <w:rsid w:val="00023CA1"/>
    <w:rsid w:val="000A175F"/>
    <w:rsid w:val="00353AA5"/>
    <w:rsid w:val="00406E33"/>
    <w:rsid w:val="00482AE9"/>
    <w:rsid w:val="005E7028"/>
    <w:rsid w:val="0062480A"/>
    <w:rsid w:val="00652C91"/>
    <w:rsid w:val="00694D6F"/>
    <w:rsid w:val="00737866"/>
    <w:rsid w:val="0079444B"/>
    <w:rsid w:val="007A4BCA"/>
    <w:rsid w:val="00877912"/>
    <w:rsid w:val="0093791B"/>
    <w:rsid w:val="00A27FD2"/>
    <w:rsid w:val="00BC75FB"/>
    <w:rsid w:val="00D265B9"/>
    <w:rsid w:val="00D31A55"/>
    <w:rsid w:val="00D6404C"/>
    <w:rsid w:val="00E409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22026"/>
  <w15:chartTrackingRefBased/>
  <w15:docId w15:val="{8B69769D-D6C1-4BFD-897E-262B3A8B0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egoe UI Historic" w:eastAsiaTheme="minorHAnsi" w:hAnsi="Segoe UI Historic" w:cs="Segoe UI Historic"/>
        <w:sz w:val="23"/>
        <w:szCs w:val="23"/>
        <w:u w:color="FFFF00"/>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65B9"/>
    <w:pPr>
      <w:spacing w:after="120" w:line="360" w:lineRule="auto"/>
    </w:pPr>
    <w:rPr>
      <w:rFonts w:ascii="Times New Roman" w:eastAsiaTheme="minorEastAsia" w:hAnsi="Times New Roman" w:cstheme="minorBidi"/>
      <w:sz w:val="26"/>
      <w:szCs w:val="22"/>
      <w:lang w:val="en-US"/>
    </w:rPr>
  </w:style>
  <w:style w:type="paragraph" w:styleId="Heading1">
    <w:name w:val="heading 1"/>
    <w:basedOn w:val="Normal"/>
    <w:next w:val="Normal"/>
    <w:link w:val="Heading1Char"/>
    <w:uiPriority w:val="9"/>
    <w:qFormat/>
    <w:rsid w:val="00D265B9"/>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D265B9"/>
    <w:pPr>
      <w:keepNext/>
      <w:keepLines/>
      <w:spacing w:before="200" w:after="0"/>
      <w:outlineLvl w:val="1"/>
    </w:pPr>
    <w:rPr>
      <w:rFonts w:asciiTheme="majorHAnsi" w:eastAsiaTheme="majorEastAsia" w:hAnsiTheme="majorHAnsi" w:cstheme="majorBidi"/>
      <w:b/>
      <w:bCs/>
      <w:color w:val="5B9BD5" w:themeColor="accen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5B9"/>
    <w:rPr>
      <w:rFonts w:asciiTheme="majorHAnsi" w:eastAsiaTheme="majorEastAsia" w:hAnsiTheme="majorHAnsi" w:cstheme="majorBidi"/>
      <w:b/>
      <w:bCs/>
      <w:color w:val="2E74B5" w:themeColor="accent1" w:themeShade="BF"/>
      <w:sz w:val="28"/>
      <w:szCs w:val="28"/>
      <w:lang w:val="en-US"/>
    </w:rPr>
  </w:style>
  <w:style w:type="character" w:customStyle="1" w:styleId="Heading2Char">
    <w:name w:val="Heading 2 Char"/>
    <w:basedOn w:val="DefaultParagraphFont"/>
    <w:link w:val="Heading2"/>
    <w:uiPriority w:val="9"/>
    <w:rsid w:val="00D265B9"/>
    <w:rPr>
      <w:rFonts w:asciiTheme="majorHAnsi" w:eastAsiaTheme="majorEastAsia" w:hAnsiTheme="majorHAnsi" w:cstheme="majorBidi"/>
      <w:b/>
      <w:bCs/>
      <w:color w:val="5B9BD5" w:themeColor="accent1"/>
      <w:sz w:val="26"/>
      <w:szCs w:val="26"/>
      <w:lang w:val="en-US"/>
    </w:rPr>
  </w:style>
  <w:style w:type="table" w:styleId="TableGrid">
    <w:name w:val="Table Grid"/>
    <w:basedOn w:val="TableNormal"/>
    <w:uiPriority w:val="59"/>
    <w:rsid w:val="00D265B9"/>
    <w:pPr>
      <w:spacing w:after="0" w:line="240" w:lineRule="auto"/>
    </w:pPr>
    <w:rPr>
      <w:rFonts w:asciiTheme="minorHAnsi" w:eastAsiaTheme="minorEastAsia"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26</Pages>
  <Words>10730</Words>
  <Characters>59016</Characters>
  <Application>Microsoft Office Word</Application>
  <DocSecurity>0</DocSecurity>
  <Lines>491</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cp:revision>
  <dcterms:created xsi:type="dcterms:W3CDTF">2026-05-26T10:13:00Z</dcterms:created>
  <dcterms:modified xsi:type="dcterms:W3CDTF">2026-05-26T11:01:00Z</dcterms:modified>
</cp:coreProperties>
</file>