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LÝ DO CHỌN ĐỀ TÀI</w:t>
      </w:r>
    </w:p>
    <w:p>
      <w:pPr>
        <w:jc w:val="both"/>
      </w:pPr>
      <w:r>
        <w:rPr>
          <w:rFonts w:ascii="Times New Roman" w:hAnsi="Times New Roman"/>
          <w:b w:val="0"/>
          <w:i/>
          <w:sz w:val="26"/>
        </w:rPr>
        <w:t>(Bản đề xuất viết lại — trích tích hợp các khoảng trống nghiên cứu đã trình bày trong Tổng quan và hai bài đính kèm)</w:t>
      </w:r>
    </w:p>
    <w:p/>
    <w:p>
      <w:pPr>
        <w:ind w:firstLine="709"/>
        <w:jc w:val="both"/>
      </w:pPr>
      <w:r>
        <w:rPr>
          <w:rFonts w:ascii="Times New Roman" w:hAnsi="Times New Roman"/>
          <w:b w:val="0"/>
          <w:i w:val="0"/>
          <w:sz w:val="26"/>
        </w:rPr>
        <w:t>Rối loạn lo âu là một trong những vấn đề sức khỏe tâm thần phổ biến nhất ở vị thành niên trên toàn cầu. Tại Việt Nam, khảo sát đại diện quốc gia V-NAMHS (Viện Xã hội học và cộng sự, 2022) trên 5.996 cặp cha mẹ —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 Phạm Thị Thu Hoa và cộng sự (2024) trên 3.910 học sinh trung học phổ thông Hà Nội, Hoàng Trung Học và Nguyễn Thùy Dung (2025) trên 8.389 thanh thiếu niên ở 6 tỉnh, Trúc Thanh Thái và cộng sự (2026) trên 2.631 học sinh tại Thành phố Hồ Chí Minh — đều ghi nhận tỷ lệ triệu chứng lo âu cao, trong nhiều trường hợp vượt 40%. Đại dịch COVID-19 đã làm gia tăng đáng kể gánh nặng này, đồng thời để lại những thay đổi dài hạn về thói quen sử dụng thiết bị số và mạng xã hội ở lứa tuổi vị thành niên.</w:t>
      </w:r>
    </w:p>
    <w:p>
      <w:pPr>
        <w:ind w:firstLine="709"/>
        <w:jc w:val="both"/>
      </w:pPr>
      <w:r>
        <w:rPr>
          <w:rFonts w:ascii="Times New Roman" w:hAnsi="Times New Roman"/>
          <w:b w:val="0"/>
          <w:i w:val="0"/>
          <w:sz w:val="26"/>
        </w:rPr>
        <w:t>Học sinh trung học cơ sở (11-15 tuổi) là lứa tuổi có ý nghĩa đặc biệt trong việc nghiên cứu rối loạn lo âu vì hai lý do. Thứ nhất, đây là giai đoạn khởi phát đặc trưng của nhiều dạng rối loạn lo âu — đặc biệt là rối loạn lo âu xã hội, vốn có tuổi khởi phát trung bình 11-13. Thứ hai, lứa tuổi này đứng giữa chuyển tiếp từ tiểu học lên trung học cơ sở và chuẩn bị thi vào lớp 10 — hai mốc gây áp lực học tập lớn trong hệ thống giáo dục Việt Nam. Nghiên cứu sớm trên lứa tuổi này không chỉ giúp can thiệp trước khi rối loạn tiến triển thành rối loạn lâm sàng kéo dài, mà còn tận dụng được hệ thống trường học làm kênh tiếp cận hiệu quả nhất về chi phí và quy mô.</w:t>
      </w:r>
    </w:p>
    <w:p>
      <w:pPr>
        <w:ind w:firstLine="709"/>
        <w:jc w:val="both"/>
      </w:pPr>
      <w:r>
        <w:rPr>
          <w:rFonts w:ascii="Times New Roman" w:hAnsi="Times New Roman"/>
          <w:b w:val="0"/>
          <w:i w:val="0"/>
          <w:sz w:val="26"/>
        </w:rPr>
        <w:t>Mặc dù sự gia tăng ghi nhận về tỷ lệ rối loạn lo âu, nghiên cứu trong nước về chủ đề này vẫn còn sáu khoảng trống quan trọng. Thứ nhất, chưa có bộ thang đo lo âu cho trẻ em — vị thành niên được thẩm định tâm trắc toàn diện cho dân số Việt Nam, dẫn đến biên độ ước tính tỷ lệ rất rộng (từ 2,3% theo chẩn đoán đầy đủ đến trên 50% theo thang sàng lọc). Thứ hai, phần lớn nghiên cứu tập trung vào lo âu tổng quát qua thang GAD-7 hoặc DASS-21, trong khi lo âu xã hội và lo âu chia ly hầu như chưa được khảo sát chuyên biệt. Thứ ba, yếu tố bảo vệ — bao gồm lòng tự trọng, gắn bó trường học, hỗ trợ của cha mẹ và bạn bè, biện pháp ứng phó — chưa được nghiên cứu đồng thời và tích hợp với yếu tố nguy cơ trong cùng thiết kế. Thứ tư, thiết kế dọc và thử nghiệm lâm sàng ngẫu nhiên đa trung tâm còn rất ít. Thứ năm, mẫu nghiên cứu tập trung ở Hà Nội và Thành phố Hồ Chí Minh; khu vực nông thôn, miền núi và dân tộc thiểu số còn ít được khảo sát chuyên biệt. Thứ sáu, các chương trình can thiệp nhận thức — hành vi bản địa được kiểm định trên học sinh trung học cơ sở Việt Nam còn vắng bóng. Phân tích chi tiết các khoảng trống này được trình bày trong Tổng quan của luận án cùng hai bài tổng hợp chuyên sâu của tác giả đính kèm — Bài 1 về Yếu tố nguy cơ và Bài 2 về Khoảng trống can thiệp.</w:t>
      </w:r>
    </w:p>
    <w:p>
      <w:pPr>
        <w:ind w:firstLine="709"/>
        <w:jc w:val="both"/>
      </w:pPr>
      <w:r>
        <w:rPr>
          <w:rFonts w:ascii="Times New Roman" w:hAnsi="Times New Roman"/>
          <w:b w:val="0"/>
          <w:i w:val="0"/>
          <w:sz w:val="26"/>
        </w:rPr>
        <w:t>Trên cơ sở các khoảng trống trên, luận án đặt mục tiêu nghiên cứu thực trạng rối loạn lo âu ở học sinh trung học cơ sở Hà Nội trên mẫu 1.352 học sinh tại hai trường có đặc thù xã hội — kinh tế khác nhau (Nhật Tân và Tây Mỗ), với thiết kế đo lường đồng thời các yếu tố nguy cơ và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cho các nghiên cứu can thiệp tiếp theo. Luận án vì vậy đóng góp một bước cụ thể vào việc thu hẹp ba trong sáu khoảng trống nêu trên — đo lường tích hợp yếu tố nguy cơ và bảo vệ, chú trọng lứa tuổi trung học cơ sở, và đặt cơ sở cho can thiệp bản địa hoá.</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