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olor w:val="000000"/>
        </w:rPr>
        <w:t>KIẾN NGHỊ VÀ HƯỚNG NGHIÊN CỨU TIẾP THEO</w:t>
      </w:r>
    </w:p>
    <w:p>
      <w:pPr>
        <w:jc w:val="both"/>
      </w:pPr>
      <w:r>
        <w:rPr>
          <w:rFonts w:ascii="Times New Roman" w:hAnsi="Times New Roman"/>
          <w:b w:val="0"/>
          <w:i/>
          <w:sz w:val="26"/>
        </w:rPr>
        <w:t>(Bản đề xuất tích hợp từ Tổng quan luận án, Bài 1 — Yếu tố nguy cơ và Bài 2 — Khoảng trống can thiệp)</w:t>
      </w:r>
    </w:p>
    <w:p/>
    <w:p>
      <w:pPr>
        <w:ind w:firstLine="709"/>
        <w:jc w:val="both"/>
      </w:pPr>
      <w:r>
        <w:rPr>
          <w:rFonts w:ascii="Times New Roman" w:hAnsi="Times New Roman"/>
          <w:b w:val="0"/>
          <w:i w:val="0"/>
          <w:sz w:val="26"/>
        </w:rPr>
        <w:t>Trên cơ sở các phát hiện thực trạng và phân tích các khoảng trống nghiên cứu được trình bày xuyên suốt luận án, tác giả xin đề xuất sáu nhóm kiến nghị nhằm thu hẹp các khoảng trống và định hướng cho các nghiên cứu tiếp theo trong giai đoạn 2026-2030.</w:t>
      </w:r>
    </w:p>
    <w:p>
      <w:pPr>
        <w:pStyle w:val="Heading2"/>
      </w:pPr>
      <w:r>
        <w:rPr>
          <w:rFonts w:ascii="Times New Roman" w:hAnsi="Times New Roman"/>
          <w:color w:val="000000"/>
        </w:rPr>
        <w:t>1. Về công cụ đo lường rối loạn lo âu cho học sinh trung học cơ sở Việt Nam</w:t>
      </w:r>
    </w:p>
    <w:p>
      <w:pPr>
        <w:ind w:firstLine="709"/>
        <w:jc w:val="both"/>
      </w:pPr>
      <w:r>
        <w:rPr>
          <w:rFonts w:ascii="Times New Roman" w:hAnsi="Times New Roman"/>
          <w:b w:val="0"/>
          <w:i w:val="0"/>
          <w:sz w:val="26"/>
        </w:rPr>
        <w:t>Cần xây dựng và thẩm định tâm trắc toàn diện một hoặc một số thang đo lo âu chuyên biệt cho học sinh trung học cơ sở Việt Nam — bao gồm độ tin cậy, độ hiệu lực hội tụ và phân biệt, ngưỡng cắt riêng cho dân số trong nước. Việc lựa chọn có thể từ các bộ thang quốc tế đã có nền tảng (RCADS-25, SCARED, SCAS) thông qua quy trình dịch — dịch ngược — thử nghiệm pilot — đánh giá nhân tố — xác lập ngưỡng cắt. Bộ thang chuẩn hóa này sẽ giúp các nghiên cứu trong nước có thể so sánh kết quả với nhau và với các nghiên cứu quốc tế.</w:t>
      </w:r>
    </w:p>
    <w:p>
      <w:pPr>
        <w:pStyle w:val="Heading2"/>
      </w:pPr>
      <w:r>
        <w:rPr>
          <w:rFonts w:ascii="Times New Roman" w:hAnsi="Times New Roman"/>
          <w:color w:val="000000"/>
        </w:rPr>
        <w:t>2. Mở rộng phạm vi loại rối loạn lo âu được nghiên cứu</w:t>
      </w:r>
    </w:p>
    <w:p>
      <w:pPr>
        <w:ind w:firstLine="709"/>
        <w:jc w:val="both"/>
      </w:pPr>
      <w:r>
        <w:rPr>
          <w:rFonts w:ascii="Times New Roman" w:hAnsi="Times New Roman"/>
          <w:b w:val="0"/>
          <w:i w:val="0"/>
          <w:sz w:val="26"/>
        </w:rPr>
        <w:t>Bên cạnh dạng lo âu tổng quát đã được nghiên cứu khá rộng, các nghiên cứu tương lai cần khảo sát chuyên biệt rối loạn lo âu xã hội và rối loạn lo âu chia ly — hai dạng có ý nghĩa đặc biệt ở lứa tuổi đầu vị thành niên. Đặc biệt với các nhóm có hoàn cảnh đặc thù (học sinh dân tộc thiểu số học nội trú xa nhà, học sinh có cha mẹ đi làm xa, học sinh chuyển trường), cần có khảo sát chuyên biệt về rối loạn lo âu chia ly bằng các công cụ tâm trắc phù hợp.</w:t>
      </w:r>
    </w:p>
    <w:p>
      <w:pPr>
        <w:pStyle w:val="Heading2"/>
      </w:pPr>
      <w:r>
        <w:rPr>
          <w:rFonts w:ascii="Times New Roman" w:hAnsi="Times New Roman"/>
          <w:color w:val="000000"/>
        </w:rPr>
        <w:t>3. Tích hợp đồng thời yếu tố nguy cơ và yếu tố bảo vệ trong cùng thiết kế</w:t>
      </w:r>
    </w:p>
    <w:p>
      <w:pPr>
        <w:ind w:firstLine="709"/>
        <w:jc w:val="both"/>
      </w:pPr>
      <w:r>
        <w:rPr>
          <w:rFonts w:ascii="Times New Roman" w:hAnsi="Times New Roman"/>
          <w:b w:val="0"/>
          <w:i w:val="0"/>
          <w:sz w:val="26"/>
        </w:rPr>
        <w:t>Phần lớn nghiên cứu Việt Nam hiện nay chỉ tập trung vào một nhóm yếu tố nguy cơ tại một thời điểm. Các nghiên cứu tương lai cần đo lường đồng thời cả năm nhóm yếu tố nguy cơ chính (áp lực học tập, nghiện điện thoại, bắt nạt thể chất, bắt nạt bằng lời và bắt nạt mạng, lòng tự trọng thấp) và năm nhóm yếu tố bảo vệ (lòng tự trọng cao, gắn bó trường học, hỗ trợ của cha mẹ, hỗ trợ từ bạn bè, biện pháp ứng phó adaptive) trong cùng một mẫu, kèm theo phân tích vai trò trung gian và điều tiết giữa các yếu tố. Phân tích chi tiết các nhóm yếu tố này được trình bày trong hai bài tổng hợp chuyên sâu của tác giả — Bài 1 về Yếu tố nguy cơ và Bài 2 về Khoảng trống can thiệp.</w:t>
      </w:r>
    </w:p>
    <w:p>
      <w:pPr>
        <w:pStyle w:val="Heading2"/>
      </w:pPr>
      <w:r>
        <w:rPr>
          <w:rFonts w:ascii="Times New Roman" w:hAnsi="Times New Roman"/>
          <w:color w:val="000000"/>
        </w:rPr>
        <w:t>4. Phát triển thiết kế dọc và thử nghiệm lâm sàng ngẫu nhiên đa trung tâm</w:t>
      </w:r>
    </w:p>
    <w:p>
      <w:pPr>
        <w:ind w:firstLine="709"/>
        <w:jc w:val="both"/>
      </w:pPr>
      <w:r>
        <w:rPr>
          <w:rFonts w:ascii="Times New Roman" w:hAnsi="Times New Roman"/>
          <w:b w:val="0"/>
          <w:i w:val="0"/>
          <w:sz w:val="26"/>
        </w:rPr>
        <w:t>Hiện tại các nghiên cứu Việt Nam chủ yếu sử dụng thiết kế cắt ngang, không cho phép phân tích nhân quả. Các nghiên cứu ưu tiên cho giai đoạn 2026-2030 cần áp dụng thiết kế dọc với ít nhất hai đến ba thời điểm đo, cùng các thử nghiệm lâm sàng ngẫu nhiên đa trung tâm trên mẫu học sinh trung học cơ sở. Thiết kế thử nghiệm ngẫu nhiên cụm — như mô hình Bradshaw và cộng sự (2025) trên 709 học sinh tại 40 trường — đặc biệt phù hợp cho can thiệp tại trường vì cho phép phân ngẫu nhiên ở cấp trường, tránh hiệu ứng lây lan giữa học sinh cùng lớp.</w:t>
      </w:r>
    </w:p>
    <w:p>
      <w:pPr>
        <w:pStyle w:val="Heading2"/>
      </w:pPr>
      <w:r>
        <w:rPr>
          <w:rFonts w:ascii="Times New Roman" w:hAnsi="Times New Roman"/>
          <w:color w:val="000000"/>
        </w:rPr>
        <w:t>5. Mở rộng mẫu sang khu vực nông thôn, miền núi và dân tộc thiểu số</w:t>
      </w:r>
    </w:p>
    <w:p>
      <w:pPr>
        <w:ind w:firstLine="709"/>
        <w:jc w:val="both"/>
      </w:pPr>
      <w:r>
        <w:rPr>
          <w:rFonts w:ascii="Times New Roman" w:hAnsi="Times New Roman"/>
          <w:b w:val="0"/>
          <w:i w:val="0"/>
          <w:sz w:val="26"/>
        </w:rPr>
        <w:t>Các nghiên cứu hiện có chủ yếu tập trung ở Hà Nội và Thành phố Hồ Chí Minh. Cần mở rộng mẫu sang khu vực nông thôn, miền núi, và đặc biệt nhóm học sinh dân tộc thiểu số — nơi đặc thù vùng miền có thể ảnh hưởng cả đến tỷ lệ phổ biến lẫn cơ chế tác động của các yếu tố ảnh hưởng. Nghiên cứu của Ngô Anh Vinh và cộng sự (2024) tại Lạng Sơn là một bước khởi đầu quan trọng, song cần thêm các nghiên cứu khác trên các nhóm dân tộc và vùng địa lý khác nhau.</w:t>
      </w:r>
    </w:p>
    <w:p>
      <w:pPr>
        <w:pStyle w:val="Heading2"/>
      </w:pPr>
      <w:r>
        <w:rPr>
          <w:rFonts w:ascii="Times New Roman" w:hAnsi="Times New Roman"/>
          <w:color w:val="000000"/>
        </w:rPr>
        <w:t>6. Phát triển và kiểm định chương trình can thiệp bản địa hoá</w:t>
      </w:r>
    </w:p>
    <w:p>
      <w:pPr>
        <w:ind w:firstLine="709"/>
        <w:jc w:val="both"/>
      </w:pPr>
      <w:r>
        <w:rPr>
          <w:rFonts w:ascii="Times New Roman" w:hAnsi="Times New Roman"/>
          <w:b w:val="0"/>
          <w:i w:val="0"/>
          <w:sz w:val="26"/>
        </w:rPr>
        <w:t>Các chương trình can thiệp nhận thức — hành vi (CBT) bản địa được kiểm định trên học sinh trung học cơ sở Việt Nam còn vắng bóng. Bài 2 — Khoảng trống can thiệp đề xuất khung tích hợp ba kênh × ba tầng (lâm sàng × trường học × số; phổ quát × chọn lọc × chỉ định) cùng mô hình chăm sóc theo bậc cho Việt Nam. Các nghiên cứu tương lai cần ưu tiên: (i) thiết kế và thử nghiệm chương trình CBT trường học 8-12 buổi tích hợp vào môn Hoạt động trải nghiệm — Hướng nghiệp của Chương trình giáo dục phổ thông 2018; (ii) phát triển nền tảng CBT số tiếng Việt qua quy trình đồng thiết kế với vị thành niên, kèm cơ chế chuyển tuyến tới dịch vụ chuyên khoa khi cần; (iii) đào tạo bài bản cho đội ngũ giáo viên tâm lý học đường về sàng lọc và can thiệp sơ cấp. Luận án này, với phần đề xuất khung chương trình tập huấn phòng ngừa ở mục 3.7, đặt nền tảng ban đầu cho hướng nghiên cứu này.</w:t>
      </w:r>
    </w:p>
    <w:p>
      <w:pPr>
        <w:pStyle w:val="Heading2"/>
      </w:pPr>
      <w:r>
        <w:rPr>
          <w:rFonts w:ascii="Times New Roman" w:hAnsi="Times New Roman"/>
          <w:color w:val="000000"/>
        </w:rPr>
        <w:t>Phối hợp ba cấp độ để các kiến nghị khả thi</w:t>
      </w:r>
    </w:p>
    <w:p>
      <w:pPr>
        <w:ind w:firstLine="709"/>
        <w:jc w:val="both"/>
      </w:pPr>
      <w:r>
        <w:rPr>
          <w:rFonts w:ascii="Times New Roman" w:hAnsi="Times New Roman"/>
          <w:b w:val="0"/>
          <w:i w:val="0"/>
          <w:sz w:val="26"/>
        </w:rPr>
        <w:t>Để các kiến nghị trên có thể triển khai thực tế, cần phối hợp ba cấp độ. Ở cấp vĩ mô, Bộ Y tế và Bộ Giáo dục — Đào tạo phối hợp xây dựng khung chính sách sức khỏe tâm thần học đường, bao gồm tiêu chuẩn năng lực của giáo viên tâm lý và quy trình sàng lọc — chuyển tuyến. Ở cấp trung mô, các trường đại học sư phạm và viện nghiên cứu phối hợp đào tạo nhân lực chuyên môn và thực hiện các thử nghiệm can thiệp. Ở cấp vi mô, các trường trung học cơ sở là điểm tiếp xúc trực tiếp với học sinh và là nơi triển khai chương trình cụ thể. Mạng lưới nghiên cứu can thiệp liên ngành — kết nối các trường đại học, viện nghiên cứu và bệnh viện tâm thần — là điều kiện để chuẩn hóa thang đo, giao thức và quy trình báo cáo trên cả nước.</w:t>
      </w:r>
    </w:p>
    <w:sectPr w:rsidR="00FC693F" w:rsidRPr="0006063C" w:rsidSect="00034616">
      <w:pgSz w:w="12240" w:h="15840"/>
      <w:pgMar w:top="1701" w:right="1417" w:bottom="1417"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