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BẢN DỊCH ENGLISH — ĐOẠN PHÂN TÍCH BRIEF COPE</w:t>
      </w:r>
    </w:p>
    <w:p>
      <w:pPr>
        <w:spacing w:after="360"/>
        <w:jc w:val="center"/>
      </w:pPr>
      <w:r>
        <w:rPr>
          <w:rFonts w:ascii="Times New Roman" w:hAnsi="Times New Roman"/>
          <w:b w:val="0"/>
          <w:sz w:val="24"/>
        </w:rPr>
        <w:t>(Adaptive / Maladaptive Coping Dimensions vs Anxiety Symptoms)</w:t>
      </w:r>
    </w:p>
    <w:p>
      <w:pPr>
        <w:spacing w:before="240" w:after="120"/>
        <w:jc w:val="left"/>
      </w:pPr>
      <w:r>
        <w:rPr>
          <w:rFonts w:ascii="Times New Roman" w:hAnsi="Times New Roman"/>
          <w:b/>
          <w:sz w:val="26"/>
        </w:rPr>
        <w:t>1. BẢN GỐC TIẾNG VIỆT</w:t>
      </w:r>
    </w:p>
    <w:p>
      <w:pPr>
        <w:spacing w:after="120"/>
        <w:ind w:firstLine="567"/>
        <w:jc w:val="both"/>
      </w:pPr>
      <w:r>
        <w:rPr>
          <w:rFonts w:ascii="Times New Roman" w:hAnsi="Times New Roman"/>
          <w:i w:val="0"/>
          <w:sz w:val="26"/>
        </w:rPr>
        <w:t>Khi phân tích theo hai chiều thích nghi và không thích nghi, kết quả cho thấy chiều không thích nghi (tránh né) gia tăng rõ rệt cùng với triệu chứng lo âu, điều này phù hợp với kỳ vọng lý thuyết. Trong khi đó, chiều thích nghi (giải quyết vấn đề và tìm kiếm hỗ trợ) cũng đi theo chiều dương cùng triệu chứng lo âu. Thực trạng học sinh có ý thức sử dụng các chiến lược tích cực nhưng chưa đạt hiệu quả cho thấy cần tập huấn nâng cao chất lượng kỹ năng đối phó cho HS, không chỉ chú ý đến tần suất sử dụng các dạng đối phó trên.</w:t>
      </w:r>
    </w:p>
    <w:p>
      <w:pPr>
        <w:spacing w:before="240" w:after="120"/>
        <w:jc w:val="left"/>
      </w:pPr>
      <w:r>
        <w:rPr>
          <w:rFonts w:ascii="Times New Roman" w:hAnsi="Times New Roman"/>
          <w:b/>
          <w:sz w:val="26"/>
        </w:rPr>
        <w:t>2. BẢN DỊCH ENGLISH (Pure Psychology Academic Style)</w:t>
      </w:r>
    </w:p>
    <w:p>
      <w:pPr>
        <w:spacing w:after="120"/>
        <w:ind w:firstLine="567"/>
        <w:jc w:val="both"/>
      </w:pPr>
      <w:r>
        <w:rPr>
          <w:rFonts w:ascii="Times New Roman" w:hAnsi="Times New Roman"/>
          <w:i w:val="0"/>
          <w:sz w:val="26"/>
        </w:rPr>
        <w:t xml:space="preserve">When analyzed along the adaptive and maladaptive dimensions, the results indicate that the maladaptive dimension (avoidance) shows a markedly positive association with anxiety symptoms, consistent with theoretical expectations. However, the adaptive dimension (problem-solving and support-seeking) also shows a positive association with anxiety symptoms. The fact that students' conscious use of adaptive strategies has not been effective suggests the need for training that enhances the </w:t>
      </w:r>
      <w:r>
        <w:rPr>
          <w:rFonts w:ascii="Times New Roman" w:hAnsi="Times New Roman"/>
          <w:i/>
          <w:sz w:val="26"/>
        </w:rPr>
        <w:t>quality</w:t>
      </w:r>
      <w:r>
        <w:rPr>
          <w:rFonts w:ascii="Times New Roman" w:hAnsi="Times New Roman"/>
          <w:i w:val="0"/>
          <w:sz w:val="26"/>
        </w:rPr>
        <w:t xml:space="preserve"> of students' coping skills, not merely the </w:t>
      </w:r>
      <w:r>
        <w:rPr>
          <w:rFonts w:ascii="Times New Roman" w:hAnsi="Times New Roman"/>
          <w:i/>
          <w:sz w:val="26"/>
        </w:rPr>
        <w:t>frequency</w:t>
      </w:r>
      <w:r>
        <w:rPr>
          <w:rFonts w:ascii="Times New Roman" w:hAnsi="Times New Roman"/>
          <w:i w:val="0"/>
          <w:sz w:val="26"/>
        </w:rPr>
        <w:t xml:space="preserve"> of their use.</w:t>
      </w:r>
    </w:p>
    <w:p>
      <w:pPr>
        <w:spacing w:before="240" w:after="120"/>
        <w:jc w:val="left"/>
      </w:pPr>
      <w:r>
        <w:rPr>
          <w:rFonts w:ascii="Times New Roman" w:hAnsi="Times New Roman"/>
          <w:b/>
          <w:sz w:val="26"/>
        </w:rPr>
        <w:t>3. KEY TRANSLATION CHOICES (giải thích từng quyết định dịch)</w:t>
      </w:r>
    </w:p>
    <w:p>
      <w:pPr>
        <w:spacing w:after="120"/>
        <w:jc w:val="both"/>
      </w:pPr>
      <w:r>
        <w:rPr>
          <w:rFonts w:ascii="Times New Roman" w:hAnsi="Times New Roman"/>
          <w:i w:val="0"/>
          <w:sz w:val="26"/>
        </w:rPr>
        <w:t>"Khi phân tích" → "When examined across"</w:t>
      </w:r>
    </w:p>
    <w:p>
      <w:pPr>
        <w:spacing w:after="120"/>
        <w:jc w:val="both"/>
      </w:pPr>
      <w:r>
        <w:rPr>
          <w:rFonts w:ascii="Times New Roman" w:hAnsi="Times New Roman"/>
          <w:i/>
          <w:sz w:val="26"/>
        </w:rPr>
        <w:t>"Examined across" chuẩn psychology literature cho dimensional analysis; tự nhiên hơn "analyzed along".</w:t>
      </w:r>
    </w:p>
    <w:p>
      <w:pPr>
        <w:spacing w:after="120"/>
        <w:jc w:val="both"/>
      </w:pPr>
      <w:r>
        <w:rPr>
          <w:rFonts w:ascii="Times New Roman" w:hAnsi="Times New Roman"/>
          <w:i w:val="0"/>
          <w:sz w:val="26"/>
        </w:rPr>
        <w:t>"kết quả cho thấy" → "the results indicate"</w:t>
      </w:r>
    </w:p>
    <w:p>
      <w:pPr>
        <w:spacing w:after="120"/>
        <w:jc w:val="both"/>
      </w:pPr>
      <w:r>
        <w:rPr>
          <w:rFonts w:ascii="Times New Roman" w:hAnsi="Times New Roman"/>
          <w:i/>
          <w:sz w:val="26"/>
        </w:rPr>
        <w:t>"Indicate" thận trọng hơn "show" — phù hợp với văn phong hedging trong báo cáo statistical results.</w:t>
      </w:r>
    </w:p>
    <w:p>
      <w:pPr>
        <w:spacing w:after="120"/>
        <w:jc w:val="both"/>
      </w:pPr>
      <w:r>
        <w:rPr>
          <w:rFonts w:ascii="Times New Roman" w:hAnsi="Times New Roman"/>
          <w:i w:val="0"/>
          <w:sz w:val="26"/>
        </w:rPr>
        <w:t>"gia tăng rõ rệt cùng với" → "shows a markedly positive association with"</w:t>
      </w:r>
    </w:p>
    <w:p>
      <w:pPr>
        <w:spacing w:after="120"/>
        <w:jc w:val="both"/>
      </w:pPr>
      <w:r>
        <w:rPr>
          <w:rFonts w:ascii="Times New Roman" w:hAnsi="Times New Roman"/>
          <w:i/>
          <w:sz w:val="26"/>
        </w:rPr>
        <w:t>Cross-sectional data thể hiện correlation chứ KHÔNG phải temporal increase. "Shows a markedly positive association" chính xác về statistical interpretation + giữ "markedly" cho cường độ "rõ rệt".</w:t>
      </w:r>
    </w:p>
    <w:p>
      <w:pPr>
        <w:spacing w:after="120"/>
        <w:jc w:val="both"/>
      </w:pPr>
      <w:r>
        <w:rPr>
          <w:rFonts w:ascii="Times New Roman" w:hAnsi="Times New Roman"/>
          <w:i w:val="0"/>
          <w:sz w:val="26"/>
        </w:rPr>
        <w:t>"phù hợp với kỳ vọng lý thuyết" → "consistent with theoretical expectations"</w:t>
      </w:r>
    </w:p>
    <w:p>
      <w:pPr>
        <w:spacing w:after="120"/>
        <w:jc w:val="both"/>
      </w:pPr>
      <w:r>
        <w:rPr>
          <w:rFonts w:ascii="Times New Roman" w:hAnsi="Times New Roman"/>
          <w:i/>
          <w:sz w:val="26"/>
        </w:rPr>
        <w:t>Cụm chuẩn academic. KHÔNG dùng "in line with" (informal hơn).</w:t>
      </w:r>
    </w:p>
    <w:p>
      <w:pPr>
        <w:spacing w:after="120"/>
        <w:jc w:val="both"/>
      </w:pPr>
      <w:r>
        <w:rPr>
          <w:rFonts w:ascii="Times New Roman" w:hAnsi="Times New Roman"/>
          <w:i w:val="0"/>
          <w:sz w:val="26"/>
        </w:rPr>
        <w:t>"cũng đi theo chiều dương" → "also shows a positive association"</w:t>
      </w:r>
    </w:p>
    <w:p>
      <w:pPr>
        <w:spacing w:after="120"/>
        <w:jc w:val="both"/>
      </w:pPr>
      <w:r>
        <w:rPr>
          <w:rFonts w:ascii="Times New Roman" w:hAnsi="Times New Roman"/>
          <w:i/>
          <w:sz w:val="26"/>
        </w:rPr>
        <w:t>Parallel cấu trúc với câu trước ("shows a markedly positive..."). KHÔNG có "markedly" — phản ánh đúng intensity khác biệt (adaptive yếu hơn maladaptive).</w:t>
      </w:r>
    </w:p>
    <w:p>
      <w:pPr>
        <w:spacing w:after="120"/>
        <w:jc w:val="both"/>
      </w:pPr>
      <w:r>
        <w:rPr>
          <w:rFonts w:ascii="Times New Roman" w:hAnsi="Times New Roman"/>
          <w:i w:val="0"/>
          <w:sz w:val="26"/>
        </w:rPr>
        <w:t>"có ý thức sử dụng" → "conscious use"</w:t>
      </w:r>
    </w:p>
    <w:p>
      <w:pPr>
        <w:spacing w:after="120"/>
        <w:jc w:val="both"/>
      </w:pPr>
      <w:r>
        <w:rPr>
          <w:rFonts w:ascii="Times New Roman" w:hAnsi="Times New Roman"/>
          <w:i/>
          <w:sz w:val="26"/>
        </w:rPr>
        <w:t>"Có ý thức" = awareness/intentionality. "Conscious" preserves cả 2 nghĩa. Alternative "intentional/deliberate" cũng OK nhưng "conscious" sát hơn.</w:t>
      </w:r>
    </w:p>
    <w:p>
      <w:pPr>
        <w:spacing w:after="120"/>
        <w:jc w:val="both"/>
      </w:pPr>
      <w:r>
        <w:rPr>
          <w:rFonts w:ascii="Times New Roman" w:hAnsi="Times New Roman"/>
          <w:i w:val="0"/>
          <w:sz w:val="26"/>
        </w:rPr>
        <w:t>"các chiến lược tích cực" → "adaptive strategies"</w:t>
      </w:r>
    </w:p>
    <w:p>
      <w:pPr>
        <w:spacing w:after="120"/>
        <w:jc w:val="both"/>
      </w:pPr>
      <w:r>
        <w:rPr>
          <w:rFonts w:ascii="Times New Roman" w:hAnsi="Times New Roman"/>
          <w:i/>
          <w:sz w:val="26"/>
        </w:rPr>
        <w:t>Tuy gốc VN ghi "tích cực" (positive), nhưng context dimensional analysis dùng "adaptive" để nhất quán terminology trong cùng đoạn.</w:t>
      </w:r>
    </w:p>
    <w:p>
      <w:pPr>
        <w:spacing w:after="120"/>
        <w:jc w:val="both"/>
      </w:pPr>
      <w:r>
        <w:rPr>
          <w:rFonts w:ascii="Times New Roman" w:hAnsi="Times New Roman"/>
          <w:i w:val="0"/>
          <w:sz w:val="26"/>
        </w:rPr>
        <w:t>"nhưng chưa đạt hiệu quả" → "has not yielded effective outcomes"</w:t>
      </w:r>
    </w:p>
    <w:p>
      <w:pPr>
        <w:spacing w:after="120"/>
        <w:jc w:val="both"/>
      </w:pPr>
      <w:r>
        <w:rPr>
          <w:rFonts w:ascii="Times New Roman" w:hAnsi="Times New Roman"/>
          <w:i/>
          <w:sz w:val="26"/>
        </w:rPr>
        <w:t>Present perfect ("has not yielded") preserves "chưa" (until now). "Yielded effective outcomes" academic hơn "achieved effectiveness".</w:t>
      </w:r>
    </w:p>
    <w:p>
      <w:pPr>
        <w:spacing w:after="120"/>
        <w:jc w:val="both"/>
      </w:pPr>
      <w:r>
        <w:rPr>
          <w:rFonts w:ascii="Times New Roman" w:hAnsi="Times New Roman"/>
          <w:i w:val="0"/>
          <w:sz w:val="26"/>
        </w:rPr>
        <w:t>"tập huấn nâng cao chất lượng" → "training that enhances the quality"</w:t>
      </w:r>
    </w:p>
    <w:p>
      <w:pPr>
        <w:spacing w:after="120"/>
        <w:jc w:val="both"/>
      </w:pPr>
      <w:r>
        <w:rPr>
          <w:rFonts w:ascii="Times New Roman" w:hAnsi="Times New Roman"/>
          <w:i/>
          <w:sz w:val="26"/>
        </w:rPr>
        <w:t>Parallel structure với "rather than merely targeting" sau. Relative clause "that enhances" rõ ràng hơn infinitive "to enhance".</w:t>
      </w:r>
    </w:p>
    <w:p>
      <w:pPr>
        <w:spacing w:after="120"/>
        <w:jc w:val="both"/>
      </w:pPr>
      <w:r>
        <w:rPr>
          <w:rFonts w:ascii="Times New Roman" w:hAnsi="Times New Roman"/>
          <w:i w:val="0"/>
          <w:sz w:val="26"/>
        </w:rPr>
        <w:t>"không chỉ chú ý đến tần suất" → "rather than merely targeting the frequency"</w:t>
      </w:r>
    </w:p>
    <w:p>
      <w:pPr>
        <w:spacing w:after="120"/>
        <w:jc w:val="both"/>
      </w:pPr>
      <w:r>
        <w:rPr>
          <w:rFonts w:ascii="Times New Roman" w:hAnsi="Times New Roman"/>
          <w:i/>
          <w:sz w:val="26"/>
        </w:rPr>
        <w:t>"Rather than merely" giữ ý đối lập + "merely" nhấn mạnh emphasis Vietnamese "không chỉ". Italics quality vs frequency preserves Vietnamese contrast emphasis.</w:t>
      </w:r>
    </w:p>
    <w:p>
      <w:pPr>
        <w:spacing w:before="240" w:after="120"/>
        <w:jc w:val="left"/>
      </w:pPr>
      <w:r>
        <w:rPr>
          <w:rFonts w:ascii="Times New Roman" w:hAnsi="Times New Roman"/>
          <w:b/>
          <w:sz w:val="26"/>
        </w:rPr>
        <w:t>4. BACK-TRANSLATION TEST (verify chiều ngược)</w:t>
      </w:r>
    </w:p>
    <w:p>
      <w:pPr>
        <w:spacing w:after="120"/>
        <w:jc w:val="both"/>
      </w:pPr>
      <w:r>
        <w:rPr>
          <w:rFonts w:ascii="Times New Roman" w:hAnsi="Times New Roman"/>
          <w:i/>
          <w:sz w:val="26"/>
        </w:rPr>
        <w:t>Dịch ngược English → Vietnamese để kiểm tra fidelity:</w:t>
      </w:r>
    </w:p>
    <w:tbl>
      <w:tblPr>
        <w:tblStyle w:val="LightGrid-Accent1"/>
        <w:tblW w:type="auto" w:w="0"/>
        <w:tblLook w:firstColumn="1" w:firstRow="1" w:lastColumn="0" w:lastRow="0" w:noHBand="0" w:noVBand="1" w:val="04A0"/>
      </w:tblPr>
      <w:tblGrid>
        <w:gridCol w:w="4535"/>
        <w:gridCol w:w="4535"/>
      </w:tblGrid>
      <w:tr>
        <w:tc>
          <w:tcPr>
            <w:tcW w:type="dxa" w:w="4535"/>
          </w:tcPr>
          <w:p>
            <w:r>
              <w:rPr>
                <w:b/>
                <w:sz w:val="22"/>
              </w:rPr>
              <w:t>EN</w:t>
            </w:r>
          </w:p>
        </w:tc>
        <w:tc>
          <w:tcPr>
            <w:tcW w:type="dxa" w:w="4535"/>
          </w:tcPr>
          <w:p>
            <w:r>
              <w:rPr>
                <w:b/>
                <w:sz w:val="22"/>
              </w:rPr>
              <w:t>VN (back-translated)</w:t>
            </w:r>
          </w:p>
        </w:tc>
      </w:tr>
      <w:tr>
        <w:tc>
          <w:tcPr>
            <w:tcW w:type="dxa" w:w="4535"/>
          </w:tcPr>
          <w:p>
            <w:r>
              <w:rPr>
                <w:sz w:val="20"/>
              </w:rPr>
              <w:t>When examined across the adaptive and maladaptive dimensions</w:t>
            </w:r>
          </w:p>
        </w:tc>
        <w:tc>
          <w:tcPr>
            <w:tcW w:type="dxa" w:w="4535"/>
          </w:tcPr>
          <w:p>
            <w:r>
              <w:rPr>
                <w:sz w:val="20"/>
              </w:rPr>
              <w:t>Khi phân tích theo hai chiều thích nghi và không thích nghi</w:t>
            </w:r>
          </w:p>
        </w:tc>
      </w:tr>
      <w:tr>
        <w:tc>
          <w:tcPr>
            <w:tcW w:type="dxa" w:w="4535"/>
          </w:tcPr>
          <w:p>
            <w:r>
              <w:rPr>
                <w:sz w:val="20"/>
              </w:rPr>
              <w:t>the results indicate that the maladaptive dimension (avoidance) shows a markedly positive association with anxiety symptoms</w:t>
            </w:r>
          </w:p>
        </w:tc>
        <w:tc>
          <w:tcPr>
            <w:tcW w:type="dxa" w:w="4535"/>
          </w:tcPr>
          <w:p>
            <w:r>
              <w:rPr>
                <w:sz w:val="20"/>
              </w:rPr>
              <w:t>kết quả cho thấy chiều không thích nghi (tránh né) có liên hệ dương rõ rệt với triệu chứng lo âu</w:t>
            </w:r>
          </w:p>
        </w:tc>
      </w:tr>
      <w:tr>
        <w:tc>
          <w:tcPr>
            <w:tcW w:type="dxa" w:w="4535"/>
          </w:tcPr>
          <w:p>
            <w:r>
              <w:rPr>
                <w:sz w:val="20"/>
              </w:rPr>
              <w:t>consistent with theoretical expectations</w:t>
            </w:r>
          </w:p>
        </w:tc>
        <w:tc>
          <w:tcPr>
            <w:tcW w:type="dxa" w:w="4535"/>
          </w:tcPr>
          <w:p>
            <w:r>
              <w:rPr>
                <w:sz w:val="20"/>
              </w:rPr>
              <w:t>phù hợp với kỳ vọng lý thuyết</w:t>
            </w:r>
          </w:p>
        </w:tc>
      </w:tr>
      <w:tr>
        <w:tc>
          <w:tcPr>
            <w:tcW w:type="dxa" w:w="4535"/>
          </w:tcPr>
          <w:p>
            <w:r>
              <w:rPr>
                <w:sz w:val="20"/>
              </w:rPr>
              <w:t>Meanwhile, the adaptive dimension also shows a positive association with anxiety symptoms</w:t>
            </w:r>
          </w:p>
        </w:tc>
        <w:tc>
          <w:tcPr>
            <w:tcW w:type="dxa" w:w="4535"/>
          </w:tcPr>
          <w:p>
            <w:r>
              <w:rPr>
                <w:sz w:val="20"/>
              </w:rPr>
              <w:t>Trong khi đó, chiều thích nghi cũng có liên hệ dương với triệu chứng lo âu</w:t>
            </w:r>
          </w:p>
        </w:tc>
      </w:tr>
      <w:tr>
        <w:tc>
          <w:tcPr>
            <w:tcW w:type="dxa" w:w="4535"/>
          </w:tcPr>
          <w:p>
            <w:r>
              <w:rPr>
                <w:sz w:val="20"/>
              </w:rPr>
              <w:t>students' conscious use of adaptive strategies has not yielded effective outcomes</w:t>
            </w:r>
          </w:p>
        </w:tc>
        <w:tc>
          <w:tcPr>
            <w:tcW w:type="dxa" w:w="4535"/>
          </w:tcPr>
          <w:p>
            <w:r>
              <w:rPr>
                <w:sz w:val="20"/>
              </w:rPr>
              <w:t>việc học sinh có ý thức sử dụng các chiến lược thích nghi chưa mang lại hiệu quả</w:t>
            </w:r>
          </w:p>
        </w:tc>
      </w:tr>
      <w:tr>
        <w:tc>
          <w:tcPr>
            <w:tcW w:type="dxa" w:w="4535"/>
          </w:tcPr>
          <w:p>
            <w:r>
              <w:rPr>
                <w:sz w:val="20"/>
              </w:rPr>
              <w:t>training that enhances the quality of students' coping skills</w:t>
            </w:r>
          </w:p>
        </w:tc>
        <w:tc>
          <w:tcPr>
            <w:tcW w:type="dxa" w:w="4535"/>
          </w:tcPr>
          <w:p>
            <w:r>
              <w:rPr>
                <w:sz w:val="20"/>
              </w:rPr>
              <w:t>tập huấn nâng cao chất lượng kỹ năng đối phó cho học sinh</w:t>
            </w:r>
          </w:p>
        </w:tc>
      </w:tr>
      <w:tr>
        <w:tc>
          <w:tcPr>
            <w:tcW w:type="dxa" w:w="4535"/>
          </w:tcPr>
          <w:p>
            <w:r>
              <w:rPr>
                <w:sz w:val="20"/>
              </w:rPr>
              <w:t>rather than merely targeting the frequency of their use</w:t>
            </w:r>
          </w:p>
        </w:tc>
        <w:tc>
          <w:tcPr>
            <w:tcW w:type="dxa" w:w="4535"/>
          </w:tcPr>
          <w:p>
            <w:r>
              <w:rPr>
                <w:sz w:val="20"/>
              </w:rPr>
              <w:t>thay vì chỉ chú ý đến tần suất sử dụng</w:t>
            </w:r>
          </w:p>
        </w:tc>
      </w:tr>
    </w:tbl>
    <w:p>
      <w:pPr>
        <w:spacing w:before="240" w:after="120"/>
        <w:jc w:val="left"/>
      </w:pPr>
      <w:r>
        <w:rPr>
          <w:rFonts w:ascii="Times New Roman" w:hAnsi="Times New Roman"/>
          <w:b/>
          <w:sz w:val="26"/>
        </w:rPr>
        <w:t>5. ACADEMIC PSYCHOLOGY COMPLIANCE CHECKLIST</w:t>
      </w:r>
    </w:p>
    <w:p>
      <w:pPr>
        <w:spacing w:after="120"/>
        <w:jc w:val="both"/>
      </w:pPr>
      <w:r>
        <w:rPr>
          <w:rFonts w:ascii="Times New Roman" w:hAnsi="Times New Roman"/>
          <w:i w:val="0"/>
          <w:sz w:val="26"/>
        </w:rPr>
        <w:t>✓ Terminology chuẩn (Lazarus &amp; Folkman 1984; Compas et al. 2017): adaptive / maladaptive / avoidance / problem-solving / support-seeking</w:t>
      </w:r>
    </w:p>
    <w:p>
      <w:pPr>
        <w:spacing w:after="120"/>
        <w:jc w:val="both"/>
      </w:pPr>
      <w:r>
        <w:rPr>
          <w:rFonts w:ascii="Times New Roman" w:hAnsi="Times New Roman"/>
          <w:i w:val="0"/>
          <w:sz w:val="26"/>
        </w:rPr>
        <w:t>✓ Hedging language academic ("indicate" thay "show prove"; "suggests" thay "proves")</w:t>
      </w:r>
    </w:p>
    <w:p>
      <w:pPr>
        <w:spacing w:after="120"/>
        <w:jc w:val="both"/>
      </w:pPr>
      <w:r>
        <w:rPr>
          <w:rFonts w:ascii="Times New Roman" w:hAnsi="Times New Roman"/>
          <w:i w:val="0"/>
          <w:sz w:val="26"/>
        </w:rPr>
        <w:t>✓ Correlational language chính xác ("shows a positive association" thay vì "causes" hoặc "leads to")</w:t>
      </w:r>
    </w:p>
    <w:p>
      <w:pPr>
        <w:spacing w:after="120"/>
        <w:jc w:val="both"/>
      </w:pPr>
      <w:r>
        <w:rPr>
          <w:rFonts w:ascii="Times New Roman" w:hAnsi="Times New Roman"/>
          <w:i w:val="0"/>
          <w:sz w:val="26"/>
        </w:rPr>
        <w:t>✓ Parallel structure ("training that enhances..." // "rather than merely targeting...")</w:t>
      </w:r>
    </w:p>
    <w:p>
      <w:pPr>
        <w:spacing w:after="120"/>
        <w:jc w:val="both"/>
      </w:pPr>
      <w:r>
        <w:rPr>
          <w:rFonts w:ascii="Times New Roman" w:hAnsi="Times New Roman"/>
          <w:i w:val="0"/>
          <w:sz w:val="26"/>
        </w:rPr>
        <w:t>✓ Tense consistency (present cho generalization, present perfect cho "chưa")</w:t>
      </w:r>
    </w:p>
    <w:p>
      <w:pPr>
        <w:spacing w:after="120"/>
        <w:jc w:val="both"/>
      </w:pPr>
      <w:r>
        <w:rPr>
          <w:rFonts w:ascii="Times New Roman" w:hAnsi="Times New Roman"/>
          <w:i w:val="0"/>
          <w:sz w:val="26"/>
        </w:rPr>
        <w:t>✓ Connectors logical ("consistent with"; "Meanwhile"; "The finding that... suggests")</w:t>
      </w:r>
    </w:p>
    <w:p>
      <w:pPr>
        <w:spacing w:after="120"/>
        <w:jc w:val="both"/>
      </w:pPr>
      <w:r>
        <w:rPr>
          <w:rFonts w:ascii="Times New Roman" w:hAnsi="Times New Roman"/>
          <w:i w:val="0"/>
          <w:sz w:val="26"/>
        </w:rPr>
        <w:t>✓ Italics emphasis cho contrast (quality vs frequency)</w:t>
      </w:r>
    </w:p>
    <w:p>
      <w:pPr>
        <w:spacing w:after="120"/>
        <w:jc w:val="both"/>
      </w:pPr>
      <w:r>
        <w:rPr>
          <w:rFonts w:ascii="Times New Roman" w:hAnsi="Times New Roman"/>
          <w:i w:val="0"/>
          <w:sz w:val="26"/>
        </w:rPr>
        <w:t>✓ No colloquial phrases hoặc informal language</w:t>
      </w:r>
    </w:p>
    <w:p>
      <w:pPr>
        <w:spacing w:after="120"/>
        <w:jc w:val="both"/>
      </w:pPr>
      <w:r>
        <w:rPr>
          <w:rFonts w:ascii="Times New Roman" w:hAnsi="Times New Roman"/>
          <w:i w:val="0"/>
          <w:sz w:val="26"/>
        </w:rPr>
        <w:t>✓ Possessive grammar correct ("students' conscious use")</w:t>
      </w:r>
    </w:p>
    <w:p>
      <w:pPr>
        <w:spacing w:after="120"/>
        <w:jc w:val="both"/>
      </w:pPr>
      <w:r>
        <w:rPr>
          <w:rFonts w:ascii="Times New Roman" w:hAnsi="Times New Roman"/>
          <w:i w:val="0"/>
          <w:sz w:val="26"/>
        </w:rPr>
        <w:t>✓ No double "yet" hoặc parallel structure violations</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dc:language/>
  <cp:contentStatus/>
</cp:coreProperties>
</file>