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MINISTRY OF EDUCATION AND TRAINING</w:t>
      </w:r>
    </w:p>
    <w:p>
      <w:pPr>
        <w:jc w:val="center"/>
      </w:pPr>
      <w:r>
        <w:rPr>
          <w:rFonts w:ascii="Times New Roman" w:hAnsi="Times New Roman"/>
          <w:b/>
          <w:i w:val="0"/>
          <w:sz w:val="24"/>
        </w:rPr>
        <w:t>HANOI NATIONAL UNIVERSITY OF EDUCATION</w:t>
      </w:r>
    </w:p>
    <w:p/>
    <w:p/>
    <w:p/>
    <w:p>
      <w:pPr>
        <w:jc w:val="center"/>
      </w:pPr>
      <w:r>
        <w:rPr>
          <w:rFonts w:ascii="Times New Roman" w:hAnsi="Times New Roman"/>
          <w:b/>
          <w:i w:val="0"/>
          <w:sz w:val="28"/>
        </w:rPr>
        <w:t>CONG THI HANG</w:t>
      </w:r>
    </w:p>
    <w:p/>
    <w:p/>
    <w:p>
      <w:pPr>
        <w:jc w:val="center"/>
      </w:pPr>
      <w:r>
        <w:rPr>
          <w:rFonts w:ascii="Times New Roman" w:hAnsi="Times New Roman"/>
          <w:b/>
          <w:i w:val="0"/>
          <w:sz w:val="32"/>
        </w:rPr>
        <w:t>ANXIETY DISORDERS AMONG</w:t>
      </w:r>
    </w:p>
    <w:p>
      <w:pPr>
        <w:jc w:val="center"/>
      </w:pPr>
      <w:r>
        <w:rPr>
          <w:rFonts w:ascii="Times New Roman" w:hAnsi="Times New Roman"/>
          <w:b/>
          <w:i w:val="0"/>
          <w:sz w:val="32"/>
        </w:rPr>
        <w:t>LOWER SECONDARY SCHOOL STUDENTS</w:t>
      </w:r>
    </w:p>
    <w:p/>
    <w:p/>
    <w:p>
      <w:pPr>
        <w:jc w:val="center"/>
      </w:pPr>
      <w:r>
        <w:rPr>
          <w:rFonts w:ascii="Times New Roman" w:hAnsi="Times New Roman"/>
          <w:b w:val="0"/>
          <w:i w:val="0"/>
          <w:sz w:val="24"/>
        </w:rPr>
        <w:t>Specialty: Specialised Psychology</w:t>
      </w:r>
    </w:p>
    <w:p>
      <w:pPr>
        <w:jc w:val="center"/>
      </w:pPr>
      <w:r>
        <w:rPr>
          <w:rFonts w:ascii="Times New Roman" w:hAnsi="Times New Roman"/>
          <w:b w:val="0"/>
          <w:i w:val="0"/>
          <w:sz w:val="24"/>
        </w:rPr>
        <w:t>Code: 9.31.04.01</w:t>
      </w:r>
    </w:p>
    <w:p/>
    <w:p/>
    <w:p>
      <w:pPr>
        <w:jc w:val="center"/>
      </w:pPr>
      <w:r>
        <w:rPr>
          <w:rFonts w:ascii="Times New Roman" w:hAnsi="Times New Roman"/>
          <w:b/>
          <w:i w:val="0"/>
          <w:sz w:val="26"/>
        </w:rPr>
        <w:t>SUMMARY OF DOCTORAL DISSERTATION IN PSYCHOLOGY</w:t>
      </w:r>
    </w:p>
    <w:p/>
    <w:p/>
    <w:p/>
    <w:p>
      <w:pPr>
        <w:jc w:val="center"/>
      </w:pPr>
      <w:r>
        <w:rPr>
          <w:rFonts w:ascii="Times New Roman" w:hAnsi="Times New Roman"/>
          <w:b/>
          <w:i w:val="0"/>
          <w:sz w:val="24"/>
        </w:rPr>
        <w:t>HANOI, 2026</w:t>
      </w:r>
    </w:p>
    <w:p>
      <w:r>
        <w:br w:type="page"/>
      </w:r>
    </w:p>
    <w:p>
      <w:pPr>
        <w:jc w:val="both"/>
      </w:pPr>
      <w:r>
        <w:rPr>
          <w:rFonts w:ascii="Times New Roman" w:hAnsi="Times New Roman"/>
          <w:b/>
          <w:i w:val="0"/>
          <w:sz w:val="22"/>
        </w:rPr>
        <w:t>The dissertation was completed at:</w:t>
      </w:r>
    </w:p>
    <w:p>
      <w:pPr>
        <w:jc w:val="center"/>
      </w:pPr>
      <w:r>
        <w:rPr>
          <w:rFonts w:ascii="Times New Roman" w:hAnsi="Times New Roman"/>
          <w:b/>
          <w:i w:val="0"/>
          <w:sz w:val="24"/>
        </w:rPr>
        <w:t>HANOI NATIONAL UNIVERSITY OF EDUCATION</w:t>
      </w:r>
    </w:p>
    <w:p/>
    <w:p>
      <w:pPr>
        <w:jc w:val="both"/>
      </w:pPr>
      <w:r>
        <w:rPr>
          <w:rFonts w:ascii="Times New Roman" w:hAnsi="Times New Roman"/>
          <w:b/>
          <w:i w:val="0"/>
          <w:sz w:val="22"/>
        </w:rPr>
        <w:t>Scientific supervisor:</w:t>
      </w:r>
    </w:p>
    <w:p>
      <w:pPr>
        <w:jc w:val="center"/>
      </w:pPr>
      <w:r>
        <w:rPr>
          <w:rFonts w:ascii="Times New Roman" w:hAnsi="Times New Roman"/>
          <w:b w:val="0"/>
          <w:i/>
          <w:sz w:val="22"/>
        </w:rPr>
        <w:t>Dr. Dao Minh Duc</w:t>
      </w:r>
    </w:p>
    <w:p/>
    <w:p>
      <w:pPr>
        <w:jc w:val="both"/>
      </w:pPr>
      <w:r>
        <w:rPr>
          <w:rFonts w:ascii="Times New Roman" w:hAnsi="Times New Roman"/>
          <w:b w:val="0"/>
          <w:i w:val="0"/>
          <w:sz w:val="22"/>
        </w:rPr>
        <w:t>Reviewer 1: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Reviewer 2: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Reviewer 3: .........................................................................................</w:t>
      </w:r>
    </w:p>
    <w:p>
      <w:pPr>
        <w:jc w:val="both"/>
      </w:pPr>
      <w:r>
        <w:rPr>
          <w:rFonts w:ascii="Times New Roman" w:hAnsi="Times New Roman"/>
          <w:b w:val="0"/>
          <w:i w:val="0"/>
          <w:sz w:val="22"/>
        </w:rPr>
        <w:t xml:space="preserve">            .........................................................................................</w:t>
      </w:r>
    </w:p>
    <w:p/>
    <w:p/>
    <w:p>
      <w:pPr>
        <w:ind w:firstLine="425"/>
        <w:jc w:val="both"/>
      </w:pPr>
      <w:r>
        <w:rPr>
          <w:rFonts w:ascii="Times New Roman" w:hAnsi="Times New Roman"/>
          <w:b w:val="0"/>
          <w:i w:val="0"/>
          <w:sz w:val="22"/>
        </w:rPr>
        <w:t>The dissertation will be defended before the University-level Dissertation Evaluation Committee at Hanoi National University of Education</w:t>
      </w:r>
    </w:p>
    <w:p>
      <w:pPr>
        <w:jc w:val="both"/>
      </w:pPr>
      <w:r>
        <w:rPr>
          <w:rFonts w:ascii="Times New Roman" w:hAnsi="Times New Roman"/>
          <w:b w:val="0"/>
          <w:i w:val="0"/>
          <w:sz w:val="22"/>
        </w:rPr>
        <w:t>at ........ on ........ / ........ / ........</w:t>
      </w:r>
    </w:p>
    <w:p/>
    <w:p/>
    <w:p>
      <w:pPr>
        <w:jc w:val="both"/>
      </w:pPr>
      <w:r>
        <w:rPr>
          <w:rFonts w:ascii="Times New Roman" w:hAnsi="Times New Roman"/>
          <w:b/>
          <w:i w:val="0"/>
          <w:sz w:val="22"/>
        </w:rPr>
        <w:t>The dissertation can be consulted at:</w:t>
      </w:r>
    </w:p>
    <w:p>
      <w:pPr>
        <w:jc w:val="both"/>
      </w:pPr>
      <w:r>
        <w:rPr>
          <w:rFonts w:ascii="Times New Roman" w:hAnsi="Times New Roman"/>
          <w:b w:val="0"/>
          <w:i w:val="0"/>
          <w:sz w:val="22"/>
        </w:rPr>
        <w:t>- National Library of Vietnam</w:t>
      </w:r>
    </w:p>
    <w:p>
      <w:pPr>
        <w:jc w:val="both"/>
      </w:pPr>
      <w:r>
        <w:rPr>
          <w:rFonts w:ascii="Times New Roman" w:hAnsi="Times New Roman"/>
          <w:b w:val="0"/>
          <w:i w:val="0"/>
          <w:sz w:val="22"/>
        </w:rPr>
        <w:t>- Library of Hanoi National University of Education</w:t>
      </w:r>
    </w:p>
    <w:p>
      <w:r>
        <w:br w:type="page"/>
      </w:r>
    </w:p>
    <w:p>
      <w:pPr>
        <w:spacing w:before="360" w:after="240"/>
        <w:jc w:val="center"/>
      </w:pPr>
      <w:r>
        <w:rPr>
          <w:rFonts w:ascii="Times New Roman" w:hAnsi="Times New Roman"/>
          <w:b/>
          <w:sz w:val="28"/>
        </w:rPr>
        <w:t>INTRODUCTION</w:t>
      </w:r>
    </w:p>
    <w:p>
      <w:pPr>
        <w:spacing w:before="200" w:after="80"/>
        <w:jc w:val="left"/>
      </w:pPr>
      <w:r>
        <w:rPr>
          <w:rFonts w:ascii="Times New Roman" w:hAnsi="Times New Roman"/>
          <w:b/>
          <w:sz w:val="24"/>
        </w:rPr>
        <w:t>1. Rationale for the study</w:t>
      </w:r>
    </w:p>
    <w:p>
      <w:pPr>
        <w:ind w:firstLine="425"/>
        <w:jc w:val="both"/>
      </w:pPr>
      <w:r>
        <w:rPr>
          <w:rFonts w:ascii="Times New Roman" w:hAnsi="Times New Roman"/>
          <w:b w:val="0"/>
          <w:i w:val="0"/>
          <w:sz w:val="22"/>
        </w:rPr>
        <w:t>In the current globally turbulent context, the mental health of adolescents is facing unprecedented challenges, among which Anxiety Disorders (AD) have emerged as one of the most prevalent and prominent issues. The World Health Organization (WHO) emphasises that anxiety disorders are among the two most serious mental health concerns, with early onset typically occurring during adolescence. Overall prevalence increased by up to 25% during the COVID-19 pandemic.</w:t>
      </w:r>
    </w:p>
    <w:p>
      <w:pPr>
        <w:ind w:firstLine="425"/>
        <w:jc w:val="both"/>
      </w:pPr>
      <w:r>
        <w:rPr>
          <w:rFonts w:ascii="Times New Roman" w:hAnsi="Times New Roman"/>
          <w:b w:val="0"/>
          <w:i w:val="0"/>
          <w:sz w:val="22"/>
        </w:rPr>
        <w:t>In Vietnam, the nationally representative V-NAMHS survey (Institute of Sociology et al., 2022) of 5,996 parent-adolescent dyads revealed that anxiety disorders are the most prevalent mental disorders among 10–17-year-olds, with a DSM-5 diagnostic rate of 2.3%. However, screening-based studies have reported widely varying rates, sometimes exceeding 50%, indicating substantial methodological gaps in the measurement of anxiety disorders among Vietnamese students.</w:t>
      </w:r>
    </w:p>
    <w:p>
      <w:pPr>
        <w:ind w:firstLine="425"/>
        <w:jc w:val="both"/>
      </w:pPr>
      <w:r>
        <w:rPr>
          <w:rFonts w:ascii="Times New Roman" w:hAnsi="Times New Roman"/>
          <w:b w:val="0"/>
          <w:i w:val="0"/>
          <w:sz w:val="22"/>
        </w:rPr>
        <w:t>Lower secondary school students (aged 11–15) occupy a particularly important developmental stage, characterised by vulnerability to mental health challenges due to the complex interaction between psychophysiological changes and academic, familial, and social pressures. This is also the typical onset stage for several types of anxiety disorders, particularly social anxiety disorder.</w:t>
      </w:r>
    </w:p>
    <w:p>
      <w:pPr>
        <w:ind w:firstLine="425"/>
        <w:jc w:val="both"/>
      </w:pPr>
      <w:r>
        <w:rPr>
          <w:rFonts w:ascii="Times New Roman" w:hAnsi="Times New Roman"/>
          <w:b w:val="0"/>
          <w:i w:val="0"/>
          <w:sz w:val="22"/>
        </w:rPr>
        <w:t>Existing domestic research presents five major gaps: (1) lack of a standardised anxiety disorder assessment tool culturally and linguistically adapted for Vietnamese children and adolescents; (2) most studies focus on generalised anxiety, while social anxiety and separation anxiety remain largely unexplored; (3) protective factors have not been examined simultaneously and integrated with risk factors in a unified design; (4) longitudinal studies remain rare; (5) limited research on cognitive-behavioural therapy (CBT) interventions for Vietnamese lower secondary school students.</w:t>
      </w:r>
    </w:p>
    <w:p>
      <w:pPr>
        <w:ind w:firstLine="425"/>
        <w:jc w:val="both"/>
      </w:pPr>
      <w:r>
        <w:rPr>
          <w:rFonts w:ascii="Times New Roman" w:hAnsi="Times New Roman"/>
          <w:b w:val="0"/>
          <w:i w:val="0"/>
          <w:sz w:val="22"/>
        </w:rPr>
        <w:t>Based on these gaps, the dissertation "Anxiety Disorders among Lower Secondary School Students" was selected to provide empirical evidence on the prevalence and contributing factors, while proposing a prevention training framework suited to the Vietnamese educational context.</w:t>
      </w:r>
    </w:p>
    <w:p>
      <w:pPr>
        <w:spacing w:before="200" w:after="80"/>
        <w:jc w:val="left"/>
      </w:pPr>
      <w:r>
        <w:rPr>
          <w:rFonts w:ascii="Times New Roman" w:hAnsi="Times New Roman"/>
          <w:b/>
          <w:sz w:val="24"/>
        </w:rPr>
        <w:t>2. Research objectives</w:t>
      </w:r>
    </w:p>
    <w:p>
      <w:pPr>
        <w:ind w:firstLine="425"/>
        <w:jc w:val="both"/>
      </w:pPr>
      <w:r>
        <w:rPr>
          <w:rFonts w:ascii="Times New Roman" w:hAnsi="Times New Roman"/>
          <w:b w:val="0"/>
          <w:i w:val="0"/>
          <w:sz w:val="22"/>
        </w:rPr>
        <w:t>To investigate the theoretical foundations of anxiety disorders among lower secondary school students; to examine the prevalence of anxiety disorders and contributing factors (both risk and protective); and on that basis, to propose a training framework for the prevention of anxiety disorders among lower secondary school students.</w:t>
      </w:r>
    </w:p>
    <w:p>
      <w:pPr>
        <w:spacing w:before="200" w:after="80"/>
        <w:jc w:val="left"/>
      </w:pPr>
      <w:r>
        <w:rPr>
          <w:rFonts w:ascii="Times New Roman" w:hAnsi="Times New Roman"/>
          <w:b/>
          <w:sz w:val="24"/>
        </w:rPr>
        <w:t>3. Research subjects</w:t>
      </w:r>
    </w:p>
    <w:p>
      <w:pPr>
        <w:ind w:firstLine="425"/>
        <w:jc w:val="both"/>
      </w:pPr>
      <w:r>
        <w:rPr>
          <w:rFonts w:ascii="Times New Roman" w:hAnsi="Times New Roman"/>
          <w:b w:val="0"/>
          <w:i w:val="0"/>
          <w:sz w:val="22"/>
        </w:rPr>
        <w:t>The levels, manifestations, and impacts of factors influencing school-based anxiety disorders among lower secondary school students; the proposed framework for anxiety prevention training for these students.</w:t>
      </w:r>
    </w:p>
    <w:p>
      <w:pPr>
        <w:spacing w:before="200" w:after="80"/>
        <w:jc w:val="left"/>
      </w:pPr>
      <w:r>
        <w:rPr>
          <w:rFonts w:ascii="Times New Roman" w:hAnsi="Times New Roman"/>
          <w:b/>
          <w:sz w:val="24"/>
        </w:rPr>
        <w:t>4. Research participants</w:t>
      </w:r>
    </w:p>
    <w:p>
      <w:pPr>
        <w:jc w:val="both"/>
      </w:pPr>
      <w:r>
        <w:rPr>
          <w:rFonts w:ascii="Times New Roman" w:hAnsi="Times New Roman"/>
          <w:b w:val="0"/>
          <w:i w:val="0"/>
          <w:sz w:val="22"/>
        </w:rPr>
        <w:t>- Lower secondary school students: a survey of 1,352 students and in-depth interviews with 12 students in Hanoi.</w:t>
      </w:r>
    </w:p>
    <w:p>
      <w:pPr>
        <w:jc w:val="both"/>
      </w:pPr>
      <w:r>
        <w:rPr>
          <w:rFonts w:ascii="Times New Roman" w:hAnsi="Times New Roman"/>
          <w:b w:val="0"/>
          <w:i w:val="0"/>
          <w:sz w:val="22"/>
        </w:rPr>
        <w:t>- Lower secondary school teachers: in-depth interviews with 6 homeroom teachers.</w:t>
      </w:r>
    </w:p>
    <w:p>
      <w:pPr>
        <w:spacing w:before="200" w:after="80"/>
        <w:jc w:val="left"/>
      </w:pPr>
      <w:r>
        <w:rPr>
          <w:rFonts w:ascii="Times New Roman" w:hAnsi="Times New Roman"/>
          <w:b/>
          <w:sz w:val="24"/>
        </w:rPr>
        <w:t>5. Scientific hypotheses</w:t>
      </w:r>
    </w:p>
    <w:p>
      <w:pPr>
        <w:ind w:firstLine="425"/>
        <w:jc w:val="both"/>
      </w:pPr>
      <w:r>
        <w:rPr>
          <w:rFonts w:ascii="Times New Roman" w:hAnsi="Times New Roman"/>
          <w:b w:val="0"/>
          <w:i w:val="0"/>
          <w:sz w:val="22"/>
        </w:rPr>
        <w:t>The dissertation formulates three scientific hypotheses:</w:t>
      </w:r>
    </w:p>
    <w:p>
      <w:pPr>
        <w:ind w:firstLine="425"/>
        <w:jc w:val="both"/>
      </w:pPr>
      <w:r>
        <w:rPr>
          <w:rFonts w:ascii="Times New Roman" w:hAnsi="Times New Roman"/>
          <w:b w:val="0"/>
          <w:i w:val="0"/>
          <w:sz w:val="22"/>
        </w:rPr>
        <w:t>Hypothesis 1 — Gender differences depend on the type of anxiety disorder: for generalised anxiety and social anxiety, female students show higher levels than male students; for separation anxiety, there is no statistically significant gender difference.</w:t>
      </w:r>
    </w:p>
    <w:p>
      <w:pPr>
        <w:ind w:firstLine="425"/>
        <w:jc w:val="both"/>
      </w:pPr>
      <w:r>
        <w:rPr>
          <w:rFonts w:ascii="Times New Roman" w:hAnsi="Times New Roman"/>
          <w:b w:val="0"/>
          <w:i w:val="0"/>
          <w:sz w:val="22"/>
        </w:rPr>
        <w:t>Hypothesis 2 — Self-esteem is among the strongest protective factors, with effect size comparable to that of academic pressure on anxiety disorders.</w:t>
      </w:r>
    </w:p>
    <w:p>
      <w:pPr>
        <w:ind w:firstLine="425"/>
        <w:jc w:val="both"/>
      </w:pPr>
      <w:r>
        <w:rPr>
          <w:rFonts w:ascii="Times New Roman" w:hAnsi="Times New Roman"/>
          <w:b w:val="0"/>
          <w:i w:val="0"/>
          <w:sz w:val="22"/>
        </w:rPr>
        <w:t>Hypothesis 3 — Academic pressure and mobile phone addiction are among the strongest risk factors influencing anxiety disorders in lower secondary school students.</w:t>
      </w:r>
    </w:p>
    <w:p>
      <w:pPr>
        <w:spacing w:before="200" w:after="80"/>
        <w:jc w:val="left"/>
      </w:pPr>
      <w:r>
        <w:rPr>
          <w:rFonts w:ascii="Times New Roman" w:hAnsi="Times New Roman"/>
          <w:b/>
          <w:sz w:val="24"/>
        </w:rPr>
        <w:t>6. Research tasks</w:t>
      </w:r>
    </w:p>
    <w:p>
      <w:pPr>
        <w:jc w:val="both"/>
      </w:pPr>
      <w:r>
        <w:rPr>
          <w:rFonts w:ascii="Times New Roman" w:hAnsi="Times New Roman"/>
          <w:b w:val="0"/>
          <w:i w:val="0"/>
          <w:sz w:val="22"/>
        </w:rPr>
        <w:t>(1) To systematise the theoretical foundations of anxiety disorders and anxiety disorders among lower secondary school students.</w:t>
      </w:r>
    </w:p>
    <w:p>
      <w:pPr>
        <w:jc w:val="both"/>
      </w:pPr>
      <w:r>
        <w:rPr>
          <w:rFonts w:ascii="Times New Roman" w:hAnsi="Times New Roman"/>
          <w:b w:val="0"/>
          <w:i w:val="0"/>
          <w:sz w:val="22"/>
        </w:rPr>
        <w:t>(2) To investigate the prevalence, manifestations, and contributing factors (risk factors, protective factors, and coping strategies) of anxiety disorders among lower secondary school students.</w:t>
      </w:r>
    </w:p>
    <w:p>
      <w:pPr>
        <w:jc w:val="both"/>
      </w:pPr>
      <w:r>
        <w:rPr>
          <w:rFonts w:ascii="Times New Roman" w:hAnsi="Times New Roman"/>
          <w:b w:val="0"/>
          <w:i w:val="0"/>
          <w:sz w:val="22"/>
        </w:rPr>
        <w:t>(3) To propose a school-based training framework for the prevention of anxiety disorders among lower secondary school students.</w:t>
      </w:r>
    </w:p>
    <w:p>
      <w:pPr>
        <w:spacing w:before="200" w:after="80"/>
        <w:jc w:val="left"/>
      </w:pPr>
      <w:r>
        <w:rPr>
          <w:rFonts w:ascii="Times New Roman" w:hAnsi="Times New Roman"/>
          <w:b/>
          <w:sz w:val="24"/>
        </w:rPr>
        <w:t>7. Scope of the study</w:t>
      </w:r>
    </w:p>
    <w:p>
      <w:pPr>
        <w:ind w:firstLine="425"/>
        <w:jc w:val="both"/>
      </w:pPr>
      <w:r>
        <w:rPr>
          <w:rFonts w:ascii="Times New Roman" w:hAnsi="Times New Roman"/>
          <w:b w:val="0"/>
          <w:i w:val="0"/>
          <w:sz w:val="22"/>
        </w:rPr>
        <w:t>Content: focuses on three types of anxiety disorders (generalised, social, separation) and contributing factors (academic pressure, mobile phone addiction, school bullying, self-esteem, school attachment, social support, and coping strategies).</w:t>
      </w:r>
    </w:p>
    <w:p>
      <w:pPr>
        <w:ind w:firstLine="425"/>
        <w:jc w:val="both"/>
      </w:pPr>
      <w:r>
        <w:rPr>
          <w:rFonts w:ascii="Times New Roman" w:hAnsi="Times New Roman"/>
          <w:b w:val="0"/>
          <w:i w:val="0"/>
          <w:sz w:val="22"/>
        </w:rPr>
        <w:t>Setting: 2 lower secondary schools in Hanoi — Nhat Tan Lower Secondary School (inner city) and Tay Mo Lower Secondary School (peri-urban).</w:t>
      </w:r>
    </w:p>
    <w:p>
      <w:pPr>
        <w:ind w:firstLine="425"/>
        <w:jc w:val="both"/>
      </w:pPr>
      <w:r>
        <w:rPr>
          <w:rFonts w:ascii="Times New Roman" w:hAnsi="Times New Roman"/>
          <w:b w:val="0"/>
          <w:i w:val="0"/>
          <w:sz w:val="22"/>
        </w:rPr>
        <w:t>Participants: lower secondary school students from Grades 6–9 (aged 11–14).</w:t>
      </w:r>
    </w:p>
    <w:p>
      <w:pPr>
        <w:spacing w:before="200" w:after="80"/>
        <w:jc w:val="left"/>
      </w:pPr>
      <w:r>
        <w:rPr>
          <w:rFonts w:ascii="Times New Roman" w:hAnsi="Times New Roman"/>
          <w:b/>
          <w:sz w:val="24"/>
        </w:rPr>
        <w:t>8. Research methods</w:t>
      </w:r>
    </w:p>
    <w:p>
      <w:pPr>
        <w:ind w:firstLine="425"/>
        <w:jc w:val="both"/>
      </w:pPr>
      <w:r>
        <w:rPr>
          <w:rFonts w:ascii="Times New Roman" w:hAnsi="Times New Roman"/>
          <w:b w:val="0"/>
          <w:i w:val="0"/>
          <w:sz w:val="22"/>
        </w:rPr>
        <w:t>The dissertation employs a combination of methods: (1) literature and document review; (2) questionnaire survey; (3) in-depth interview; (4) observation; (5) statistical analysis using SPSS 31.0 and AMOS 31.0.</w:t>
      </w:r>
    </w:p>
    <w:p>
      <w:pPr>
        <w:spacing w:before="200" w:after="80"/>
        <w:jc w:val="left"/>
      </w:pPr>
      <w:r>
        <w:rPr>
          <w:rFonts w:ascii="Times New Roman" w:hAnsi="Times New Roman"/>
          <w:b/>
          <w:sz w:val="24"/>
        </w:rPr>
        <w:t>9. New contributions of the dissertation</w:t>
      </w:r>
    </w:p>
    <w:p>
      <w:pPr>
        <w:ind w:firstLine="425"/>
        <w:jc w:val="both"/>
      </w:pPr>
      <w:r>
        <w:rPr>
          <w:rFonts w:ascii="Times New Roman" w:hAnsi="Times New Roman"/>
          <w:b w:val="0"/>
          <w:i w:val="0"/>
          <w:sz w:val="22"/>
        </w:rPr>
        <w:t>Theoretical contributions: systematising the theoretical foundations of anxiety disorders among lower secondary school students by integrating networks of risk and protective factors; establishing a conceptual framework for coping strategies along two dimensions — adaptive and maladaptive.</w:t>
      </w:r>
    </w:p>
    <w:p>
      <w:pPr>
        <w:ind w:firstLine="425"/>
        <w:jc w:val="both"/>
      </w:pPr>
      <w:r>
        <w:rPr>
          <w:rFonts w:ascii="Times New Roman" w:hAnsi="Times New Roman"/>
          <w:b w:val="0"/>
          <w:i w:val="0"/>
          <w:sz w:val="22"/>
        </w:rPr>
        <w:t>Practical contributions: providing quantitative evidence on the prevalence of anxiety disorders among 1,352 lower secondary school students in Hanoi; proposing a scientifically grounded and practically feasible training framework for the prevention of school-based anxiety disorders, applicable to Vietnamese school settings.</w:t>
      </w:r>
    </w:p>
    <w:p>
      <w:pPr>
        <w:spacing w:before="200" w:after="80"/>
        <w:jc w:val="left"/>
      </w:pPr>
      <w:r>
        <w:rPr>
          <w:rFonts w:ascii="Times New Roman" w:hAnsi="Times New Roman"/>
          <w:b/>
          <w:sz w:val="24"/>
        </w:rPr>
        <w:t>10. Structure of the dissertation</w:t>
      </w:r>
    </w:p>
    <w:p>
      <w:pPr>
        <w:ind w:firstLine="425"/>
        <w:jc w:val="both"/>
      </w:pPr>
      <w:r>
        <w:rPr>
          <w:rFonts w:ascii="Times New Roman" w:hAnsi="Times New Roman"/>
          <w:b w:val="0"/>
          <w:i w:val="0"/>
          <w:sz w:val="22"/>
        </w:rPr>
        <w:t>In addition to the Introduction, Conclusion, References, and Appendices, the dissertation comprises 3 chapters: Chapter 1 — Theoretical foundations of anxiety disorders among lower secondary school students; Chapter 2 — Research organisation and methods; Chapter 3 — Empirical results on the prevalence of anxiety disorders.</w:t>
      </w:r>
    </w:p>
    <w:p>
      <w:r>
        <w:br w:type="page"/>
      </w:r>
    </w:p>
    <w:p>
      <w:pPr>
        <w:spacing w:before="360" w:after="240"/>
        <w:jc w:val="center"/>
      </w:pPr>
      <w:r>
        <w:rPr>
          <w:rFonts w:ascii="Times New Roman" w:hAnsi="Times New Roman"/>
          <w:b/>
          <w:sz w:val="28"/>
        </w:rPr>
        <w:t>CHAPTER 1</w:t>
        <w:br/>
        <w:t>THEORETICAL FOUNDATIONS OF ANXIETY</w:t>
        <w:br/>
        <w:t>DISORDERS AMONG LOWER SECONDARY SCHOOL STUDENTS</w:t>
      </w:r>
    </w:p>
    <w:p>
      <w:pPr>
        <w:spacing w:before="200" w:after="80"/>
        <w:jc w:val="left"/>
      </w:pPr>
      <w:r>
        <w:rPr>
          <w:rFonts w:ascii="Times New Roman" w:hAnsi="Times New Roman"/>
          <w:b/>
          <w:sz w:val="24"/>
        </w:rPr>
        <w:t>1.1. Literature review</w:t>
      </w:r>
    </w:p>
    <w:p>
      <w:pPr>
        <w:spacing w:before="120" w:after="40"/>
        <w:jc w:val="left"/>
      </w:pPr>
      <w:r>
        <w:rPr>
          <w:rFonts w:ascii="Times New Roman" w:hAnsi="Times New Roman"/>
          <w:b/>
          <w:sz w:val="22"/>
        </w:rPr>
        <w:t>1.1.1. Prevalence and levels of anxiety disorders</w:t>
      </w:r>
    </w:p>
    <w:p>
      <w:pPr>
        <w:ind w:firstLine="425"/>
        <w:jc w:val="both"/>
      </w:pPr>
      <w:r>
        <w:rPr>
          <w:rFonts w:ascii="Times New Roman" w:hAnsi="Times New Roman"/>
          <w:b w:val="0"/>
          <w:i w:val="0"/>
          <w:sz w:val="22"/>
        </w:rPr>
        <w:t>International studies indicate wide variation in anxiety disorder prevalence among adolescents, depending on the screening instrument and national context. Xu et al. (2021), surveying 373,216 secondary school students in China using the GAD-7, reported a prevalence of 9.89% at moderate or higher levels, rising to 38.42% when including the mild level. Bhardwaj et al. (2020), surveying 288 upper secondary students in India using the DASS-21, found prevalences of 81.9% (mild or higher) and 73.2% (moderate or higher). Chen et al. (2023), surveying 63,205 secondary school students in China, reported anxiety at 13.9% and depression at 23.0%.</w:t>
      </w:r>
    </w:p>
    <w:p>
      <w:pPr>
        <w:ind w:firstLine="425"/>
        <w:jc w:val="both"/>
      </w:pPr>
      <w:r>
        <w:rPr>
          <w:rFonts w:ascii="Times New Roman" w:hAnsi="Times New Roman"/>
          <w:b w:val="0"/>
          <w:i w:val="0"/>
          <w:sz w:val="22"/>
        </w:rPr>
        <w:t>In Vietnam, the V-NAMHS survey (Institute of Sociology et al., 2022) of 5,996 parent-adolescent dyads identified an anxiety disorder prevalence meeting DSM-5 criteria of 2.3%. Other screening-based studies reported higher rates: Hoang Trung Hoc and Nguyen Thuy Dung (2025), surveying 8,473 students across six provinces, reported anxiety rates of 41.5% during COVID-19 and 25.4% post-COVID-19; Nguyen Ngoc Bao Quyen et al. (2025), surveying 501 upper secondary students in Hanoi using the DASS-21, reported a rate of 86.2%.</w:t>
      </w:r>
    </w:p>
    <w:p>
      <w:pPr>
        <w:spacing w:before="120" w:after="40"/>
        <w:jc w:val="left"/>
      </w:pPr>
      <w:r>
        <w:rPr>
          <w:rFonts w:ascii="Times New Roman" w:hAnsi="Times New Roman"/>
          <w:b/>
          <w:sz w:val="22"/>
        </w:rPr>
        <w:t>1.1.2. Risk and protective factors</w:t>
      </w:r>
    </w:p>
    <w:p>
      <w:pPr>
        <w:ind w:firstLine="425"/>
        <w:jc w:val="both"/>
      </w:pPr>
      <w:r>
        <w:rPr>
          <w:rFonts w:ascii="Times New Roman" w:hAnsi="Times New Roman"/>
          <w:b w:val="0"/>
          <w:i w:val="0"/>
          <w:sz w:val="22"/>
        </w:rPr>
        <w:t>Key risk factors identified in international literature include: academic pressure (Steare et al., 2023 — a systematic review of 52 studies, 48 of which confirmed a positive correlation between academic pressure and poor mental health); mobile phone and social media addiction (A.M. Saikia et al., 2023; Z. Chen et al., 2023; T.L. Anderson et al., 2025); school bullying (Z. Chen et al., 2023 — reporting school bullying rates ranging from 9.0% to 61.6%).</w:t>
      </w:r>
    </w:p>
    <w:p>
      <w:pPr>
        <w:ind w:firstLine="425"/>
        <w:jc w:val="both"/>
      </w:pPr>
      <w:r>
        <w:rPr>
          <w:rFonts w:ascii="Times New Roman" w:hAnsi="Times New Roman"/>
          <w:b w:val="0"/>
          <w:i w:val="0"/>
          <w:sz w:val="22"/>
        </w:rPr>
        <w:t>Protective factors include: self-esteem (Rosenberg, 1965; Masten, 2014); school attachment; parental and peer support (Compas et al., 2017 — a meta-analysis of 212 studies, N = 80,850); and adaptive coping strategies (Lazarus and Folkman, 1984; Compas et al., 2017).</w:t>
      </w:r>
    </w:p>
    <w:p>
      <w:pPr>
        <w:spacing w:before="120" w:after="40"/>
        <w:jc w:val="left"/>
      </w:pPr>
      <w:r>
        <w:rPr>
          <w:rFonts w:ascii="Times New Roman" w:hAnsi="Times New Roman"/>
          <w:b/>
          <w:sz w:val="22"/>
        </w:rPr>
        <w:t>1.1.3. Research gaps in Vietnam</w:t>
      </w:r>
    </w:p>
    <w:p>
      <w:pPr>
        <w:ind w:firstLine="425"/>
        <w:jc w:val="both"/>
      </w:pPr>
      <w:r>
        <w:rPr>
          <w:rFonts w:ascii="Times New Roman" w:hAnsi="Times New Roman"/>
          <w:b w:val="0"/>
          <w:i w:val="0"/>
          <w:sz w:val="22"/>
        </w:rPr>
        <w:t>Review of domestic studies reveals five key gaps: (1) lack of a standardised anxiety disorder assessment tool culturally and linguistically adapted for Vietnamese children and adolescents, resulting in widely varying prevalence estimates (from 2.3% by full diagnosis to over 50% by screening); (2) most studies focus on generalised anxiety using the GAD-7/DASS-21, while social and separation anxiety remain largely unstudied; (3) protective factors have not been examined simultaneously and integrated with risk factors in a unified design; (4) longitudinal studies and multi-centre randomised clinical trials are rare; (5) limited research on CBT-based interventions for Vietnamese lower secondary school students.</w:t>
      </w:r>
    </w:p>
    <w:p>
      <w:pPr>
        <w:spacing w:before="200" w:after="80"/>
        <w:jc w:val="left"/>
      </w:pPr>
      <w:r>
        <w:rPr>
          <w:rFonts w:ascii="Times New Roman" w:hAnsi="Times New Roman"/>
          <w:b/>
          <w:sz w:val="24"/>
        </w:rPr>
        <w:t>1.2. Theoretical foundations</w:t>
      </w:r>
    </w:p>
    <w:p>
      <w:pPr>
        <w:spacing w:before="120" w:after="40"/>
        <w:jc w:val="left"/>
      </w:pPr>
      <w:r>
        <w:rPr>
          <w:rFonts w:ascii="Times New Roman" w:hAnsi="Times New Roman"/>
          <w:b/>
          <w:sz w:val="22"/>
        </w:rPr>
        <w:t>1.2.1. Concept of anxiety disorders</w:t>
      </w:r>
    </w:p>
    <w:p>
      <w:pPr>
        <w:ind w:firstLine="425"/>
        <w:jc w:val="both"/>
      </w:pPr>
      <w:r>
        <w:rPr>
          <w:rFonts w:ascii="Times New Roman" w:hAnsi="Times New Roman"/>
          <w:b w:val="0"/>
          <w:i w:val="0"/>
          <w:sz w:val="22"/>
        </w:rPr>
        <w:t>Anxiety disorder is an abnormal psychological state involving excessive fear, persistent worry, and related behavioural disturbances that cause significant distress in personal life. According to DSM-5 (American Psychiatric Association, 2013), anxiety disorders are structured as a multi-component system, including cognitive aspects (negative thinking, catastrophising), emotional aspects (tension, restlessness), physiological aspects (hyperactivation of the sympathetic nervous system), and behavioural aspects (avoidance, repetitive checking).</w:t>
      </w:r>
    </w:p>
    <w:p>
      <w:pPr>
        <w:spacing w:before="120" w:after="40"/>
        <w:jc w:val="left"/>
      </w:pPr>
      <w:r>
        <w:rPr>
          <w:rFonts w:ascii="Times New Roman" w:hAnsi="Times New Roman"/>
          <w:b/>
          <w:sz w:val="22"/>
        </w:rPr>
        <w:t>1.2.2. Classification of anxiety disorders according to DSM-5</w:t>
      </w:r>
    </w:p>
    <w:p>
      <w:pPr>
        <w:ind w:firstLine="425"/>
        <w:jc w:val="both"/>
      </w:pPr>
      <w:r>
        <w:rPr>
          <w:rFonts w:ascii="Times New Roman" w:hAnsi="Times New Roman"/>
          <w:b w:val="0"/>
          <w:i w:val="0"/>
          <w:sz w:val="22"/>
        </w:rPr>
        <w:t>According to DSM-5, the main forms of anxiety disorders in children and adolescents include: (1) Generalised Anxiety Disorder (GAD): excessive worry about multiple events lasting at least 6 months, accompanied by somatic symptoms; (2) Social Anxiety Disorder: marked and persistent fear in social or performance situations; (3) Separation Anxiety Disorder: excessive concern about separation from attachment figures, typically with onset in childhood and adolescence.</w:t>
      </w:r>
    </w:p>
    <w:p>
      <w:pPr>
        <w:spacing w:before="120" w:after="40"/>
        <w:jc w:val="left"/>
      </w:pPr>
      <w:r>
        <w:rPr>
          <w:rFonts w:ascii="Times New Roman" w:hAnsi="Times New Roman"/>
          <w:b/>
          <w:sz w:val="22"/>
        </w:rPr>
        <w:t>1.2.3. Lower secondary school students and anxiety disorders</w:t>
      </w:r>
    </w:p>
    <w:p>
      <w:pPr>
        <w:ind w:firstLine="425"/>
        <w:jc w:val="both"/>
      </w:pPr>
      <w:r>
        <w:rPr>
          <w:rFonts w:ascii="Times New Roman" w:hAnsi="Times New Roman"/>
          <w:b w:val="0"/>
          <w:i w:val="0"/>
          <w:sz w:val="22"/>
        </w:rPr>
        <w:t>Anxiety disorders among lower secondary school students are abnormal psychological states characterised by emotional imbalance, including excessive fear, worry, disproportionate fear responses to the perceived danger of a situation, and related behavioural disturbances, accompanied by physiological manifestations, persistent and detrimental to academic performance and quality of life.</w:t>
      </w:r>
    </w:p>
    <w:p>
      <w:pPr>
        <w:spacing w:before="120" w:after="40"/>
        <w:jc w:val="left"/>
      </w:pPr>
      <w:r>
        <w:rPr>
          <w:rFonts w:ascii="Times New Roman" w:hAnsi="Times New Roman"/>
          <w:b/>
          <w:sz w:val="22"/>
        </w:rPr>
        <w:t>1.2.4. Network of contributing factors</w:t>
      </w:r>
    </w:p>
    <w:p>
      <w:pPr>
        <w:ind w:firstLine="425"/>
        <w:jc w:val="both"/>
      </w:pPr>
      <w:r>
        <w:rPr>
          <w:rFonts w:ascii="Times New Roman" w:hAnsi="Times New Roman"/>
          <w:b w:val="0"/>
          <w:i w:val="0"/>
          <w:sz w:val="22"/>
        </w:rPr>
        <w:t>The dissertation establishes an analytical framework for factors influencing anxiety disorders among lower secondary school students, organised into two groups: risk factors (academic pressure, mobile phone addiction, physical bullying, verbal and cyber bullying, low self-esteem) and protective factors (self-esteem, school attachment, parental support, peer support, adaptive coping strategies). These factors interact simultaneously and are not mutually exclusive.</w:t>
      </w:r>
    </w:p>
    <w:p>
      <w:pPr>
        <w:spacing w:before="200" w:after="80"/>
        <w:jc w:val="left"/>
      </w:pPr>
      <w:r>
        <w:rPr>
          <w:rFonts w:ascii="Times New Roman" w:hAnsi="Times New Roman"/>
          <w:b/>
          <w:sz w:val="24"/>
        </w:rPr>
        <w:t>1.3. Training framework for the prevention of anxiety disorders</w:t>
      </w:r>
    </w:p>
    <w:p>
      <w:pPr>
        <w:ind w:firstLine="425"/>
        <w:jc w:val="both"/>
      </w:pPr>
      <w:r>
        <w:rPr>
          <w:rFonts w:ascii="Times New Roman" w:hAnsi="Times New Roman"/>
          <w:b w:val="0"/>
          <w:i w:val="0"/>
          <w:sz w:val="22"/>
        </w:rPr>
        <w:t>Based on the findings regarding risk and protective factors, the dissertation develops a training framework for the prevention of anxiety disorders among lower secondary school students, with three components: (1) scientific foundations based on the cognitive-behavioural therapy (CBT) approach and the stepped care model; (2) framework concept — a programme oriented towards primary and secondary prevention rather than clinical treatment; (3) programme structure comprising eight core modules, with implementation procedures and effectiveness evaluation.</w:t>
      </w:r>
    </w:p>
    <w:p>
      <w:r>
        <w:br w:type="page"/>
      </w:r>
    </w:p>
    <w:p>
      <w:pPr>
        <w:spacing w:before="360" w:after="240"/>
        <w:jc w:val="center"/>
      </w:pPr>
      <w:r>
        <w:rPr>
          <w:rFonts w:ascii="Times New Roman" w:hAnsi="Times New Roman"/>
          <w:b/>
          <w:sz w:val="28"/>
        </w:rPr>
        <w:t>CHAPTER 2</w:t>
        <w:br/>
        <w:t>RESEARCH ORGANISATION AND METHODS</w:t>
      </w:r>
    </w:p>
    <w:p>
      <w:pPr>
        <w:spacing w:before="200" w:after="80"/>
        <w:jc w:val="left"/>
      </w:pPr>
      <w:r>
        <w:rPr>
          <w:rFonts w:ascii="Times New Roman" w:hAnsi="Times New Roman"/>
          <w:b/>
          <w:sz w:val="24"/>
        </w:rPr>
        <w:t>2.1. Research organisation</w:t>
      </w:r>
    </w:p>
    <w:p>
      <w:pPr>
        <w:ind w:firstLine="425"/>
        <w:jc w:val="both"/>
      </w:pPr>
      <w:r>
        <w:rPr>
          <w:rFonts w:ascii="Times New Roman" w:hAnsi="Times New Roman"/>
          <w:b w:val="0"/>
          <w:i w:val="0"/>
          <w:sz w:val="22"/>
        </w:rPr>
        <w:t>The study employs a mixed quantitative–qualitative design, implemented in two phases:</w:t>
      </w:r>
    </w:p>
    <w:p>
      <w:pPr>
        <w:ind w:firstLine="425"/>
        <w:jc w:val="both"/>
      </w:pPr>
      <w:r>
        <w:rPr>
          <w:rFonts w:ascii="Times New Roman" w:hAnsi="Times New Roman"/>
          <w:b w:val="0"/>
          <w:i w:val="0"/>
          <w:sz w:val="22"/>
        </w:rPr>
        <w:t>Theoretical phase: literature synthesis, conceptual framework development, and selection and adaptation of measurement instruments suited to Vietnamese lower secondary school students.</w:t>
      </w:r>
    </w:p>
    <w:p>
      <w:pPr>
        <w:ind w:firstLine="425"/>
        <w:jc w:val="both"/>
      </w:pPr>
      <w:r>
        <w:rPr>
          <w:rFonts w:ascii="Times New Roman" w:hAnsi="Times New Roman"/>
          <w:b w:val="0"/>
          <w:i w:val="0"/>
          <w:sz w:val="22"/>
        </w:rPr>
        <w:t>Empirical phase: large-scale questionnaire surveys and in-depth interviews to supplement quantitative findings.</w:t>
      </w:r>
    </w:p>
    <w:p>
      <w:pPr>
        <w:ind w:firstLine="425"/>
        <w:jc w:val="both"/>
      </w:pPr>
      <w:r>
        <w:rPr>
          <w:rFonts w:ascii="Times New Roman" w:hAnsi="Times New Roman"/>
          <w:b w:val="0"/>
          <w:i w:val="0"/>
          <w:sz w:val="22"/>
        </w:rPr>
        <w:t>Research settings: 2 lower secondary schools in Hanoi — Nhat Tan Lower Secondary School (inner city) and Tay Mo Lower Secondary School (peri-urban).</w:t>
      </w:r>
    </w:p>
    <w:p>
      <w:pPr>
        <w:spacing w:before="200" w:after="80"/>
        <w:jc w:val="left"/>
      </w:pPr>
      <w:r>
        <w:rPr>
          <w:rFonts w:ascii="Times New Roman" w:hAnsi="Times New Roman"/>
          <w:b/>
          <w:sz w:val="24"/>
        </w:rPr>
        <w:t>2.2. Participants</w:t>
      </w:r>
    </w:p>
    <w:p>
      <w:pPr>
        <w:ind w:firstLine="425"/>
        <w:jc w:val="both"/>
      </w:pPr>
      <w:r>
        <w:rPr>
          <w:rFonts w:ascii="Times New Roman" w:hAnsi="Times New Roman"/>
          <w:b w:val="0"/>
          <w:i w:val="0"/>
          <w:sz w:val="22"/>
        </w:rPr>
        <w:t>Quantitative sample: 1,352 lower secondary school students from Grades 6–9 (aged 11–14), selected through stratified sampling by school and grade level, combined with cluster sampling at the classroom level. The sample comprised 614 male students (45.4%) and 738 female students (54.6%).</w:t>
      </w:r>
    </w:p>
    <w:p>
      <w:pPr>
        <w:ind w:firstLine="425"/>
        <w:jc w:val="both"/>
      </w:pPr>
      <w:r>
        <w:rPr>
          <w:rFonts w:ascii="Times New Roman" w:hAnsi="Times New Roman"/>
          <w:b w:val="0"/>
          <w:i w:val="0"/>
          <w:sz w:val="22"/>
        </w:rPr>
        <w:t>Qualitative sample: 12 lower secondary school students for in-depth interviews; 6 homeroom teachers for in-depth interviews.</w:t>
      </w:r>
    </w:p>
    <w:p>
      <w:pPr>
        <w:spacing w:before="200" w:after="80"/>
        <w:jc w:val="left"/>
      </w:pPr>
      <w:r>
        <w:rPr>
          <w:rFonts w:ascii="Times New Roman" w:hAnsi="Times New Roman"/>
          <w:b/>
          <w:sz w:val="24"/>
        </w:rPr>
        <w:t>2.3. Research methods</w:t>
      </w:r>
    </w:p>
    <w:p>
      <w:pPr>
        <w:spacing w:before="120" w:after="40"/>
        <w:jc w:val="left"/>
      </w:pPr>
      <w:r>
        <w:rPr>
          <w:rFonts w:ascii="Times New Roman" w:hAnsi="Times New Roman"/>
          <w:b/>
          <w:sz w:val="22"/>
        </w:rPr>
        <w:t>2.3.1. Questionnaire survey</w:t>
      </w:r>
    </w:p>
    <w:p>
      <w:pPr>
        <w:ind w:firstLine="425"/>
        <w:jc w:val="both"/>
      </w:pPr>
      <w:r>
        <w:rPr>
          <w:rFonts w:ascii="Times New Roman" w:hAnsi="Times New Roman"/>
          <w:b w:val="0"/>
          <w:i w:val="0"/>
          <w:sz w:val="22"/>
        </w:rPr>
        <w:t>The questionnaire comprises two parts: Part 1 gathers general information about participants (gender, grade, academic performance, health, psychological, and behavioural characteristics); Part 2 assesses the prevalence of anxiety disorders and contributing factors using internationally validated and adapted measurement scales.</w:t>
      </w:r>
    </w:p>
    <w:p>
      <w:pPr>
        <w:spacing w:before="120" w:after="40"/>
        <w:jc w:val="left"/>
      </w:pPr>
      <w:r>
        <w:rPr>
          <w:rFonts w:ascii="Times New Roman" w:hAnsi="Times New Roman"/>
          <w:b/>
          <w:sz w:val="22"/>
        </w:rPr>
        <w:t>2.3.2. Measurement instruments</w:t>
      </w:r>
    </w:p>
    <w:p>
      <w:pPr>
        <w:ind w:firstLine="425"/>
        <w:jc w:val="both"/>
      </w:pPr>
      <w:r>
        <w:rPr>
          <w:rFonts w:ascii="Times New Roman" w:hAnsi="Times New Roman"/>
          <w:b w:val="0"/>
          <w:i w:val="0"/>
          <w:sz w:val="22"/>
        </w:rPr>
        <w:t>Measurement scales were selected based on international validation and adapted through forward–back translation, expert consultation, and pilot testing:</w:t>
      </w:r>
    </w:p>
    <w:p>
      <w:pPr>
        <w:jc w:val="both"/>
      </w:pPr>
      <w:r>
        <w:rPr>
          <w:rFonts w:ascii="Times New Roman" w:hAnsi="Times New Roman"/>
          <w:b w:val="0"/>
          <w:i w:val="0"/>
          <w:sz w:val="22"/>
        </w:rPr>
        <w:t>- Anxiety disorder measurement: RCADS (Revised Children's Anxiety and Depression Scale; Chorpita, 2000), differentiating three forms — generalised anxiety disorder (GAD), separation anxiety disorder (SAD), and social anxiety disorder (SocAD).</w:t>
      </w:r>
    </w:p>
    <w:p>
      <w:pPr>
        <w:jc w:val="both"/>
      </w:pPr>
      <w:r>
        <w:rPr>
          <w:rFonts w:ascii="Times New Roman" w:hAnsi="Times New Roman"/>
          <w:b w:val="0"/>
          <w:i w:val="0"/>
          <w:sz w:val="22"/>
        </w:rPr>
        <w:t>- Risk factor measurement: ESSA (Educational Stress Scale for Adolescents; Sun et al., 2011) for academic pressure; SAS-SV (Smartphone Addiction Scale - Short Version; Kwon et al., 2013) for smartphone addiction; OBVQ (Olweus Bully/Victim Questionnaire; Olweus, 1996) for school bullying, with two factors: physical bullying and verbal bullying.</w:t>
      </w:r>
    </w:p>
    <w:p>
      <w:pPr>
        <w:jc w:val="both"/>
      </w:pPr>
      <w:r>
        <w:rPr>
          <w:rFonts w:ascii="Times New Roman" w:hAnsi="Times New Roman"/>
          <w:b w:val="0"/>
          <w:i w:val="0"/>
          <w:sz w:val="22"/>
        </w:rPr>
        <w:t>- Protective factor measurement: PSSM (Psychological Sense of School Membership; Goodenow, 1993) for school attachment; MSPSS (Multidimensional Scale of Perceived Social Support; Zimet et al., 1988) for perceived social support, with separate parental and peer support subscales; Brief COPE (Carver, 1997) for coping strategies, with three factors: avoidance, problem-solving coping, and support-seeking; RSES (Rosenberg Self-Esteem Scale; Rosenberg, 1965) for self-esteem.</w:t>
      </w:r>
    </w:p>
    <w:p>
      <w:pPr>
        <w:ind w:firstLine="425"/>
        <w:jc w:val="both"/>
      </w:pPr>
      <w:r>
        <w:rPr>
          <w:rFonts w:ascii="Times New Roman" w:hAnsi="Times New Roman"/>
          <w:b w:val="0"/>
          <w:i w:val="0"/>
          <w:sz w:val="22"/>
        </w:rPr>
        <w:t>All adapted scales achieved acceptable reliability (Cronbach's α ≥ 0.70 and McDonald's ω ≥ 0.70) and structural validity via Confirmatory Factor Analysis (CFA) with fit indices reaching acceptable thresholds.</w:t>
      </w:r>
    </w:p>
    <w:p>
      <w:pPr>
        <w:spacing w:before="120" w:after="40"/>
        <w:jc w:val="left"/>
      </w:pPr>
      <w:r>
        <w:rPr>
          <w:rFonts w:ascii="Times New Roman" w:hAnsi="Times New Roman"/>
          <w:b/>
          <w:sz w:val="22"/>
        </w:rPr>
        <w:t>2.3.3. In-depth interview and observation methods</w:t>
      </w:r>
    </w:p>
    <w:p>
      <w:pPr>
        <w:ind w:firstLine="425"/>
        <w:jc w:val="both"/>
      </w:pPr>
      <w:r>
        <w:rPr>
          <w:rFonts w:ascii="Times New Roman" w:hAnsi="Times New Roman"/>
          <w:b w:val="0"/>
          <w:i w:val="0"/>
          <w:sz w:val="22"/>
        </w:rPr>
        <w:t>In-depth interviews aimed to collect qualitative data clarifying further the manifestations and experiences related to anxiety disorders. Observation captured behavioural manifestations, attitudes, and reactions of students during the survey process.</w:t>
      </w:r>
    </w:p>
    <w:p>
      <w:pPr>
        <w:spacing w:before="120" w:after="40"/>
        <w:jc w:val="left"/>
      </w:pPr>
      <w:r>
        <w:rPr>
          <w:rFonts w:ascii="Times New Roman" w:hAnsi="Times New Roman"/>
          <w:b/>
          <w:sz w:val="22"/>
        </w:rPr>
        <w:t>2.3.4. Statistical analysis methods</w:t>
      </w:r>
    </w:p>
    <w:p>
      <w:pPr>
        <w:ind w:firstLine="425"/>
        <w:jc w:val="both"/>
      </w:pPr>
      <w:r>
        <w:rPr>
          <w:rFonts w:ascii="Times New Roman" w:hAnsi="Times New Roman"/>
          <w:b w:val="0"/>
          <w:i w:val="0"/>
          <w:sz w:val="22"/>
        </w:rPr>
        <w:t>Data were processed using SPSS 31.0 (data cleaning, reliability assessment via Cronbach's α and McDonald's ω, descriptive statistics, t-tests, ANOVA) and AMOS 31.0 (Confirmatory Factor Analysis — CFA, Structural Equation Modelling — SEM).</w:t>
      </w:r>
    </w:p>
    <w:p>
      <w:pPr>
        <w:spacing w:before="200" w:after="80"/>
        <w:jc w:val="left"/>
      </w:pPr>
      <w:r>
        <w:rPr>
          <w:rFonts w:ascii="Times New Roman" w:hAnsi="Times New Roman"/>
          <w:b/>
          <w:sz w:val="24"/>
        </w:rPr>
        <w:t>2.4. Research ethics</w:t>
      </w:r>
    </w:p>
    <w:p>
      <w:pPr>
        <w:ind w:firstLine="425"/>
        <w:jc w:val="both"/>
      </w:pPr>
      <w:r>
        <w:rPr>
          <w:rFonts w:ascii="Times New Roman" w:hAnsi="Times New Roman"/>
          <w:b w:val="0"/>
          <w:i w:val="0"/>
          <w:sz w:val="22"/>
        </w:rPr>
        <w:t>The study adhered to ethical principles for research involving children and adolescents: (1) informed consent from parents and assent from students; (2) confidentiality and data protection; (3) the right to withdraw at any time; (4) provision of psychological counselling referral for students identified with high-level anxiety symptoms during the survey.</w:t>
      </w:r>
    </w:p>
    <w:p>
      <w:r>
        <w:br w:type="page"/>
      </w:r>
    </w:p>
    <w:p>
      <w:pPr>
        <w:spacing w:before="360" w:after="240"/>
        <w:jc w:val="center"/>
      </w:pPr>
      <w:r>
        <w:rPr>
          <w:rFonts w:ascii="Times New Roman" w:hAnsi="Times New Roman"/>
          <w:b/>
          <w:sz w:val="28"/>
        </w:rPr>
        <w:t>CHAPTER 3</w:t>
        <w:br/>
        <w:t>EMPIRICAL RESULTS ON THE PREVALENCE</w:t>
        <w:br/>
        <w:t>OF ANXIETY DISORDERS</w:t>
      </w:r>
    </w:p>
    <w:p>
      <w:pPr>
        <w:spacing w:before="200" w:after="80"/>
        <w:jc w:val="left"/>
      </w:pPr>
      <w:r>
        <w:rPr>
          <w:rFonts w:ascii="Times New Roman" w:hAnsi="Times New Roman"/>
          <w:b/>
          <w:sz w:val="24"/>
        </w:rPr>
        <w:t>3.1. Measurement validity of the scales</w:t>
      </w:r>
    </w:p>
    <w:p>
      <w:pPr>
        <w:ind w:firstLine="425"/>
        <w:jc w:val="both"/>
      </w:pPr>
      <w:r>
        <w:rPr>
          <w:rFonts w:ascii="Times New Roman" w:hAnsi="Times New Roman"/>
          <w:b w:val="0"/>
          <w:i w:val="0"/>
          <w:sz w:val="22"/>
        </w:rPr>
        <w:t>Analysis showed that all scales used in the study achieved good reliability and acceptable structural fit on the Vietnamese lower secondary school student sample.</w:t>
      </w:r>
    </w:p>
    <w:p>
      <w:pPr>
        <w:jc w:val="center"/>
      </w:pPr>
      <w:r>
        <w:rPr>
          <w:rFonts w:ascii="Times New Roman" w:hAnsi="Times New Roman"/>
          <w:b/>
          <w:i/>
          <w:sz w:val="20"/>
        </w:rPr>
        <w:t>Table 3.1. Summary of reliability and CFA fit indices of the scales</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3118"/>
          </w:tcPr>
          <w:p>
            <w:pPr>
              <w:jc w:val="center"/>
            </w:pPr>
            <w:r/>
            <w:r>
              <w:rPr>
                <w:rFonts w:ascii="Times New Roman" w:hAnsi="Times New Roman"/>
                <w:b/>
                <w:sz w:val="20"/>
              </w:rPr>
              <w:t>Scale</w:t>
            </w:r>
          </w:p>
        </w:tc>
        <w:tc>
          <w:tcPr>
            <w:tcW w:type="dxa" w:w="850"/>
          </w:tcPr>
          <w:p>
            <w:pPr>
              <w:jc w:val="center"/>
            </w:pPr>
            <w:r/>
            <w:r>
              <w:rPr>
                <w:rFonts w:ascii="Times New Roman" w:hAnsi="Times New Roman"/>
                <w:b/>
                <w:sz w:val="20"/>
              </w:rPr>
              <w:t>α</w:t>
            </w:r>
          </w:p>
        </w:tc>
        <w:tc>
          <w:tcPr>
            <w:tcW w:type="dxa" w:w="850"/>
          </w:tcPr>
          <w:p>
            <w:pPr>
              <w:jc w:val="center"/>
            </w:pPr>
            <w:r/>
            <w:r>
              <w:rPr>
                <w:rFonts w:ascii="Times New Roman" w:hAnsi="Times New Roman"/>
                <w:b/>
                <w:sz w:val="20"/>
              </w:rPr>
              <w:t>ω</w:t>
            </w:r>
          </w:p>
        </w:tc>
        <w:tc>
          <w:tcPr>
            <w:tcW w:type="dxa" w:w="850"/>
          </w:tcPr>
          <w:p>
            <w:pPr>
              <w:jc w:val="center"/>
            </w:pPr>
            <w:r/>
            <w:r>
              <w:rPr>
                <w:rFonts w:ascii="Times New Roman" w:hAnsi="Times New Roman"/>
                <w:b/>
                <w:sz w:val="20"/>
              </w:rPr>
              <w:t>CFI</w:t>
            </w:r>
          </w:p>
        </w:tc>
        <w:tc>
          <w:tcPr>
            <w:tcW w:type="dxa" w:w="850"/>
          </w:tcPr>
          <w:p>
            <w:pPr>
              <w:jc w:val="center"/>
            </w:pPr>
            <w:r/>
            <w:r>
              <w:rPr>
                <w:rFonts w:ascii="Times New Roman" w:hAnsi="Times New Roman"/>
                <w:b/>
                <w:sz w:val="20"/>
              </w:rPr>
              <w:t>RMSEA</w:t>
            </w:r>
          </w:p>
        </w:tc>
      </w:tr>
      <w:tr>
        <w:tc>
          <w:tcPr>
            <w:tcW w:type="dxa" w:w="3118"/>
          </w:tcPr>
          <w:p>
            <w:r/>
            <w:r>
              <w:rPr>
                <w:rFonts w:ascii="Times New Roman" w:hAnsi="Times New Roman"/>
                <w:sz w:val="20"/>
              </w:rPr>
              <w:t>Generalised anxiety (GAD)</w:t>
            </w:r>
          </w:p>
        </w:tc>
        <w:tc>
          <w:tcPr>
            <w:tcW w:type="dxa" w:w="850"/>
          </w:tcPr>
          <w:p>
            <w:r/>
            <w:r>
              <w:rPr>
                <w:rFonts w:ascii="Times New Roman" w:hAnsi="Times New Roman"/>
                <w:sz w:val="20"/>
              </w:rPr>
              <w:t>0.811</w:t>
            </w:r>
          </w:p>
        </w:tc>
        <w:tc>
          <w:tcPr>
            <w:tcW w:type="dxa" w:w="850"/>
          </w:tcPr>
          <w:p>
            <w:r/>
            <w:r>
              <w:rPr>
                <w:rFonts w:ascii="Times New Roman" w:hAnsi="Times New Roman"/>
                <w:sz w:val="20"/>
              </w:rPr>
              <w:t>0.811</w:t>
            </w:r>
          </w:p>
        </w:tc>
        <w:tc>
          <w:tcPr>
            <w:tcW w:type="dxa" w:w="850"/>
          </w:tcPr>
          <w:p>
            <w:r/>
            <w:r>
              <w:rPr>
                <w:rFonts w:ascii="Times New Roman" w:hAnsi="Times New Roman"/>
                <w:sz w:val="20"/>
              </w:rPr>
              <w:t>0.982</w:t>
            </w:r>
          </w:p>
        </w:tc>
        <w:tc>
          <w:tcPr>
            <w:tcW w:type="dxa" w:w="850"/>
          </w:tcPr>
          <w:p>
            <w:r/>
            <w:r>
              <w:rPr>
                <w:rFonts w:ascii="Times New Roman" w:hAnsi="Times New Roman"/>
                <w:sz w:val="20"/>
              </w:rPr>
              <w:t>0.049</w:t>
            </w:r>
          </w:p>
        </w:tc>
      </w:tr>
      <w:tr>
        <w:tc>
          <w:tcPr>
            <w:tcW w:type="dxa" w:w="3118"/>
          </w:tcPr>
          <w:p>
            <w:r/>
            <w:r>
              <w:rPr>
                <w:rFonts w:ascii="Times New Roman" w:hAnsi="Times New Roman"/>
                <w:sz w:val="20"/>
              </w:rPr>
              <w:t>Separation anxiety (SAD)</w:t>
            </w:r>
          </w:p>
        </w:tc>
        <w:tc>
          <w:tcPr>
            <w:tcW w:type="dxa" w:w="850"/>
          </w:tcPr>
          <w:p>
            <w:r/>
            <w:r>
              <w:rPr>
                <w:rFonts w:ascii="Times New Roman" w:hAnsi="Times New Roman"/>
                <w:sz w:val="20"/>
              </w:rPr>
              <w:t>0.726</w:t>
            </w:r>
          </w:p>
        </w:tc>
        <w:tc>
          <w:tcPr>
            <w:tcW w:type="dxa" w:w="850"/>
          </w:tcPr>
          <w:p>
            <w:r/>
            <w:r>
              <w:rPr>
                <w:rFonts w:ascii="Times New Roman" w:hAnsi="Times New Roman"/>
                <w:sz w:val="20"/>
              </w:rPr>
              <w:t>0.726</w:t>
            </w:r>
          </w:p>
        </w:tc>
        <w:tc>
          <w:tcPr>
            <w:tcW w:type="dxa" w:w="850"/>
          </w:tcPr>
          <w:p>
            <w:r/>
            <w:r>
              <w:rPr>
                <w:rFonts w:ascii="Times New Roman" w:hAnsi="Times New Roman"/>
                <w:sz w:val="20"/>
              </w:rPr>
              <w:t>0.975</w:t>
            </w:r>
          </w:p>
        </w:tc>
        <w:tc>
          <w:tcPr>
            <w:tcW w:type="dxa" w:w="850"/>
          </w:tcPr>
          <w:p>
            <w:r/>
            <w:r>
              <w:rPr>
                <w:rFonts w:ascii="Times New Roman" w:hAnsi="Times New Roman"/>
                <w:sz w:val="20"/>
              </w:rPr>
              <w:t>0.099</w:t>
            </w:r>
          </w:p>
        </w:tc>
      </w:tr>
      <w:tr>
        <w:tc>
          <w:tcPr>
            <w:tcW w:type="dxa" w:w="3118"/>
          </w:tcPr>
          <w:p>
            <w:r/>
            <w:r>
              <w:rPr>
                <w:rFonts w:ascii="Times New Roman" w:hAnsi="Times New Roman"/>
                <w:sz w:val="20"/>
              </w:rPr>
              <w:t>Social anxiety (SocAD)</w:t>
            </w:r>
          </w:p>
        </w:tc>
        <w:tc>
          <w:tcPr>
            <w:tcW w:type="dxa" w:w="850"/>
          </w:tcPr>
          <w:p>
            <w:r/>
            <w:r>
              <w:rPr>
                <w:rFonts w:ascii="Times New Roman" w:hAnsi="Times New Roman"/>
                <w:sz w:val="20"/>
              </w:rPr>
              <w:t>0.744</w:t>
            </w:r>
          </w:p>
        </w:tc>
        <w:tc>
          <w:tcPr>
            <w:tcW w:type="dxa" w:w="850"/>
          </w:tcPr>
          <w:p>
            <w:r/>
            <w:r>
              <w:rPr>
                <w:rFonts w:ascii="Times New Roman" w:hAnsi="Times New Roman"/>
                <w:sz w:val="20"/>
              </w:rPr>
              <w:t>0.750</w:t>
            </w:r>
          </w:p>
        </w:tc>
        <w:tc>
          <w:tcPr>
            <w:tcW w:type="dxa" w:w="850"/>
          </w:tcPr>
          <w:p>
            <w:r/>
            <w:r>
              <w:rPr>
                <w:rFonts w:ascii="Times New Roman" w:hAnsi="Times New Roman"/>
                <w:sz w:val="20"/>
              </w:rPr>
              <w:t>0.992</w:t>
            </w:r>
          </w:p>
        </w:tc>
        <w:tc>
          <w:tcPr>
            <w:tcW w:type="dxa" w:w="850"/>
          </w:tcPr>
          <w:p>
            <w:r/>
            <w:r>
              <w:rPr>
                <w:rFonts w:ascii="Times New Roman" w:hAnsi="Times New Roman"/>
                <w:sz w:val="20"/>
              </w:rPr>
              <w:t>0.060</w:t>
            </w:r>
          </w:p>
        </w:tc>
      </w:tr>
      <w:tr>
        <w:tc>
          <w:tcPr>
            <w:tcW w:type="dxa" w:w="3118"/>
          </w:tcPr>
          <w:p>
            <w:r/>
            <w:r>
              <w:rPr>
                <w:rFonts w:ascii="Times New Roman" w:hAnsi="Times New Roman"/>
                <w:sz w:val="20"/>
              </w:rPr>
              <w:t>Academic pressure (AP)</w:t>
            </w:r>
          </w:p>
        </w:tc>
        <w:tc>
          <w:tcPr>
            <w:tcW w:type="dxa" w:w="850"/>
          </w:tcPr>
          <w:p>
            <w:r/>
            <w:r>
              <w:rPr>
                <w:rFonts w:ascii="Times New Roman" w:hAnsi="Times New Roman"/>
                <w:sz w:val="20"/>
              </w:rPr>
              <w:t>0.708</w:t>
            </w:r>
          </w:p>
        </w:tc>
        <w:tc>
          <w:tcPr>
            <w:tcW w:type="dxa" w:w="850"/>
          </w:tcPr>
          <w:p>
            <w:r/>
            <w:r>
              <w:rPr>
                <w:rFonts w:ascii="Times New Roman" w:hAnsi="Times New Roman"/>
                <w:sz w:val="20"/>
              </w:rPr>
              <w:t>0.716</w:t>
            </w:r>
          </w:p>
        </w:tc>
        <w:tc>
          <w:tcPr>
            <w:tcW w:type="dxa" w:w="850"/>
          </w:tcPr>
          <w:p>
            <w:r/>
            <w:r>
              <w:rPr>
                <w:rFonts w:ascii="Times New Roman" w:hAnsi="Times New Roman"/>
                <w:sz w:val="20"/>
              </w:rPr>
              <w:t>0.998</w:t>
            </w:r>
          </w:p>
        </w:tc>
        <w:tc>
          <w:tcPr>
            <w:tcW w:type="dxa" w:w="850"/>
          </w:tcPr>
          <w:p>
            <w:r/>
            <w:r>
              <w:rPr>
                <w:rFonts w:ascii="Times New Roman" w:hAnsi="Times New Roman"/>
                <w:sz w:val="20"/>
              </w:rPr>
              <w:t>0.024</w:t>
            </w:r>
          </w:p>
        </w:tc>
      </w:tr>
      <w:tr>
        <w:tc>
          <w:tcPr>
            <w:tcW w:type="dxa" w:w="3118"/>
          </w:tcPr>
          <w:p>
            <w:r/>
            <w:r>
              <w:rPr>
                <w:rFonts w:ascii="Times New Roman" w:hAnsi="Times New Roman"/>
                <w:sz w:val="20"/>
              </w:rPr>
              <w:t>Mobile phone addiction (MPA)</w:t>
            </w:r>
          </w:p>
        </w:tc>
        <w:tc>
          <w:tcPr>
            <w:tcW w:type="dxa" w:w="850"/>
          </w:tcPr>
          <w:p>
            <w:r/>
            <w:r>
              <w:rPr>
                <w:rFonts w:ascii="Times New Roman" w:hAnsi="Times New Roman"/>
                <w:sz w:val="20"/>
              </w:rPr>
              <w:t>0.836</w:t>
            </w:r>
          </w:p>
        </w:tc>
        <w:tc>
          <w:tcPr>
            <w:tcW w:type="dxa" w:w="850"/>
          </w:tcPr>
          <w:p>
            <w:r/>
            <w:r>
              <w:rPr>
                <w:rFonts w:ascii="Times New Roman" w:hAnsi="Times New Roman"/>
                <w:sz w:val="20"/>
              </w:rPr>
              <w:t>0.839</w:t>
            </w:r>
          </w:p>
        </w:tc>
        <w:tc>
          <w:tcPr>
            <w:tcW w:type="dxa" w:w="850"/>
          </w:tcPr>
          <w:p>
            <w:r/>
            <w:r>
              <w:rPr>
                <w:rFonts w:ascii="Times New Roman" w:hAnsi="Times New Roman"/>
                <w:sz w:val="20"/>
              </w:rPr>
              <w:t>0.996</w:t>
            </w:r>
          </w:p>
        </w:tc>
        <w:tc>
          <w:tcPr>
            <w:tcW w:type="dxa" w:w="850"/>
          </w:tcPr>
          <w:p>
            <w:r/>
            <w:r>
              <w:rPr>
                <w:rFonts w:ascii="Times New Roman" w:hAnsi="Times New Roman"/>
                <w:sz w:val="20"/>
              </w:rPr>
              <w:t>0.039</w:t>
            </w:r>
          </w:p>
        </w:tc>
      </w:tr>
      <w:tr>
        <w:tc>
          <w:tcPr>
            <w:tcW w:type="dxa" w:w="3118"/>
          </w:tcPr>
          <w:p>
            <w:r/>
            <w:r>
              <w:rPr>
                <w:rFonts w:ascii="Times New Roman" w:hAnsi="Times New Roman"/>
                <w:sz w:val="20"/>
              </w:rPr>
              <w:t>Physical bullying</w:t>
            </w:r>
          </w:p>
        </w:tc>
        <w:tc>
          <w:tcPr>
            <w:tcW w:type="dxa" w:w="850"/>
          </w:tcPr>
          <w:p>
            <w:r/>
            <w:r>
              <w:rPr>
                <w:rFonts w:ascii="Times New Roman" w:hAnsi="Times New Roman"/>
                <w:sz w:val="20"/>
              </w:rPr>
              <w:t>0.775</w:t>
            </w:r>
          </w:p>
        </w:tc>
        <w:tc>
          <w:tcPr>
            <w:tcW w:type="dxa" w:w="850"/>
          </w:tcPr>
          <w:p>
            <w:r/>
            <w:r>
              <w:rPr>
                <w:rFonts w:ascii="Times New Roman" w:hAnsi="Times New Roman"/>
                <w:sz w:val="20"/>
              </w:rPr>
              <w:t>0.777</w:t>
            </w:r>
          </w:p>
        </w:tc>
        <w:tc>
          <w:tcPr>
            <w:tcW w:type="dxa" w:w="850"/>
          </w:tcPr>
          <w:p>
            <w:r/>
            <w:r>
              <w:rPr>
                <w:rFonts w:ascii="Times New Roman" w:hAnsi="Times New Roman"/>
                <w:sz w:val="20"/>
              </w:rPr>
              <w:t>0.995</w:t>
            </w:r>
          </w:p>
        </w:tc>
        <w:tc>
          <w:tcPr>
            <w:tcW w:type="dxa" w:w="850"/>
          </w:tcPr>
          <w:p>
            <w:r/>
            <w:r>
              <w:rPr>
                <w:rFonts w:ascii="Times New Roman" w:hAnsi="Times New Roman"/>
                <w:sz w:val="20"/>
              </w:rPr>
              <w:t>0.050</w:t>
            </w:r>
          </w:p>
        </w:tc>
      </w:tr>
      <w:tr>
        <w:tc>
          <w:tcPr>
            <w:tcW w:type="dxa" w:w="3118"/>
          </w:tcPr>
          <w:p>
            <w:r/>
            <w:r>
              <w:rPr>
                <w:rFonts w:ascii="Times New Roman" w:hAnsi="Times New Roman"/>
                <w:sz w:val="20"/>
              </w:rPr>
              <w:t>Verbal/cyber bullying</w:t>
            </w:r>
          </w:p>
        </w:tc>
        <w:tc>
          <w:tcPr>
            <w:tcW w:type="dxa" w:w="850"/>
          </w:tcPr>
          <w:p>
            <w:r/>
            <w:r>
              <w:rPr>
                <w:rFonts w:ascii="Times New Roman" w:hAnsi="Times New Roman"/>
                <w:sz w:val="20"/>
              </w:rPr>
              <w:t>0.864</w:t>
            </w:r>
          </w:p>
        </w:tc>
        <w:tc>
          <w:tcPr>
            <w:tcW w:type="dxa" w:w="850"/>
          </w:tcPr>
          <w:p>
            <w:r/>
            <w:r>
              <w:rPr>
                <w:rFonts w:ascii="Times New Roman" w:hAnsi="Times New Roman"/>
                <w:sz w:val="20"/>
              </w:rPr>
              <w:t>0.864</w:t>
            </w:r>
          </w:p>
        </w:tc>
        <w:tc>
          <w:tcPr>
            <w:tcW w:type="dxa" w:w="850"/>
          </w:tcPr>
          <w:p>
            <w:r/>
            <w:r>
              <w:rPr>
                <w:rFonts w:ascii="Times New Roman" w:hAnsi="Times New Roman"/>
                <w:sz w:val="20"/>
              </w:rPr>
              <w:t>0.995</w:t>
            </w:r>
          </w:p>
        </w:tc>
        <w:tc>
          <w:tcPr>
            <w:tcW w:type="dxa" w:w="850"/>
          </w:tcPr>
          <w:p>
            <w:r/>
            <w:r>
              <w:rPr>
                <w:rFonts w:ascii="Times New Roman" w:hAnsi="Times New Roman"/>
                <w:sz w:val="20"/>
              </w:rPr>
              <w:t>0.072</w:t>
            </w:r>
          </w:p>
        </w:tc>
      </w:tr>
      <w:tr>
        <w:tc>
          <w:tcPr>
            <w:tcW w:type="dxa" w:w="3118"/>
          </w:tcPr>
          <w:p>
            <w:r/>
            <w:r>
              <w:rPr>
                <w:rFonts w:ascii="Times New Roman" w:hAnsi="Times New Roman"/>
                <w:sz w:val="20"/>
              </w:rPr>
              <w:t>School attachment</w:t>
            </w:r>
          </w:p>
        </w:tc>
        <w:tc>
          <w:tcPr>
            <w:tcW w:type="dxa" w:w="850"/>
          </w:tcPr>
          <w:p>
            <w:r/>
            <w:r>
              <w:rPr>
                <w:rFonts w:ascii="Times New Roman" w:hAnsi="Times New Roman"/>
                <w:sz w:val="20"/>
              </w:rPr>
              <w:t>0.747</w:t>
            </w:r>
          </w:p>
        </w:tc>
        <w:tc>
          <w:tcPr>
            <w:tcW w:type="dxa" w:w="850"/>
          </w:tcPr>
          <w:p>
            <w:r/>
            <w:r>
              <w:rPr>
                <w:rFonts w:ascii="Times New Roman" w:hAnsi="Times New Roman"/>
                <w:sz w:val="20"/>
              </w:rPr>
              <w:t>0.746</w:t>
            </w:r>
          </w:p>
        </w:tc>
        <w:tc>
          <w:tcPr>
            <w:tcW w:type="dxa" w:w="850"/>
          </w:tcPr>
          <w:p>
            <w:r/>
            <w:r>
              <w:rPr>
                <w:rFonts w:ascii="Times New Roman" w:hAnsi="Times New Roman"/>
                <w:sz w:val="20"/>
              </w:rPr>
              <w:t>0.978</w:t>
            </w:r>
          </w:p>
        </w:tc>
        <w:tc>
          <w:tcPr>
            <w:tcW w:type="dxa" w:w="850"/>
          </w:tcPr>
          <w:p>
            <w:r/>
            <w:r>
              <w:rPr>
                <w:rFonts w:ascii="Times New Roman" w:hAnsi="Times New Roman"/>
                <w:sz w:val="20"/>
              </w:rPr>
              <w:t>0.042</w:t>
            </w:r>
          </w:p>
        </w:tc>
      </w:tr>
      <w:tr>
        <w:tc>
          <w:tcPr>
            <w:tcW w:type="dxa" w:w="3118"/>
          </w:tcPr>
          <w:p>
            <w:r/>
            <w:r>
              <w:rPr>
                <w:rFonts w:ascii="Times New Roman" w:hAnsi="Times New Roman"/>
                <w:sz w:val="20"/>
              </w:rPr>
              <w:t>Parental support</w:t>
            </w:r>
          </w:p>
        </w:tc>
        <w:tc>
          <w:tcPr>
            <w:tcW w:type="dxa" w:w="850"/>
          </w:tcPr>
          <w:p>
            <w:r/>
            <w:r>
              <w:rPr>
                <w:rFonts w:ascii="Times New Roman" w:hAnsi="Times New Roman"/>
                <w:sz w:val="20"/>
              </w:rPr>
              <w:t>0.847</w:t>
            </w:r>
          </w:p>
        </w:tc>
        <w:tc>
          <w:tcPr>
            <w:tcW w:type="dxa" w:w="850"/>
          </w:tcPr>
          <w:p>
            <w:r/>
            <w:r>
              <w:rPr>
                <w:rFonts w:ascii="Times New Roman" w:hAnsi="Times New Roman"/>
                <w:sz w:val="20"/>
              </w:rPr>
              <w:t>0.848</w:t>
            </w:r>
          </w:p>
        </w:tc>
        <w:tc>
          <w:tcPr>
            <w:tcW w:type="dxa" w:w="850"/>
          </w:tcPr>
          <w:p>
            <w:r/>
            <w:r>
              <w:rPr>
                <w:rFonts w:ascii="Times New Roman" w:hAnsi="Times New Roman"/>
                <w:sz w:val="20"/>
              </w:rPr>
              <w:t>0.996</w:t>
            </w:r>
          </w:p>
        </w:tc>
        <w:tc>
          <w:tcPr>
            <w:tcW w:type="dxa" w:w="850"/>
          </w:tcPr>
          <w:p>
            <w:r/>
            <w:r>
              <w:rPr>
                <w:rFonts w:ascii="Times New Roman" w:hAnsi="Times New Roman"/>
                <w:sz w:val="20"/>
              </w:rPr>
              <w:t>0.061</w:t>
            </w:r>
          </w:p>
        </w:tc>
      </w:tr>
      <w:tr>
        <w:tc>
          <w:tcPr>
            <w:tcW w:type="dxa" w:w="3118"/>
          </w:tcPr>
          <w:p>
            <w:r/>
            <w:r>
              <w:rPr>
                <w:rFonts w:ascii="Times New Roman" w:hAnsi="Times New Roman"/>
                <w:sz w:val="20"/>
              </w:rPr>
              <w:t>Peer support</w:t>
            </w:r>
          </w:p>
        </w:tc>
        <w:tc>
          <w:tcPr>
            <w:tcW w:type="dxa" w:w="850"/>
          </w:tcPr>
          <w:p>
            <w:r/>
            <w:r>
              <w:rPr>
                <w:rFonts w:ascii="Times New Roman" w:hAnsi="Times New Roman"/>
                <w:sz w:val="20"/>
              </w:rPr>
              <w:t>0.837</w:t>
            </w:r>
          </w:p>
        </w:tc>
        <w:tc>
          <w:tcPr>
            <w:tcW w:type="dxa" w:w="850"/>
          </w:tcPr>
          <w:p>
            <w:r/>
            <w:r>
              <w:rPr>
                <w:rFonts w:ascii="Times New Roman" w:hAnsi="Times New Roman"/>
                <w:sz w:val="20"/>
              </w:rPr>
              <w:t>0.837</w:t>
            </w:r>
          </w:p>
        </w:tc>
        <w:tc>
          <w:tcPr>
            <w:tcW w:type="dxa" w:w="850"/>
          </w:tcPr>
          <w:p>
            <w:r/>
            <w:r>
              <w:rPr>
                <w:rFonts w:ascii="Times New Roman" w:hAnsi="Times New Roman"/>
                <w:sz w:val="20"/>
              </w:rPr>
              <w:t>0.995</w:t>
            </w:r>
          </w:p>
        </w:tc>
        <w:tc>
          <w:tcPr>
            <w:tcW w:type="dxa" w:w="850"/>
          </w:tcPr>
          <w:p>
            <w:r/>
            <w:r>
              <w:rPr>
                <w:rFonts w:ascii="Times New Roman" w:hAnsi="Times New Roman"/>
                <w:sz w:val="20"/>
              </w:rPr>
              <w:t>0.064</w:t>
            </w:r>
          </w:p>
        </w:tc>
      </w:tr>
      <w:tr>
        <w:tc>
          <w:tcPr>
            <w:tcW w:type="dxa" w:w="3118"/>
          </w:tcPr>
          <w:p>
            <w:r/>
            <w:r>
              <w:rPr>
                <w:rFonts w:ascii="Times New Roman" w:hAnsi="Times New Roman"/>
                <w:sz w:val="20"/>
              </w:rPr>
              <w:t>Avoidance (coping)</w:t>
            </w:r>
          </w:p>
        </w:tc>
        <w:tc>
          <w:tcPr>
            <w:tcW w:type="dxa" w:w="850"/>
          </w:tcPr>
          <w:p>
            <w:r/>
            <w:r>
              <w:rPr>
                <w:rFonts w:ascii="Times New Roman" w:hAnsi="Times New Roman"/>
                <w:sz w:val="20"/>
              </w:rPr>
              <w:t>0.727</w:t>
            </w:r>
          </w:p>
        </w:tc>
        <w:tc>
          <w:tcPr>
            <w:tcW w:type="dxa" w:w="850"/>
          </w:tcPr>
          <w:p>
            <w:r/>
            <w:r>
              <w:rPr>
                <w:rFonts w:ascii="Times New Roman" w:hAnsi="Times New Roman"/>
                <w:sz w:val="20"/>
              </w:rPr>
              <w:t>0.705</w:t>
            </w:r>
          </w:p>
        </w:tc>
        <w:tc>
          <w:tcPr>
            <w:tcW w:type="dxa" w:w="850"/>
          </w:tcPr>
          <w:p>
            <w:r/>
            <w:r>
              <w:rPr>
                <w:rFonts w:ascii="Times New Roman" w:hAnsi="Times New Roman"/>
                <w:sz w:val="20"/>
              </w:rPr>
              <w:t>0.862</w:t>
            </w:r>
          </w:p>
        </w:tc>
        <w:tc>
          <w:tcPr>
            <w:tcW w:type="dxa" w:w="850"/>
          </w:tcPr>
          <w:p>
            <w:r/>
            <w:r>
              <w:rPr>
                <w:rFonts w:ascii="Times New Roman" w:hAnsi="Times New Roman"/>
                <w:sz w:val="20"/>
              </w:rPr>
              <w:t>0.169</w:t>
            </w:r>
          </w:p>
        </w:tc>
      </w:tr>
      <w:tr>
        <w:tc>
          <w:tcPr>
            <w:tcW w:type="dxa" w:w="3118"/>
          </w:tcPr>
          <w:p>
            <w:r/>
            <w:r>
              <w:rPr>
                <w:rFonts w:ascii="Times New Roman" w:hAnsi="Times New Roman"/>
                <w:sz w:val="20"/>
              </w:rPr>
              <w:t>Problem-solving coping</w:t>
            </w:r>
          </w:p>
        </w:tc>
        <w:tc>
          <w:tcPr>
            <w:tcW w:type="dxa" w:w="850"/>
          </w:tcPr>
          <w:p>
            <w:r/>
            <w:r>
              <w:rPr>
                <w:rFonts w:ascii="Times New Roman" w:hAnsi="Times New Roman"/>
                <w:sz w:val="20"/>
              </w:rPr>
              <w:t>0.700</w:t>
            </w:r>
          </w:p>
        </w:tc>
        <w:tc>
          <w:tcPr>
            <w:tcW w:type="dxa" w:w="850"/>
          </w:tcPr>
          <w:p>
            <w:r/>
            <w:r>
              <w:rPr>
                <w:rFonts w:ascii="Times New Roman" w:hAnsi="Times New Roman"/>
                <w:sz w:val="20"/>
              </w:rPr>
              <w:t>0.699</w:t>
            </w:r>
          </w:p>
        </w:tc>
        <w:tc>
          <w:tcPr>
            <w:tcW w:type="dxa" w:w="850"/>
          </w:tcPr>
          <w:p>
            <w:r/>
            <w:r>
              <w:rPr>
                <w:rFonts w:ascii="Times New Roman" w:hAnsi="Times New Roman"/>
                <w:sz w:val="20"/>
              </w:rPr>
              <w:t>0.972</w:t>
            </w:r>
          </w:p>
        </w:tc>
        <w:tc>
          <w:tcPr>
            <w:tcW w:type="dxa" w:w="850"/>
          </w:tcPr>
          <w:p>
            <w:r/>
            <w:r>
              <w:rPr>
                <w:rFonts w:ascii="Times New Roman" w:hAnsi="Times New Roman"/>
                <w:sz w:val="20"/>
              </w:rPr>
              <w:t>0.052</w:t>
            </w:r>
          </w:p>
        </w:tc>
      </w:tr>
      <w:tr>
        <w:tc>
          <w:tcPr>
            <w:tcW w:type="dxa" w:w="3118"/>
          </w:tcPr>
          <w:p>
            <w:r/>
            <w:r>
              <w:rPr>
                <w:rFonts w:ascii="Times New Roman" w:hAnsi="Times New Roman"/>
                <w:sz w:val="20"/>
              </w:rPr>
              <w:t>Support-seeking</w:t>
            </w:r>
          </w:p>
        </w:tc>
        <w:tc>
          <w:tcPr>
            <w:tcW w:type="dxa" w:w="850"/>
          </w:tcPr>
          <w:p>
            <w:r/>
            <w:r>
              <w:rPr>
                <w:rFonts w:ascii="Times New Roman" w:hAnsi="Times New Roman"/>
                <w:sz w:val="20"/>
              </w:rPr>
              <w:t>0.773</w:t>
            </w:r>
          </w:p>
        </w:tc>
        <w:tc>
          <w:tcPr>
            <w:tcW w:type="dxa" w:w="850"/>
          </w:tcPr>
          <w:p>
            <w:r/>
            <w:r>
              <w:rPr>
                <w:rFonts w:ascii="Times New Roman" w:hAnsi="Times New Roman"/>
                <w:sz w:val="20"/>
              </w:rPr>
              <w:t>0.775</w:t>
            </w:r>
          </w:p>
        </w:tc>
        <w:tc>
          <w:tcPr>
            <w:tcW w:type="dxa" w:w="850"/>
          </w:tcPr>
          <w:p>
            <w:r/>
            <w:r>
              <w:rPr>
                <w:rFonts w:ascii="Times New Roman" w:hAnsi="Times New Roman"/>
                <w:sz w:val="20"/>
              </w:rPr>
              <w:t>1.000</w:t>
            </w:r>
          </w:p>
        </w:tc>
        <w:tc>
          <w:tcPr>
            <w:tcW w:type="dxa" w:w="850"/>
          </w:tcPr>
          <w:p>
            <w:r/>
            <w:r>
              <w:rPr>
                <w:rFonts w:ascii="Times New Roman" w:hAnsi="Times New Roman"/>
                <w:sz w:val="20"/>
              </w:rPr>
              <w:t>0.000</w:t>
            </w:r>
          </w:p>
        </w:tc>
      </w:tr>
      <w:tr>
        <w:tc>
          <w:tcPr>
            <w:tcW w:type="dxa" w:w="3118"/>
          </w:tcPr>
          <w:p>
            <w:r/>
            <w:r>
              <w:rPr>
                <w:rFonts w:ascii="Times New Roman" w:hAnsi="Times New Roman"/>
                <w:sz w:val="20"/>
              </w:rPr>
              <w:t>Self-esteem</w:t>
            </w:r>
          </w:p>
        </w:tc>
        <w:tc>
          <w:tcPr>
            <w:tcW w:type="dxa" w:w="850"/>
          </w:tcPr>
          <w:p>
            <w:r/>
            <w:r>
              <w:rPr>
                <w:rFonts w:ascii="Times New Roman" w:hAnsi="Times New Roman"/>
                <w:sz w:val="20"/>
              </w:rPr>
              <w:t>0.725</w:t>
            </w:r>
          </w:p>
        </w:tc>
        <w:tc>
          <w:tcPr>
            <w:tcW w:type="dxa" w:w="850"/>
          </w:tcPr>
          <w:p>
            <w:r/>
            <w:r>
              <w:rPr>
                <w:rFonts w:ascii="Times New Roman" w:hAnsi="Times New Roman"/>
                <w:sz w:val="20"/>
              </w:rPr>
              <w:t>0.724</w:t>
            </w:r>
          </w:p>
        </w:tc>
        <w:tc>
          <w:tcPr>
            <w:tcW w:type="dxa" w:w="850"/>
          </w:tcPr>
          <w:p>
            <w:r/>
            <w:r>
              <w:rPr>
                <w:rFonts w:ascii="Times New Roman" w:hAnsi="Times New Roman"/>
                <w:sz w:val="20"/>
              </w:rPr>
              <w:t>0.988</w:t>
            </w:r>
          </w:p>
        </w:tc>
        <w:tc>
          <w:tcPr>
            <w:tcW w:type="dxa" w:w="850"/>
          </w:tcPr>
          <w:p>
            <w:r/>
            <w:r>
              <w:rPr>
                <w:rFonts w:ascii="Times New Roman" w:hAnsi="Times New Roman"/>
                <w:sz w:val="20"/>
              </w:rPr>
              <w:t>0.045</w:t>
            </w:r>
          </w:p>
        </w:tc>
      </w:tr>
    </w:tbl>
    <w:p>
      <w:pPr>
        <w:ind w:firstLine="425"/>
        <w:jc w:val="both"/>
      </w:pPr>
      <w:r>
        <w:rPr>
          <w:rFonts w:ascii="Times New Roman" w:hAnsi="Times New Roman"/>
          <w:b w:val="0"/>
          <w:i/>
          <w:sz w:val="20"/>
        </w:rPr>
        <w:t>All scales met the reliability thresholds (α ≥ 0.70; ω ≥ 0.70), with most CFA models achieving good fit (CFI ≥ 0.90; RMSEA ≤ 0.10), thereby confirming the measurement validity of the instruments.</w:t>
      </w:r>
    </w:p>
    <w:p>
      <w:pPr>
        <w:spacing w:before="200" w:after="80"/>
        <w:jc w:val="left"/>
      </w:pPr>
      <w:r>
        <w:rPr>
          <w:rFonts w:ascii="Times New Roman" w:hAnsi="Times New Roman"/>
          <w:b/>
          <w:sz w:val="24"/>
        </w:rPr>
        <w:t>3.2. Prevalence of anxiety disorders among lower secondary school students</w:t>
      </w:r>
    </w:p>
    <w:p>
      <w:pPr>
        <w:ind w:firstLine="425"/>
        <w:jc w:val="both"/>
      </w:pPr>
      <w:r>
        <w:rPr>
          <w:rFonts w:ascii="Times New Roman" w:hAnsi="Times New Roman"/>
          <w:b w:val="0"/>
          <w:i w:val="0"/>
          <w:sz w:val="22"/>
        </w:rPr>
        <w:t>Survey results on 1,352 lower secondary school students indicated that anxiety disorders are primarily at moderate levels; generalised anxiety tends to be higher than the other forms, social anxiety is at moderate level, and separation anxiety is at low level. Anxiety manifestations are concentrated mainly in academic pressure, self-evaluation, and social situations.</w:t>
      </w:r>
    </w:p>
    <w:p>
      <w:pPr>
        <w:jc w:val="center"/>
      </w:pPr>
      <w:r>
        <w:rPr>
          <w:rFonts w:ascii="Times New Roman" w:hAnsi="Times New Roman"/>
          <w:b/>
          <w:i/>
          <w:sz w:val="20"/>
        </w:rPr>
        <w:t>Table 3.2. Mean scores of anxiety disorders by gender (0–100 scale)</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814"/>
          </w:tcPr>
          <w:p>
            <w:pPr>
              <w:jc w:val="center"/>
            </w:pPr>
            <w:r/>
            <w:r>
              <w:rPr>
                <w:rFonts w:ascii="Times New Roman" w:hAnsi="Times New Roman"/>
                <w:b/>
                <w:sz w:val="20"/>
              </w:rPr>
              <w:t>Anxiety type</w:t>
            </w:r>
          </w:p>
        </w:tc>
        <w:tc>
          <w:tcPr>
            <w:tcW w:type="dxa" w:w="1531"/>
          </w:tcPr>
          <w:p>
            <w:pPr>
              <w:jc w:val="center"/>
            </w:pPr>
            <w:r/>
            <w:r>
              <w:rPr>
                <w:rFonts w:ascii="Times New Roman" w:hAnsi="Times New Roman"/>
                <w:b/>
                <w:sz w:val="20"/>
              </w:rPr>
              <w:t>Male (n=614)</w:t>
              <w:br/>
              <w:t>M (SD)</w:t>
            </w:r>
          </w:p>
        </w:tc>
        <w:tc>
          <w:tcPr>
            <w:tcW w:type="dxa" w:w="1531"/>
          </w:tcPr>
          <w:p>
            <w:pPr>
              <w:jc w:val="center"/>
            </w:pPr>
            <w:r/>
            <w:r>
              <w:rPr>
                <w:rFonts w:ascii="Times New Roman" w:hAnsi="Times New Roman"/>
                <w:b/>
                <w:sz w:val="20"/>
              </w:rPr>
              <w:t>Female (n=738)</w:t>
              <w:br/>
              <w:t>M (SD)</w:t>
            </w:r>
          </w:p>
        </w:tc>
        <w:tc>
          <w:tcPr>
            <w:tcW w:type="dxa" w:w="794"/>
          </w:tcPr>
          <w:p>
            <w:pPr>
              <w:jc w:val="center"/>
            </w:pPr>
            <w:r/>
            <w:r>
              <w:rPr>
                <w:rFonts w:ascii="Times New Roman" w:hAnsi="Times New Roman"/>
                <w:b/>
                <w:sz w:val="20"/>
              </w:rPr>
              <w:t>F</w:t>
            </w:r>
          </w:p>
        </w:tc>
        <w:tc>
          <w:tcPr>
            <w:tcW w:type="dxa" w:w="794"/>
          </w:tcPr>
          <w:p>
            <w:pPr>
              <w:jc w:val="center"/>
            </w:pPr>
            <w:r/>
            <w:r>
              <w:rPr>
                <w:rFonts w:ascii="Times New Roman" w:hAnsi="Times New Roman"/>
                <w:b/>
                <w:sz w:val="20"/>
              </w:rPr>
              <w:t>p</w:t>
            </w:r>
          </w:p>
        </w:tc>
      </w:tr>
      <w:tr>
        <w:tc>
          <w:tcPr>
            <w:tcW w:type="dxa" w:w="1814"/>
          </w:tcPr>
          <w:p>
            <w:r/>
            <w:r>
              <w:rPr>
                <w:rFonts w:ascii="Times New Roman" w:hAnsi="Times New Roman"/>
                <w:sz w:val="20"/>
              </w:rPr>
              <w:t>Generalised anxiety</w:t>
            </w:r>
          </w:p>
        </w:tc>
        <w:tc>
          <w:tcPr>
            <w:tcW w:type="dxa" w:w="1531"/>
          </w:tcPr>
          <w:p>
            <w:r/>
            <w:r>
              <w:rPr>
                <w:rFonts w:ascii="Times New Roman" w:hAnsi="Times New Roman"/>
                <w:sz w:val="20"/>
              </w:rPr>
              <w:t>51.43 (22.01)</w:t>
            </w:r>
          </w:p>
        </w:tc>
        <w:tc>
          <w:tcPr>
            <w:tcW w:type="dxa" w:w="1531"/>
          </w:tcPr>
          <w:p>
            <w:r/>
            <w:r>
              <w:rPr>
                <w:rFonts w:ascii="Times New Roman" w:hAnsi="Times New Roman"/>
                <w:sz w:val="20"/>
              </w:rPr>
              <w:t>59.47 (22.07)</w:t>
            </w:r>
          </w:p>
        </w:tc>
        <w:tc>
          <w:tcPr>
            <w:tcW w:type="dxa" w:w="794"/>
          </w:tcPr>
          <w:p>
            <w:r/>
            <w:r>
              <w:rPr>
                <w:rFonts w:ascii="Times New Roman" w:hAnsi="Times New Roman"/>
                <w:sz w:val="20"/>
              </w:rPr>
              <w:t>44.484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Separation anxiety</w:t>
            </w:r>
          </w:p>
        </w:tc>
        <w:tc>
          <w:tcPr>
            <w:tcW w:type="dxa" w:w="1531"/>
          </w:tcPr>
          <w:p>
            <w:r/>
            <w:r>
              <w:rPr>
                <w:rFonts w:ascii="Times New Roman" w:hAnsi="Times New Roman"/>
                <w:sz w:val="20"/>
              </w:rPr>
              <w:t>25.42 (25.46)</w:t>
            </w:r>
          </w:p>
        </w:tc>
        <w:tc>
          <w:tcPr>
            <w:tcW w:type="dxa" w:w="1531"/>
          </w:tcPr>
          <w:p>
            <w:r/>
            <w:r>
              <w:rPr>
                <w:rFonts w:ascii="Times New Roman" w:hAnsi="Times New Roman"/>
                <w:sz w:val="20"/>
              </w:rPr>
              <w:t>24.76 (23.29)</w:t>
            </w:r>
          </w:p>
        </w:tc>
        <w:tc>
          <w:tcPr>
            <w:tcW w:type="dxa" w:w="794"/>
          </w:tcPr>
          <w:p>
            <w:r/>
            <w:r>
              <w:rPr>
                <w:rFonts w:ascii="Times New Roman" w:hAnsi="Times New Roman"/>
                <w:sz w:val="20"/>
              </w:rPr>
              <w:t>0.246</w:t>
            </w:r>
          </w:p>
        </w:tc>
        <w:tc>
          <w:tcPr>
            <w:tcW w:type="dxa" w:w="794"/>
          </w:tcPr>
          <w:p>
            <w:r/>
            <w:r>
              <w:rPr>
                <w:rFonts w:ascii="Times New Roman" w:hAnsi="Times New Roman"/>
                <w:sz w:val="20"/>
              </w:rPr>
              <w:t>0.620</w:t>
            </w:r>
          </w:p>
        </w:tc>
      </w:tr>
      <w:tr>
        <w:tc>
          <w:tcPr>
            <w:tcW w:type="dxa" w:w="1814"/>
          </w:tcPr>
          <w:p>
            <w:r/>
            <w:r>
              <w:rPr>
                <w:rFonts w:ascii="Times New Roman" w:hAnsi="Times New Roman"/>
                <w:sz w:val="20"/>
              </w:rPr>
              <w:t>Social anxiety</w:t>
            </w:r>
          </w:p>
        </w:tc>
        <w:tc>
          <w:tcPr>
            <w:tcW w:type="dxa" w:w="1531"/>
          </w:tcPr>
          <w:p>
            <w:r/>
            <w:r>
              <w:rPr>
                <w:rFonts w:ascii="Times New Roman" w:hAnsi="Times New Roman"/>
                <w:sz w:val="20"/>
              </w:rPr>
              <w:t>43.20 (25.09)</w:t>
            </w:r>
          </w:p>
        </w:tc>
        <w:tc>
          <w:tcPr>
            <w:tcW w:type="dxa" w:w="1531"/>
          </w:tcPr>
          <w:p>
            <w:r/>
            <w:r>
              <w:rPr>
                <w:rFonts w:ascii="Times New Roman" w:hAnsi="Times New Roman"/>
                <w:sz w:val="20"/>
              </w:rPr>
              <w:t>52.74 (26.31)</w:t>
            </w:r>
          </w:p>
        </w:tc>
        <w:tc>
          <w:tcPr>
            <w:tcW w:type="dxa" w:w="794"/>
          </w:tcPr>
          <w:p>
            <w:r/>
            <w:r>
              <w:rPr>
                <w:rFonts w:ascii="Times New Roman" w:hAnsi="Times New Roman"/>
                <w:sz w:val="20"/>
              </w:rPr>
              <w:t>45.984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Total anxiety</w:t>
            </w:r>
          </w:p>
        </w:tc>
        <w:tc>
          <w:tcPr>
            <w:tcW w:type="dxa" w:w="1531"/>
          </w:tcPr>
          <w:p>
            <w:r/>
            <w:r>
              <w:rPr>
                <w:rFonts w:ascii="Times New Roman" w:hAnsi="Times New Roman"/>
                <w:sz w:val="20"/>
              </w:rPr>
              <w:t>40.02 (19.02)</w:t>
            </w:r>
          </w:p>
        </w:tc>
        <w:tc>
          <w:tcPr>
            <w:tcW w:type="dxa" w:w="1531"/>
          </w:tcPr>
          <w:p>
            <w:r/>
            <w:r>
              <w:rPr>
                <w:rFonts w:ascii="Times New Roman" w:hAnsi="Times New Roman"/>
                <w:sz w:val="20"/>
              </w:rPr>
              <w:t>45.66 (18.91)</w:t>
            </w:r>
          </w:p>
        </w:tc>
        <w:tc>
          <w:tcPr>
            <w:tcW w:type="dxa" w:w="794"/>
          </w:tcPr>
          <w:p>
            <w:r/>
            <w:r>
              <w:rPr>
                <w:rFonts w:ascii="Times New Roman" w:hAnsi="Times New Roman"/>
                <w:sz w:val="20"/>
              </w:rPr>
              <w:t>29.642</w:t>
            </w:r>
          </w:p>
        </w:tc>
        <w:tc>
          <w:tcPr>
            <w:tcW w:type="dxa" w:w="794"/>
          </w:tcPr>
          <w:p>
            <w:r/>
            <w:r>
              <w:rPr>
                <w:rFonts w:ascii="Times New Roman" w:hAnsi="Times New Roman"/>
                <w:sz w:val="20"/>
              </w:rPr>
              <w:t>&lt; 0.001</w:t>
            </w:r>
          </w:p>
        </w:tc>
      </w:tr>
    </w:tbl>
    <w:p>
      <w:pPr>
        <w:ind w:firstLine="425"/>
        <w:jc w:val="both"/>
      </w:pPr>
      <w:r>
        <w:rPr>
          <w:rFonts w:ascii="Times New Roman" w:hAnsi="Times New Roman"/>
          <w:b w:val="0"/>
          <w:i/>
          <w:sz w:val="20"/>
        </w:rPr>
        <w:t>The results confirm Hypothesis 1: female students show significantly higher levels of generalised anxiety and social anxiety than male students (p &lt; 0.001), whereas separation anxiety shows no gender difference (F = 0.246; p = 0.620).</w:t>
      </w:r>
    </w:p>
    <w:p>
      <w:pPr>
        <w:spacing w:before="200" w:after="80"/>
        <w:jc w:val="left"/>
      </w:pPr>
      <w:r>
        <w:rPr>
          <w:rFonts w:ascii="Times New Roman" w:hAnsi="Times New Roman"/>
          <w:b/>
          <w:sz w:val="24"/>
        </w:rPr>
        <w:t>3.3. Prevalence of risk and protective factors</w:t>
      </w:r>
    </w:p>
    <w:p>
      <w:pPr>
        <w:ind w:firstLine="425"/>
        <w:jc w:val="both"/>
      </w:pPr>
      <w:r>
        <w:rPr>
          <w:rFonts w:ascii="Times New Roman" w:hAnsi="Times New Roman"/>
          <w:b w:val="0"/>
          <w:i w:val="0"/>
          <w:sz w:val="22"/>
        </w:rPr>
        <w:t>Descriptive analysis indicated mean scores (converted to a 0–100 scale) as shown in Table 3.3.</w:t>
      </w:r>
    </w:p>
    <w:p>
      <w:pPr>
        <w:jc w:val="center"/>
      </w:pPr>
      <w:r>
        <w:rPr>
          <w:rFonts w:ascii="Times New Roman" w:hAnsi="Times New Roman"/>
          <w:b/>
          <w:i/>
          <w:sz w:val="20"/>
        </w:rPr>
        <w:t>Table 3.3. Mean scores of risk and protective factors (0–100 scale)</w:t>
      </w:r>
    </w:p>
    <w:tbl>
      <w:tblPr>
        <w:tblStyle w:val="LightGrid-Accent1"/>
        <w:tblW w:type="auto" w:w="0"/>
        <w:tblLook w:firstColumn="1" w:firstRow="1" w:lastColumn="0" w:lastRow="0" w:noHBand="0" w:noVBand="1" w:val="04A0"/>
      </w:tblPr>
      <w:tblGrid>
        <w:gridCol w:w="1602"/>
        <w:gridCol w:w="1602"/>
        <w:gridCol w:w="1602"/>
        <w:gridCol w:w="1602"/>
      </w:tblGrid>
      <w:tr>
        <w:tc>
          <w:tcPr>
            <w:tcW w:type="dxa" w:w="1134"/>
          </w:tcPr>
          <w:p>
            <w:pPr>
              <w:jc w:val="center"/>
            </w:pPr>
            <w:r/>
            <w:r>
              <w:rPr>
                <w:rFonts w:ascii="Times New Roman" w:hAnsi="Times New Roman"/>
                <w:b/>
                <w:sz w:val="20"/>
              </w:rPr>
              <w:t>Group</w:t>
            </w:r>
          </w:p>
        </w:tc>
        <w:tc>
          <w:tcPr>
            <w:tcW w:type="dxa" w:w="2835"/>
          </w:tcPr>
          <w:p>
            <w:pPr>
              <w:jc w:val="center"/>
            </w:pPr>
            <w:r/>
            <w:r>
              <w:rPr>
                <w:rFonts w:ascii="Times New Roman" w:hAnsi="Times New Roman"/>
                <w:b/>
                <w:sz w:val="20"/>
              </w:rPr>
              <w:t>Factor</w:t>
            </w:r>
          </w:p>
        </w:tc>
        <w:tc>
          <w:tcPr>
            <w:tcW w:type="dxa" w:w="1020"/>
          </w:tcPr>
          <w:p>
            <w:pPr>
              <w:jc w:val="center"/>
            </w:pPr>
            <w:r/>
            <w:r>
              <w:rPr>
                <w:rFonts w:ascii="Times New Roman" w:hAnsi="Times New Roman"/>
                <w:b/>
                <w:sz w:val="20"/>
              </w:rPr>
              <w:t>M</w:t>
            </w:r>
          </w:p>
        </w:tc>
        <w:tc>
          <w:tcPr>
            <w:tcW w:type="dxa" w:w="1020"/>
          </w:tcPr>
          <w:p>
            <w:pPr>
              <w:jc w:val="center"/>
            </w:pPr>
            <w:r/>
            <w:r>
              <w:rPr>
                <w:rFonts w:ascii="Times New Roman" w:hAnsi="Times New Roman"/>
                <w:b/>
                <w:sz w:val="20"/>
              </w:rPr>
              <w:t>SD</w:t>
            </w:r>
          </w:p>
        </w:tc>
      </w:tr>
      <w:tr>
        <w:tc>
          <w:tcPr>
            <w:tcW w:type="dxa" w:w="1134"/>
          </w:tcPr>
          <w:p>
            <w:r/>
            <w:r>
              <w:rPr>
                <w:rFonts w:ascii="Times New Roman" w:hAnsi="Times New Roman"/>
                <w:sz w:val="20"/>
              </w:rPr>
              <w:t>Risk</w:t>
            </w:r>
          </w:p>
        </w:tc>
        <w:tc>
          <w:tcPr>
            <w:tcW w:type="dxa" w:w="2835"/>
          </w:tcPr>
          <w:p>
            <w:r/>
            <w:r>
              <w:rPr>
                <w:rFonts w:ascii="Times New Roman" w:hAnsi="Times New Roman"/>
                <w:sz w:val="20"/>
              </w:rPr>
              <w:t>Academic pressure</w:t>
            </w:r>
          </w:p>
        </w:tc>
        <w:tc>
          <w:tcPr>
            <w:tcW w:type="dxa" w:w="1020"/>
          </w:tcPr>
          <w:p>
            <w:r/>
            <w:r>
              <w:rPr>
                <w:rFonts w:ascii="Times New Roman" w:hAnsi="Times New Roman"/>
                <w:sz w:val="20"/>
              </w:rPr>
              <w:t>51.13</w:t>
            </w:r>
          </w:p>
        </w:tc>
        <w:tc>
          <w:tcPr>
            <w:tcW w:type="dxa" w:w="1020"/>
          </w:tcPr>
          <w:p>
            <w:r/>
            <w:r>
              <w:rPr>
                <w:rFonts w:ascii="Times New Roman" w:hAnsi="Times New Roman"/>
                <w:sz w:val="20"/>
              </w:rPr>
              <w:t>23.92</w:t>
            </w:r>
          </w:p>
        </w:tc>
      </w:tr>
      <w:tr>
        <w:tc>
          <w:tcPr>
            <w:tcW w:type="dxa" w:w="1134"/>
          </w:tcPr>
          <w:p>
            <w:r/>
            <w:r>
              <w:rPr>
                <w:rFonts w:ascii="Times New Roman" w:hAnsi="Times New Roman"/>
                <w:sz w:val="20"/>
              </w:rPr>
              <w:t>Risk</w:t>
            </w:r>
          </w:p>
        </w:tc>
        <w:tc>
          <w:tcPr>
            <w:tcW w:type="dxa" w:w="2835"/>
          </w:tcPr>
          <w:p>
            <w:r/>
            <w:r>
              <w:rPr>
                <w:rFonts w:ascii="Times New Roman" w:hAnsi="Times New Roman"/>
                <w:sz w:val="20"/>
              </w:rPr>
              <w:t>Mobile phone addiction</w:t>
            </w:r>
          </w:p>
        </w:tc>
        <w:tc>
          <w:tcPr>
            <w:tcW w:type="dxa" w:w="1020"/>
          </w:tcPr>
          <w:p>
            <w:r/>
            <w:r>
              <w:rPr>
                <w:rFonts w:ascii="Times New Roman" w:hAnsi="Times New Roman"/>
                <w:sz w:val="20"/>
              </w:rPr>
              <w:t>28.38</w:t>
            </w:r>
          </w:p>
        </w:tc>
        <w:tc>
          <w:tcPr>
            <w:tcW w:type="dxa" w:w="1020"/>
          </w:tcPr>
          <w:p>
            <w:r/>
            <w:r>
              <w:rPr>
                <w:rFonts w:ascii="Times New Roman" w:hAnsi="Times New Roman"/>
                <w:sz w:val="20"/>
              </w:rPr>
              <w:t>—</w:t>
            </w:r>
          </w:p>
        </w:tc>
      </w:tr>
      <w:tr>
        <w:tc>
          <w:tcPr>
            <w:tcW w:type="dxa" w:w="1134"/>
          </w:tcPr>
          <w:p>
            <w:r/>
            <w:r>
              <w:rPr>
                <w:rFonts w:ascii="Times New Roman" w:hAnsi="Times New Roman"/>
                <w:sz w:val="20"/>
              </w:rPr>
              <w:t>Risk</w:t>
            </w:r>
          </w:p>
        </w:tc>
        <w:tc>
          <w:tcPr>
            <w:tcW w:type="dxa" w:w="2835"/>
          </w:tcPr>
          <w:p>
            <w:r/>
            <w:r>
              <w:rPr>
                <w:rFonts w:ascii="Times New Roman" w:hAnsi="Times New Roman"/>
                <w:sz w:val="20"/>
              </w:rPr>
              <w:t>Physical bullying</w:t>
            </w:r>
          </w:p>
        </w:tc>
        <w:tc>
          <w:tcPr>
            <w:tcW w:type="dxa" w:w="1020"/>
          </w:tcPr>
          <w:p>
            <w:r/>
            <w:r>
              <w:rPr>
                <w:rFonts w:ascii="Times New Roman" w:hAnsi="Times New Roman"/>
                <w:sz w:val="20"/>
              </w:rPr>
              <w:t>13.52</w:t>
            </w:r>
          </w:p>
        </w:tc>
        <w:tc>
          <w:tcPr>
            <w:tcW w:type="dxa" w:w="1020"/>
          </w:tcPr>
          <w:p>
            <w:r/>
            <w:r>
              <w:rPr>
                <w:rFonts w:ascii="Times New Roman" w:hAnsi="Times New Roman"/>
                <w:sz w:val="20"/>
              </w:rPr>
              <w:t>—</w:t>
            </w:r>
          </w:p>
        </w:tc>
      </w:tr>
      <w:tr>
        <w:tc>
          <w:tcPr>
            <w:tcW w:type="dxa" w:w="1134"/>
          </w:tcPr>
          <w:p>
            <w:r/>
            <w:r>
              <w:rPr>
                <w:rFonts w:ascii="Times New Roman" w:hAnsi="Times New Roman"/>
                <w:sz w:val="20"/>
              </w:rPr>
              <w:t>Protective</w:t>
            </w:r>
          </w:p>
        </w:tc>
        <w:tc>
          <w:tcPr>
            <w:tcW w:type="dxa" w:w="2835"/>
          </w:tcPr>
          <w:p>
            <w:r/>
            <w:r>
              <w:rPr>
                <w:rFonts w:ascii="Times New Roman" w:hAnsi="Times New Roman"/>
                <w:sz w:val="20"/>
              </w:rPr>
              <w:t>School attachment</w:t>
            </w:r>
          </w:p>
        </w:tc>
        <w:tc>
          <w:tcPr>
            <w:tcW w:type="dxa" w:w="1020"/>
          </w:tcPr>
          <w:p>
            <w:r/>
            <w:r>
              <w:rPr>
                <w:rFonts w:ascii="Times New Roman" w:hAnsi="Times New Roman"/>
                <w:sz w:val="20"/>
              </w:rPr>
              <w:t>52.60</w:t>
            </w:r>
          </w:p>
        </w:tc>
        <w:tc>
          <w:tcPr>
            <w:tcW w:type="dxa" w:w="1020"/>
          </w:tcPr>
          <w:p>
            <w:r/>
            <w:r>
              <w:rPr>
                <w:rFonts w:ascii="Times New Roman" w:hAnsi="Times New Roman"/>
                <w:sz w:val="20"/>
              </w:rPr>
              <w:t>20.02</w:t>
            </w:r>
          </w:p>
        </w:tc>
      </w:tr>
    </w:tbl>
    <w:p>
      <w:pPr>
        <w:ind w:firstLine="425"/>
        <w:jc w:val="both"/>
      </w:pPr>
      <w:r>
        <w:rPr>
          <w:rFonts w:ascii="Times New Roman" w:hAnsi="Times New Roman"/>
          <w:b w:val="0"/>
          <w:i/>
          <w:sz w:val="20"/>
        </w:rPr>
        <w:t>Among risk factors, academic pressure exceeds the scale midpoint (51.13/100), significantly higher than mobile phone addiction (28.38) and physical bullying (13.52).</w:t>
      </w:r>
    </w:p>
    <w:p>
      <w:pPr>
        <w:spacing w:before="200" w:after="80"/>
        <w:jc w:val="left"/>
      </w:pPr>
      <w:r>
        <w:rPr>
          <w:rFonts w:ascii="Times New Roman" w:hAnsi="Times New Roman"/>
          <w:b/>
          <w:sz w:val="24"/>
        </w:rPr>
        <w:t>3.4. Impact of contributing factors on anxiety disorders</w:t>
      </w:r>
    </w:p>
    <w:p>
      <w:pPr>
        <w:spacing w:before="120" w:after="40"/>
        <w:jc w:val="left"/>
      </w:pPr>
      <w:r>
        <w:rPr>
          <w:rFonts w:ascii="Times New Roman" w:hAnsi="Times New Roman"/>
          <w:b/>
          <w:sz w:val="22"/>
        </w:rPr>
        <w:t>3.4.1. Impact of risk factors</w:t>
      </w:r>
    </w:p>
    <w:p>
      <w:pPr>
        <w:ind w:firstLine="425"/>
        <w:jc w:val="both"/>
      </w:pPr>
      <w:r>
        <w:rPr>
          <w:rFonts w:ascii="Times New Roman" w:hAnsi="Times New Roman"/>
          <w:b w:val="0"/>
          <w:i w:val="0"/>
          <w:sz w:val="22"/>
        </w:rPr>
        <w:t>Structural Equation Modelling (SEM) results revealed three groups of risk factors ranked by strength of impact on total anxiety disorders:</w:t>
      </w:r>
    </w:p>
    <w:p>
      <w:pPr>
        <w:jc w:val="center"/>
      </w:pPr>
      <w:r>
        <w:rPr>
          <w:rFonts w:ascii="Times New Roman" w:hAnsi="Times New Roman"/>
          <w:b/>
          <w:i/>
          <w:sz w:val="20"/>
        </w:rPr>
        <w:t>Table 3.4. Standardised β coefficients: Risk factors → Anxiety disorders</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Risk factor</w:t>
            </w:r>
          </w:p>
        </w:tc>
        <w:tc>
          <w:tcPr>
            <w:tcW w:type="dxa" w:w="964"/>
          </w:tcPr>
          <w:p>
            <w:pPr>
              <w:jc w:val="center"/>
            </w:pPr>
            <w:r/>
            <w:r>
              <w:rPr>
                <w:rFonts w:ascii="Times New Roman" w:hAnsi="Times New Roman"/>
                <w:b/>
                <w:sz w:val="20"/>
              </w:rPr>
              <w:t>→ GAD</w:t>
            </w:r>
          </w:p>
        </w:tc>
        <w:tc>
          <w:tcPr>
            <w:tcW w:type="dxa" w:w="964"/>
          </w:tcPr>
          <w:p>
            <w:pPr>
              <w:jc w:val="center"/>
            </w:pPr>
            <w:r/>
            <w:r>
              <w:rPr>
                <w:rFonts w:ascii="Times New Roman" w:hAnsi="Times New Roman"/>
                <w:b/>
                <w:sz w:val="20"/>
              </w:rPr>
              <w:t>→ SAD</w:t>
            </w:r>
          </w:p>
        </w:tc>
        <w:tc>
          <w:tcPr>
            <w:tcW w:type="dxa" w:w="964"/>
          </w:tcPr>
          <w:p>
            <w:pPr>
              <w:jc w:val="center"/>
            </w:pPr>
            <w:r/>
            <w:r>
              <w:rPr>
                <w:rFonts w:ascii="Times New Roman" w:hAnsi="Times New Roman"/>
                <w:b/>
                <w:sz w:val="20"/>
              </w:rPr>
              <w:t>→ SocAD</w:t>
            </w:r>
          </w:p>
        </w:tc>
        <w:tc>
          <w:tcPr>
            <w:tcW w:type="dxa" w:w="1701"/>
          </w:tcPr>
          <w:p>
            <w:pPr>
              <w:jc w:val="center"/>
            </w:pPr>
            <w:r/>
            <w:r>
              <w:rPr>
                <w:rFonts w:ascii="Times New Roman" w:hAnsi="Times New Roman"/>
                <w:b/>
                <w:sz w:val="20"/>
              </w:rPr>
              <w:t>→ Total AD (3 factors)</w:t>
            </w:r>
          </w:p>
        </w:tc>
      </w:tr>
      <w:tr>
        <w:tc>
          <w:tcPr>
            <w:tcW w:type="dxa" w:w="1984"/>
          </w:tcPr>
          <w:p>
            <w:r/>
            <w:r>
              <w:rPr>
                <w:rFonts w:ascii="Times New Roman" w:hAnsi="Times New Roman"/>
                <w:sz w:val="20"/>
              </w:rPr>
              <w:t>Academic pressure (AP)</w:t>
            </w:r>
          </w:p>
        </w:tc>
        <w:tc>
          <w:tcPr>
            <w:tcW w:type="dxa" w:w="964"/>
          </w:tcPr>
          <w:p>
            <w:r/>
            <w:r>
              <w:rPr>
                <w:rFonts w:ascii="Times New Roman" w:hAnsi="Times New Roman"/>
                <w:sz w:val="20"/>
              </w:rPr>
              <w:t>0.510***</w:t>
            </w:r>
          </w:p>
        </w:tc>
        <w:tc>
          <w:tcPr>
            <w:tcW w:type="dxa" w:w="964"/>
          </w:tcPr>
          <w:p>
            <w:r/>
            <w:r>
              <w:rPr>
                <w:rFonts w:ascii="Times New Roman" w:hAnsi="Times New Roman"/>
                <w:sz w:val="20"/>
              </w:rPr>
              <w:t>0.253***</w:t>
            </w:r>
          </w:p>
        </w:tc>
        <w:tc>
          <w:tcPr>
            <w:tcW w:type="dxa" w:w="964"/>
          </w:tcPr>
          <w:p>
            <w:r/>
            <w:r>
              <w:rPr>
                <w:rFonts w:ascii="Times New Roman" w:hAnsi="Times New Roman"/>
                <w:sz w:val="20"/>
              </w:rPr>
              <w:t>0.490***</w:t>
            </w:r>
          </w:p>
        </w:tc>
        <w:tc>
          <w:tcPr>
            <w:tcW w:type="dxa" w:w="1701"/>
          </w:tcPr>
          <w:p>
            <w:r/>
            <w:r>
              <w:rPr>
                <w:rFonts w:ascii="Times New Roman" w:hAnsi="Times New Roman"/>
                <w:sz w:val="20"/>
              </w:rPr>
              <w:t>0.533*** (R²=0.284)</w:t>
            </w:r>
          </w:p>
        </w:tc>
      </w:tr>
      <w:tr>
        <w:tc>
          <w:tcPr>
            <w:tcW w:type="dxa" w:w="1984"/>
          </w:tcPr>
          <w:p>
            <w:r/>
            <w:r>
              <w:rPr>
                <w:rFonts w:ascii="Times New Roman" w:hAnsi="Times New Roman"/>
                <w:sz w:val="20"/>
              </w:rPr>
              <w:t>Mobile phone addiction (MPA)</w:t>
            </w:r>
          </w:p>
        </w:tc>
        <w:tc>
          <w:tcPr>
            <w:tcW w:type="dxa" w:w="964"/>
          </w:tcPr>
          <w:p>
            <w:r/>
            <w:r>
              <w:rPr>
                <w:rFonts w:ascii="Times New Roman" w:hAnsi="Times New Roman"/>
                <w:sz w:val="20"/>
              </w:rPr>
              <w:t>0.336***</w:t>
            </w:r>
          </w:p>
        </w:tc>
        <w:tc>
          <w:tcPr>
            <w:tcW w:type="dxa" w:w="964"/>
          </w:tcPr>
          <w:p>
            <w:r/>
            <w:r>
              <w:rPr>
                <w:rFonts w:ascii="Times New Roman" w:hAnsi="Times New Roman"/>
                <w:sz w:val="20"/>
              </w:rPr>
              <w:t>0.265***</w:t>
            </w:r>
          </w:p>
        </w:tc>
        <w:tc>
          <w:tcPr>
            <w:tcW w:type="dxa" w:w="964"/>
          </w:tcPr>
          <w:p>
            <w:r/>
            <w:r>
              <w:rPr>
                <w:rFonts w:ascii="Times New Roman" w:hAnsi="Times New Roman"/>
                <w:sz w:val="20"/>
              </w:rPr>
              <w:t>0.383***</w:t>
            </w:r>
          </w:p>
        </w:tc>
        <w:tc>
          <w:tcPr>
            <w:tcW w:type="dxa" w:w="1701"/>
          </w:tcPr>
          <w:p>
            <w:r/>
            <w:r>
              <w:rPr>
                <w:rFonts w:ascii="Times New Roman" w:hAnsi="Times New Roman"/>
                <w:sz w:val="20"/>
              </w:rPr>
              <w:t>0.400*** (R²=0.160)</w:t>
            </w:r>
          </w:p>
        </w:tc>
      </w:tr>
      <w:tr>
        <w:tc>
          <w:tcPr>
            <w:tcW w:type="dxa" w:w="1984"/>
          </w:tcPr>
          <w:p>
            <w:r/>
            <w:r>
              <w:rPr>
                <w:rFonts w:ascii="Times New Roman" w:hAnsi="Times New Roman"/>
                <w:sz w:val="20"/>
              </w:rPr>
              <w:t>School bullying (SB)</w:t>
            </w:r>
          </w:p>
        </w:tc>
        <w:tc>
          <w:tcPr>
            <w:tcW w:type="dxa" w:w="964"/>
          </w:tcPr>
          <w:p>
            <w:r/>
            <w:r>
              <w:rPr>
                <w:rFonts w:ascii="Times New Roman" w:hAnsi="Times New Roman"/>
                <w:sz w:val="20"/>
              </w:rPr>
              <w:t>0.215***</w:t>
            </w:r>
          </w:p>
        </w:tc>
        <w:tc>
          <w:tcPr>
            <w:tcW w:type="dxa" w:w="964"/>
          </w:tcPr>
          <w:p>
            <w:r/>
            <w:r>
              <w:rPr>
                <w:rFonts w:ascii="Times New Roman" w:hAnsi="Times New Roman"/>
                <w:sz w:val="20"/>
              </w:rPr>
              <w:t>0.376***</w:t>
            </w:r>
          </w:p>
        </w:tc>
        <w:tc>
          <w:tcPr>
            <w:tcW w:type="dxa" w:w="964"/>
          </w:tcPr>
          <w:p>
            <w:r/>
            <w:r>
              <w:rPr>
                <w:rFonts w:ascii="Times New Roman" w:hAnsi="Times New Roman"/>
                <w:sz w:val="20"/>
              </w:rPr>
              <w:t>0.253***</w:t>
            </w:r>
          </w:p>
        </w:tc>
        <w:tc>
          <w:tcPr>
            <w:tcW w:type="dxa" w:w="1701"/>
          </w:tcPr>
          <w:p>
            <w:r/>
            <w:r>
              <w:rPr>
                <w:rFonts w:ascii="Times New Roman" w:hAnsi="Times New Roman"/>
                <w:sz w:val="20"/>
              </w:rPr>
              <w:t>0.276*** (R²=0.076)</w:t>
            </w:r>
          </w:p>
        </w:tc>
      </w:tr>
    </w:tbl>
    <w:p>
      <w:pPr>
        <w:ind w:firstLine="425"/>
        <w:jc w:val="both"/>
      </w:pPr>
      <w:r>
        <w:rPr>
          <w:rFonts w:ascii="Times New Roman" w:hAnsi="Times New Roman"/>
          <w:b w:val="0"/>
          <w:i/>
          <w:sz w:val="20"/>
        </w:rPr>
        <w:t>Note: *** p &lt; 0.001. AP is the strongest risk factor (β = 0.533). MPA ranks second (β = 0.400). SB shows a distinctive pattern: its strongest impact is on separation anxiety (β = 0.376), rather than generalised or social anxiety.</w:t>
      </w:r>
    </w:p>
    <w:p>
      <w:pPr>
        <w:ind w:firstLine="425"/>
        <w:jc w:val="both"/>
      </w:pPr>
      <w:r>
        <w:rPr>
          <w:rFonts w:ascii="Times New Roman" w:hAnsi="Times New Roman"/>
          <w:b w:val="0"/>
          <w:i/>
          <w:sz w:val="20"/>
        </w:rPr>
        <w:t>These results confirm Hypothesis 3: academic pressure and mobile phone addiction are among the strongest risk factors.</w:t>
      </w:r>
    </w:p>
    <w:p>
      <w:pPr>
        <w:spacing w:before="120" w:after="40"/>
        <w:jc w:val="left"/>
      </w:pPr>
      <w:r>
        <w:rPr>
          <w:rFonts w:ascii="Times New Roman" w:hAnsi="Times New Roman"/>
          <w:b/>
          <w:sz w:val="22"/>
        </w:rPr>
        <w:t>3.4.2. Impact of protective factors</w:t>
      </w:r>
    </w:p>
    <w:p>
      <w:pPr>
        <w:ind w:firstLine="425"/>
        <w:jc w:val="both"/>
      </w:pPr>
      <w:r>
        <w:rPr>
          <w:rFonts w:ascii="Times New Roman" w:hAnsi="Times New Roman"/>
          <w:b w:val="0"/>
          <w:i w:val="0"/>
          <w:sz w:val="22"/>
        </w:rPr>
        <w:t>Analysis showed that protective factors exert negative effects (reducing anxiety) of varying strength:</w:t>
      </w:r>
    </w:p>
    <w:p>
      <w:pPr>
        <w:jc w:val="center"/>
      </w:pPr>
      <w:r>
        <w:rPr>
          <w:rFonts w:ascii="Times New Roman" w:hAnsi="Times New Roman"/>
          <w:b/>
          <w:i/>
          <w:sz w:val="20"/>
        </w:rPr>
        <w:t>Table 3.5. Standardised β coefficients: Protective factors → Anxiety disorders</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Protective factor</w:t>
            </w:r>
          </w:p>
        </w:tc>
        <w:tc>
          <w:tcPr>
            <w:tcW w:type="dxa" w:w="964"/>
          </w:tcPr>
          <w:p>
            <w:pPr>
              <w:jc w:val="center"/>
            </w:pPr>
            <w:r/>
            <w:r>
              <w:rPr>
                <w:rFonts w:ascii="Times New Roman" w:hAnsi="Times New Roman"/>
                <w:b/>
                <w:sz w:val="20"/>
              </w:rPr>
              <w:t>→ GAD</w:t>
            </w:r>
          </w:p>
        </w:tc>
        <w:tc>
          <w:tcPr>
            <w:tcW w:type="dxa" w:w="964"/>
          </w:tcPr>
          <w:p>
            <w:pPr>
              <w:jc w:val="center"/>
            </w:pPr>
            <w:r/>
            <w:r>
              <w:rPr>
                <w:rFonts w:ascii="Times New Roman" w:hAnsi="Times New Roman"/>
                <w:b/>
                <w:sz w:val="20"/>
              </w:rPr>
              <w:t>→ SAD</w:t>
            </w:r>
          </w:p>
        </w:tc>
        <w:tc>
          <w:tcPr>
            <w:tcW w:type="dxa" w:w="964"/>
          </w:tcPr>
          <w:p>
            <w:pPr>
              <w:jc w:val="center"/>
            </w:pPr>
            <w:r/>
            <w:r>
              <w:rPr>
                <w:rFonts w:ascii="Times New Roman" w:hAnsi="Times New Roman"/>
                <w:b/>
                <w:sz w:val="20"/>
              </w:rPr>
              <w:t>→ SocAD</w:t>
            </w:r>
          </w:p>
        </w:tc>
        <w:tc>
          <w:tcPr>
            <w:tcW w:type="dxa" w:w="1701"/>
          </w:tcPr>
          <w:p>
            <w:pPr>
              <w:jc w:val="center"/>
            </w:pPr>
            <w:r/>
            <w:r>
              <w:rPr>
                <w:rFonts w:ascii="Times New Roman" w:hAnsi="Times New Roman"/>
                <w:b/>
                <w:sz w:val="20"/>
              </w:rPr>
              <w:t>→ Total AD (3 factors)</w:t>
            </w:r>
          </w:p>
        </w:tc>
      </w:tr>
      <w:tr>
        <w:tc>
          <w:tcPr>
            <w:tcW w:type="dxa" w:w="1984"/>
          </w:tcPr>
          <w:p>
            <w:r/>
            <w:r>
              <w:rPr>
                <w:rFonts w:ascii="Times New Roman" w:hAnsi="Times New Roman"/>
                <w:sz w:val="20"/>
              </w:rPr>
              <w:t>Self-esteem (SE)</w:t>
            </w:r>
          </w:p>
        </w:tc>
        <w:tc>
          <w:tcPr>
            <w:tcW w:type="dxa" w:w="964"/>
          </w:tcPr>
          <w:p>
            <w:r/>
            <w:r>
              <w:rPr>
                <w:rFonts w:ascii="Times New Roman" w:hAnsi="Times New Roman"/>
                <w:sz w:val="20"/>
              </w:rPr>
              <w:t>-0.455***</w:t>
            </w:r>
          </w:p>
        </w:tc>
        <w:tc>
          <w:tcPr>
            <w:tcW w:type="dxa" w:w="964"/>
          </w:tcPr>
          <w:p>
            <w:r/>
            <w:r>
              <w:rPr>
                <w:rFonts w:ascii="Times New Roman" w:hAnsi="Times New Roman"/>
                <w:sz w:val="20"/>
              </w:rPr>
              <w:t>-0.087*</w:t>
            </w:r>
          </w:p>
        </w:tc>
        <w:tc>
          <w:tcPr>
            <w:tcW w:type="dxa" w:w="964"/>
          </w:tcPr>
          <w:p>
            <w:r/>
            <w:r>
              <w:rPr>
                <w:rFonts w:ascii="Times New Roman" w:hAnsi="Times New Roman"/>
                <w:sz w:val="20"/>
              </w:rPr>
              <w:t>-0.415***</w:t>
            </w:r>
          </w:p>
        </w:tc>
        <w:tc>
          <w:tcPr>
            <w:tcW w:type="dxa" w:w="1701"/>
          </w:tcPr>
          <w:p>
            <w:r/>
            <w:r>
              <w:rPr>
                <w:rFonts w:ascii="Times New Roman" w:hAnsi="Times New Roman"/>
                <w:sz w:val="20"/>
              </w:rPr>
              <w:t>-0.457*** (R²=0.209)</w:t>
            </w:r>
          </w:p>
        </w:tc>
      </w:tr>
      <w:tr>
        <w:tc>
          <w:tcPr>
            <w:tcW w:type="dxa" w:w="1984"/>
          </w:tcPr>
          <w:p>
            <w:r/>
            <w:r>
              <w:rPr>
                <w:rFonts w:ascii="Times New Roman" w:hAnsi="Times New Roman"/>
                <w:sz w:val="20"/>
              </w:rPr>
              <w:t>Parental support (PS)</w:t>
            </w:r>
          </w:p>
        </w:tc>
        <w:tc>
          <w:tcPr>
            <w:tcW w:type="dxa" w:w="964"/>
          </w:tcPr>
          <w:p>
            <w:r/>
            <w:r>
              <w:rPr>
                <w:rFonts w:ascii="Times New Roman" w:hAnsi="Times New Roman"/>
                <w:sz w:val="20"/>
              </w:rPr>
              <w:t>-0.172***</w:t>
            </w:r>
          </w:p>
        </w:tc>
        <w:tc>
          <w:tcPr>
            <w:tcW w:type="dxa" w:w="964"/>
          </w:tcPr>
          <w:p>
            <w:r/>
            <w:r>
              <w:rPr>
                <w:rFonts w:ascii="Times New Roman" w:hAnsi="Times New Roman"/>
                <w:sz w:val="20"/>
              </w:rPr>
              <w:t>0.000</w:t>
            </w:r>
          </w:p>
        </w:tc>
        <w:tc>
          <w:tcPr>
            <w:tcW w:type="dxa" w:w="964"/>
          </w:tcPr>
          <w:p>
            <w:r/>
            <w:r>
              <w:rPr>
                <w:rFonts w:ascii="Times New Roman" w:hAnsi="Times New Roman"/>
                <w:sz w:val="20"/>
              </w:rPr>
              <w:t>-0.273***</w:t>
            </w:r>
          </w:p>
        </w:tc>
        <w:tc>
          <w:tcPr>
            <w:tcW w:type="dxa" w:w="1701"/>
          </w:tcPr>
          <w:p>
            <w:r/>
            <w:r>
              <w:rPr>
                <w:rFonts w:ascii="Times New Roman" w:hAnsi="Times New Roman"/>
                <w:sz w:val="20"/>
              </w:rPr>
              <w:t>-0.234*** (R²=0.055)</w:t>
            </w:r>
          </w:p>
        </w:tc>
      </w:tr>
      <w:tr>
        <w:tc>
          <w:tcPr>
            <w:tcW w:type="dxa" w:w="1984"/>
          </w:tcPr>
          <w:p>
            <w:r/>
            <w:r>
              <w:rPr>
                <w:rFonts w:ascii="Times New Roman" w:hAnsi="Times New Roman"/>
                <w:sz w:val="20"/>
              </w:rPr>
              <w:t>School attachment (SA)</w:t>
            </w:r>
          </w:p>
        </w:tc>
        <w:tc>
          <w:tcPr>
            <w:tcW w:type="dxa" w:w="964"/>
          </w:tcPr>
          <w:p>
            <w:r/>
            <w:r>
              <w:rPr>
                <w:rFonts w:ascii="Times New Roman" w:hAnsi="Times New Roman"/>
                <w:sz w:val="20"/>
              </w:rPr>
              <w:t>-0.108**</w:t>
            </w:r>
          </w:p>
        </w:tc>
        <w:tc>
          <w:tcPr>
            <w:tcW w:type="dxa" w:w="964"/>
          </w:tcPr>
          <w:p>
            <w:r/>
            <w:r>
              <w:rPr>
                <w:rFonts w:ascii="Times New Roman" w:hAnsi="Times New Roman"/>
                <w:sz w:val="20"/>
              </w:rPr>
              <w:t>0.014</w:t>
            </w:r>
          </w:p>
        </w:tc>
        <w:tc>
          <w:tcPr>
            <w:tcW w:type="dxa" w:w="964"/>
          </w:tcPr>
          <w:p>
            <w:r/>
            <w:r>
              <w:rPr>
                <w:rFonts w:ascii="Times New Roman" w:hAnsi="Times New Roman"/>
                <w:sz w:val="20"/>
              </w:rPr>
              <w:t>-0.187***</w:t>
            </w:r>
          </w:p>
        </w:tc>
        <w:tc>
          <w:tcPr>
            <w:tcW w:type="dxa" w:w="1701"/>
          </w:tcPr>
          <w:p>
            <w:r/>
            <w:r>
              <w:rPr>
                <w:rFonts w:ascii="Times New Roman" w:hAnsi="Times New Roman"/>
                <w:sz w:val="20"/>
              </w:rPr>
              <w:t>-0.155*** (R²=0.024)</w:t>
            </w:r>
          </w:p>
        </w:tc>
      </w:tr>
    </w:tbl>
    <w:p>
      <w:pPr>
        <w:ind w:firstLine="425"/>
        <w:jc w:val="both"/>
      </w:pPr>
      <w:r>
        <w:rPr>
          <w:rFonts w:ascii="Times New Roman" w:hAnsi="Times New Roman"/>
          <w:b w:val="0"/>
          <w:i/>
          <w:sz w:val="20"/>
        </w:rPr>
        <w:t>Note: *** p &lt; 0.001; ** p &lt; 0.01; * p &lt; 0.05. Self-esteem is the strongest protective factor (β = -0.457), with effect strength approximately 85-89% of academic pressure (per LA Conclusions, depending on specific anxiety disorder type).</w:t>
      </w:r>
    </w:p>
    <w:p>
      <w:pPr>
        <w:ind w:firstLine="425"/>
        <w:jc w:val="both"/>
      </w:pPr>
      <w:r>
        <w:rPr>
          <w:rFonts w:ascii="Times New Roman" w:hAnsi="Times New Roman"/>
          <w:b w:val="0"/>
          <w:i/>
          <w:sz w:val="20"/>
        </w:rPr>
        <w:t>These results confirm Hypothesis 2: self-esteem is among the strongest protective factors, with effect strength comparable to academic pressure on generalised anxiety and social anxiety.</w:t>
      </w:r>
    </w:p>
    <w:p>
      <w:pPr>
        <w:spacing w:before="120" w:after="40"/>
        <w:jc w:val="left"/>
      </w:pPr>
      <w:r>
        <w:rPr>
          <w:rFonts w:ascii="Times New Roman" w:hAnsi="Times New Roman"/>
          <w:b/>
          <w:sz w:val="22"/>
        </w:rPr>
        <w:t>3.4.3. Integrated risk and protective factor model</w:t>
      </w:r>
    </w:p>
    <w:p>
      <w:pPr>
        <w:ind w:firstLine="425"/>
        <w:jc w:val="both"/>
      </w:pPr>
      <w:r>
        <w:rPr>
          <w:rFonts w:ascii="Times New Roman" w:hAnsi="Times New Roman"/>
          <w:b w:val="0"/>
          <w:i w:val="0"/>
          <w:sz w:val="22"/>
        </w:rPr>
        <w:t>The integrated model combining risk and protective factors revealed that risk factors dominate protective factors at the aggregate level, suggesting the need for concurrent intervention across both dimensions: reducing risk while strengthening protective factors.</w:t>
      </w:r>
    </w:p>
    <w:p>
      <w:pPr>
        <w:spacing w:before="200" w:after="80"/>
        <w:jc w:val="left"/>
      </w:pPr>
      <w:r>
        <w:rPr>
          <w:rFonts w:ascii="Times New Roman" w:hAnsi="Times New Roman"/>
          <w:b/>
          <w:sz w:val="24"/>
        </w:rPr>
        <w:t>3.5. Coping strategies of lower secondary school students</w:t>
      </w:r>
    </w:p>
    <w:p>
      <w:pPr>
        <w:ind w:firstLine="425"/>
        <w:jc w:val="both"/>
      </w:pPr>
      <w:r>
        <w:rPr>
          <w:rFonts w:ascii="Times New Roman" w:hAnsi="Times New Roman"/>
          <w:b w:val="0"/>
          <w:i w:val="0"/>
          <w:sz w:val="22"/>
        </w:rPr>
        <w:t>Analysis of the Brief COPE along three factors (avoidance, problem-solving coping, support-seeking) indicated:</w:t>
      </w:r>
    </w:p>
    <w:p>
      <w:pPr>
        <w:jc w:val="both"/>
      </w:pPr>
      <w:r>
        <w:rPr>
          <w:rFonts w:ascii="Times New Roman" w:hAnsi="Times New Roman"/>
          <w:b w:val="0"/>
          <w:i w:val="0"/>
          <w:sz w:val="22"/>
        </w:rPr>
        <w:t>- Maladaptive dimension (avoidance): increases markedly alongside anxiety symptoms — consistent with theoretical expectations.</w:t>
      </w:r>
    </w:p>
    <w:p>
      <w:pPr>
        <w:jc w:val="both"/>
      </w:pPr>
      <w:r>
        <w:rPr>
          <w:rFonts w:ascii="Times New Roman" w:hAnsi="Times New Roman"/>
          <w:b w:val="0"/>
          <w:i w:val="0"/>
          <w:sz w:val="22"/>
        </w:rPr>
        <w:t>- Adaptive dimension (problem-solving and support-seeking): also correlates positively with anxiety symptoms — contrary to expectations, suggesting that students are consciously using positive strategies but have not yet achieved the expected effectiveness.</w:t>
      </w:r>
    </w:p>
    <w:p>
      <w:pPr>
        <w:ind w:firstLine="425"/>
        <w:jc w:val="both"/>
      </w:pPr>
      <w:r>
        <w:rPr>
          <w:rFonts w:ascii="Times New Roman" w:hAnsi="Times New Roman"/>
          <w:b w:val="0"/>
          <w:i w:val="0"/>
          <w:sz w:val="22"/>
        </w:rPr>
        <w:t>These findings suggest an intervention direction: simultaneously (1) reducing maladaptive strategies and (2) enhancing the quality of implementation of adaptive strategies.</w:t>
      </w:r>
    </w:p>
    <w:p>
      <w:pPr>
        <w:spacing w:before="200" w:after="80"/>
        <w:jc w:val="left"/>
      </w:pPr>
      <w:r>
        <w:rPr>
          <w:rFonts w:ascii="Times New Roman" w:hAnsi="Times New Roman"/>
          <w:b/>
          <w:sz w:val="24"/>
        </w:rPr>
        <w:t>3.6. Proposed training framework for the prevention of anxiety disorders</w:t>
      </w:r>
    </w:p>
    <w:p>
      <w:pPr>
        <w:ind w:firstLine="425"/>
        <w:jc w:val="both"/>
      </w:pPr>
      <w:r>
        <w:rPr>
          <w:rFonts w:ascii="Times New Roman" w:hAnsi="Times New Roman"/>
          <w:b w:val="0"/>
          <w:i w:val="0"/>
          <w:sz w:val="22"/>
        </w:rPr>
        <w:t>Based on the theoretical and empirical findings, the dissertation proposes a Training Framework for the Prevention of Anxiety Disorders among Lower Secondary School Students, comprising eight core modules: (1) Recognising anxiety disorders and self-assessment; (2) Cognitive restructuring skills; (3) Academic pressure management skills; (4) Healthy digital device use skills; (5) Coping skills for school bullying; (6) Strengthening self-esteem; (7) Enhancing school attachment and social support; (8) Developing adaptive coping strategies.</w:t>
      </w:r>
    </w:p>
    <w:p>
      <w:pPr>
        <w:ind w:firstLine="425"/>
        <w:jc w:val="both"/>
      </w:pPr>
      <w:r>
        <w:rPr>
          <w:rFonts w:ascii="Times New Roman" w:hAnsi="Times New Roman"/>
          <w:b w:val="0"/>
          <w:i w:val="0"/>
          <w:sz w:val="22"/>
        </w:rPr>
        <w:t>The programme is designed according to the CBT approach, the stepped care model, and the primary–secondary prevention framework. It can be integrated into morning sessions, flag-raising ceremonies, homeroom activities, thematic sessions, or organised as competitions for lower secondary school students.</w:t>
      </w:r>
    </w:p>
    <w:p>
      <w:r>
        <w:br w:type="page"/>
      </w:r>
    </w:p>
    <w:p>
      <w:pPr>
        <w:spacing w:before="360" w:after="240"/>
        <w:jc w:val="center"/>
      </w:pPr>
      <w:r>
        <w:rPr>
          <w:rFonts w:ascii="Times New Roman" w:hAnsi="Times New Roman"/>
          <w:b/>
          <w:sz w:val="28"/>
        </w:rPr>
        <w:t>CONCLUSION AND RECOMMENDATIONS</w:t>
      </w:r>
    </w:p>
    <w:p>
      <w:pPr>
        <w:spacing w:before="200" w:after="80"/>
        <w:jc w:val="left"/>
      </w:pPr>
      <w:r>
        <w:rPr>
          <w:rFonts w:ascii="Times New Roman" w:hAnsi="Times New Roman"/>
          <w:b/>
          <w:sz w:val="24"/>
        </w:rPr>
        <w:t>1. Conclusion</w:t>
      </w:r>
    </w:p>
    <w:p>
      <w:pPr>
        <w:spacing w:before="120" w:after="40"/>
        <w:jc w:val="left"/>
      </w:pPr>
      <w:r>
        <w:rPr>
          <w:rFonts w:ascii="Times New Roman" w:hAnsi="Times New Roman"/>
          <w:b/>
          <w:sz w:val="22"/>
        </w:rPr>
        <w:t>1.1. Theoretical contributions</w:t>
      </w:r>
    </w:p>
    <w:p>
      <w:pPr>
        <w:ind w:firstLine="425"/>
        <w:jc w:val="both"/>
      </w:pPr>
      <w:r>
        <w:rPr>
          <w:rFonts w:ascii="Times New Roman" w:hAnsi="Times New Roman"/>
          <w:b w:val="0"/>
          <w:i w:val="0"/>
          <w:sz w:val="22"/>
        </w:rPr>
        <w:t>The dissertation has systematised the theoretical foundations of anxiety disorders among lower secondary school students through the integration of risk and protective factor networks; established a conceptual framework for anxiety disorders comprising four components (cognitive, emotional, physiological, behavioural); clearly distinguished three forms of anxiety disorder (generalised, social, separation) among lower secondary school students; and established an analytical framework for coping strategies along two dimensions — adaptive and maladaptive.</w:t>
      </w:r>
    </w:p>
    <w:p>
      <w:pPr>
        <w:spacing w:before="120" w:after="40"/>
        <w:jc w:val="left"/>
      </w:pPr>
      <w:r>
        <w:rPr>
          <w:rFonts w:ascii="Times New Roman" w:hAnsi="Times New Roman"/>
          <w:b/>
          <w:sz w:val="22"/>
        </w:rPr>
        <w:t>1.2. Practical contributions</w:t>
      </w:r>
    </w:p>
    <w:p>
      <w:pPr>
        <w:ind w:firstLine="425"/>
        <w:jc w:val="both"/>
      </w:pPr>
      <w:r>
        <w:rPr>
          <w:rFonts w:ascii="Times New Roman" w:hAnsi="Times New Roman"/>
          <w:b w:val="0"/>
          <w:i w:val="0"/>
          <w:sz w:val="22"/>
        </w:rPr>
        <w:t>The dissertation has provided a detailed picture of the prevalence of anxiety disorders in a sample of 1,352 lower secondary school students in Hanoi. All adapted measurement scales achieved acceptable reliability and structural validity. The level of anxiety disorders among lower secondary school students was primarily at moderate level, with generalised and social anxiety being more prominent than separation anxiety.</w:t>
      </w:r>
    </w:p>
    <w:p>
      <w:pPr>
        <w:ind w:firstLine="425"/>
        <w:jc w:val="both"/>
      </w:pPr>
      <w:r>
        <w:rPr>
          <w:rFonts w:ascii="Times New Roman" w:hAnsi="Times New Roman"/>
          <w:b w:val="0"/>
          <w:i w:val="0"/>
          <w:sz w:val="22"/>
        </w:rPr>
        <w:t>The dissertation has tested and confirmed all three scientific hypotheses:</w:t>
      </w:r>
    </w:p>
    <w:p>
      <w:pPr>
        <w:jc w:val="both"/>
      </w:pPr>
      <w:r>
        <w:rPr>
          <w:rFonts w:ascii="Times New Roman" w:hAnsi="Times New Roman"/>
          <w:b w:val="0"/>
          <w:i w:val="0"/>
          <w:sz w:val="22"/>
        </w:rPr>
        <w:t>- Hypothesis 1 (gender differences depend on the type of anxiety disorder): confirmed. Female students showed higher levels of generalised anxiety (M 59.47 vs 51.43; F = 44.484; p &lt; 0.001) and social anxiety (M 52.74 vs 43.20; F = 45.984; p &lt; 0.001) than male students; separation anxiety showed no gender difference (F = 0.246; p = 0.620).</w:t>
      </w:r>
    </w:p>
    <w:p>
      <w:pPr>
        <w:jc w:val="both"/>
      </w:pPr>
      <w:r>
        <w:rPr>
          <w:rFonts w:ascii="Times New Roman" w:hAnsi="Times New Roman"/>
          <w:b w:val="0"/>
          <w:i w:val="0"/>
          <w:sz w:val="22"/>
        </w:rPr>
        <w:t>- Hypothesis 2 (self-esteem as a strong protective factor): confirmed. Self-esteem showed β = -0.457 for total anxiety disorders, with effect strength approximately 85-89% of academic pressure (per LA Conclusions).</w:t>
      </w:r>
    </w:p>
    <w:p>
      <w:pPr>
        <w:jc w:val="both"/>
      </w:pPr>
      <w:r>
        <w:rPr>
          <w:rFonts w:ascii="Times New Roman" w:hAnsi="Times New Roman"/>
          <w:b w:val="0"/>
          <w:i w:val="0"/>
          <w:sz w:val="22"/>
        </w:rPr>
        <w:t>- Hypothesis 3 (academic pressure and mobile phone addiction as strong risk factors): confirmed. Order of effect strength: academic pressure (β = 0.533) &gt; mobile phone addiction (β = 0.400) &gt; school bullying (β = 0.276).</w:t>
      </w:r>
    </w:p>
    <w:p>
      <w:pPr>
        <w:ind w:firstLine="425"/>
        <w:jc w:val="both"/>
      </w:pPr>
      <w:r>
        <w:rPr>
          <w:rFonts w:ascii="Times New Roman" w:hAnsi="Times New Roman"/>
          <w:b w:val="0"/>
          <w:i w:val="0"/>
          <w:sz w:val="22"/>
        </w:rPr>
        <w:t>Based on these findings, the dissertation proposes a Training Framework for the Prevention of Anxiety Disorders among lower secondary school students with eight core modules, addressing the pressing need for mental health care for Vietnamese students.</w:t>
      </w:r>
    </w:p>
    <w:p>
      <w:pPr>
        <w:spacing w:before="200" w:after="80"/>
        <w:jc w:val="left"/>
      </w:pPr>
      <w:r>
        <w:rPr>
          <w:rFonts w:ascii="Times New Roman" w:hAnsi="Times New Roman"/>
          <w:b/>
          <w:sz w:val="24"/>
        </w:rPr>
        <w:t>2. Recommendations</w:t>
      </w:r>
    </w:p>
    <w:p>
      <w:pPr>
        <w:spacing w:before="120" w:after="40"/>
        <w:jc w:val="left"/>
      </w:pPr>
      <w:r>
        <w:rPr>
          <w:rFonts w:ascii="Times New Roman" w:hAnsi="Times New Roman"/>
          <w:b/>
          <w:sz w:val="22"/>
        </w:rPr>
        <w:t>2.1. For students</w:t>
      </w:r>
    </w:p>
    <w:p>
      <w:pPr>
        <w:ind w:firstLine="425"/>
        <w:jc w:val="both"/>
      </w:pPr>
      <w:r>
        <w:rPr>
          <w:rFonts w:ascii="Times New Roman" w:hAnsi="Times New Roman"/>
          <w:b w:val="0"/>
          <w:i w:val="0"/>
          <w:sz w:val="22"/>
        </w:rPr>
        <w:t>Equip students with knowledge and skills for early recognition of anxiety disorder signs; train self-regulation capacity; reduce maladaptive strategies (avoidance, self-blame) through cognitive restructuring (CBT); enhance the quality of adaptive strategies (problem-solving, support-seeking).</w:t>
      </w:r>
    </w:p>
    <w:p>
      <w:pPr>
        <w:spacing w:before="120" w:after="40"/>
        <w:jc w:val="left"/>
      </w:pPr>
      <w:r>
        <w:rPr>
          <w:rFonts w:ascii="Times New Roman" w:hAnsi="Times New Roman"/>
          <w:b/>
          <w:sz w:val="22"/>
        </w:rPr>
        <w:t>2.2. For teachers and schools</w:t>
      </w:r>
    </w:p>
    <w:p>
      <w:pPr>
        <w:ind w:firstLine="425"/>
        <w:jc w:val="both"/>
      </w:pPr>
      <w:r>
        <w:rPr>
          <w:rFonts w:ascii="Times New Roman" w:hAnsi="Times New Roman"/>
          <w:b w:val="0"/>
          <w:i w:val="0"/>
          <w:sz w:val="22"/>
        </w:rPr>
        <w:t>Integrate the prevention training content into morning sessions, flag-raising, homeroom activities, and thematic sessions. Review and adjust teaching activities that may increase anxiety disorders (assessment pressure, achievement competition). Build teachers' capacity to recognise anxiety disorder manifestations.</w:t>
      </w:r>
    </w:p>
    <w:p>
      <w:pPr>
        <w:spacing w:before="120" w:after="40"/>
        <w:jc w:val="left"/>
      </w:pPr>
      <w:r>
        <w:rPr>
          <w:rFonts w:ascii="Times New Roman" w:hAnsi="Times New Roman"/>
          <w:b/>
          <w:sz w:val="22"/>
        </w:rPr>
        <w:t>2.3. For families</w:t>
      </w:r>
    </w:p>
    <w:p>
      <w:pPr>
        <w:ind w:firstLine="425"/>
        <w:jc w:val="both"/>
      </w:pPr>
      <w:r>
        <w:rPr>
          <w:rFonts w:ascii="Times New Roman" w:hAnsi="Times New Roman"/>
          <w:b w:val="0"/>
          <w:i w:val="0"/>
          <w:sz w:val="22"/>
        </w:rPr>
        <w:t>Parents should adjust expectations to align with children's capacity and psychological characteristics; build open communication environments; serve as stable and positive sources of psychological support.</w:t>
      </w:r>
    </w:p>
    <w:p>
      <w:pPr>
        <w:spacing w:before="120" w:after="40"/>
        <w:jc w:val="left"/>
      </w:pPr>
      <w:r>
        <w:rPr>
          <w:rFonts w:ascii="Times New Roman" w:hAnsi="Times New Roman"/>
          <w:b/>
          <w:sz w:val="22"/>
        </w:rPr>
        <w:t>2.4. For school support forces</w:t>
      </w:r>
    </w:p>
    <w:p>
      <w:pPr>
        <w:ind w:firstLine="425"/>
        <w:jc w:val="both"/>
      </w:pPr>
      <w:r>
        <w:rPr>
          <w:rFonts w:ascii="Times New Roman" w:hAnsi="Times New Roman"/>
          <w:b w:val="0"/>
          <w:i w:val="0"/>
          <w:sz w:val="22"/>
        </w:rPr>
        <w:t>School counselling rooms should implement screening and early intervention for at-risk students. Youth unions and clubs should strengthen social connections. Coordination among all forces should follow an integrated, multi-tier intervention model.</w:t>
      </w:r>
    </w:p>
    <w:p>
      <w:pPr>
        <w:spacing w:before="200" w:after="80"/>
        <w:jc w:val="left"/>
      </w:pPr>
      <w:r>
        <w:rPr>
          <w:rFonts w:ascii="Times New Roman" w:hAnsi="Times New Roman"/>
          <w:b/>
          <w:sz w:val="24"/>
        </w:rPr>
        <w:t>3. Limitations and future research directions</w:t>
      </w:r>
    </w:p>
    <w:p>
      <w:pPr>
        <w:ind w:firstLine="425"/>
        <w:jc w:val="both"/>
      </w:pPr>
      <w:r>
        <w:rPr>
          <w:rFonts w:ascii="Times New Roman" w:hAnsi="Times New Roman"/>
          <w:b w:val="0"/>
          <w:i w:val="0"/>
          <w:sz w:val="22"/>
        </w:rPr>
        <w:t>The study has several limitations: (1) the cross-sectional design cannot confirm causal relationships over time; (2) some measurement structures still require further refinement to enhance stability; (3) self-report methods may be affected by social desirability bias; (4) the sample is limited to two lower secondary schools in Hanoi; (5) the model has not fully examined mediating and moderating variables.</w:t>
      </w:r>
    </w:p>
    <w:p>
      <w:pPr>
        <w:ind w:firstLine="425"/>
        <w:jc w:val="both"/>
      </w:pPr>
      <w:r>
        <w:rPr>
          <w:rFonts w:ascii="Times New Roman" w:hAnsi="Times New Roman"/>
          <w:b w:val="0"/>
          <w:i w:val="0"/>
          <w:sz w:val="22"/>
        </w:rPr>
        <w:t>Future research directions: (1) longitudinal designs across time; (2) further refinement of measurement instruments across different samples; (3) experimental studies to test the effectiveness of the proposed Training Framework for the Prevention of Anxiety Disorders in school settings.</w:t>
      </w:r>
    </w:p>
    <w:p>
      <w:r>
        <w:br w:type="page"/>
      </w:r>
    </w:p>
    <w:p>
      <w:pPr>
        <w:spacing w:before="360" w:after="240"/>
        <w:jc w:val="center"/>
      </w:pPr>
      <w:r>
        <w:rPr>
          <w:rFonts w:ascii="Times New Roman" w:hAnsi="Times New Roman"/>
          <w:b/>
          <w:sz w:val="28"/>
        </w:rPr>
        <w:t>LIST OF AUTHOR'S PUBLICATIONS RELATED TO THE DISSERTATION</w:t>
      </w:r>
    </w:p>
    <w:p>
      <w:pPr>
        <w:ind w:firstLine="425"/>
        <w:jc w:val="both"/>
      </w:pPr>
      <w:r>
        <w:rPr>
          <w:rFonts w:ascii="Times New Roman" w:hAnsi="Times New Roman"/>
          <w:b w:val="0"/>
          <w:i/>
          <w:sz w:val="20"/>
        </w:rPr>
        <w:t>[The doctoral candidate is to fill in the list of published articles. Minimum requirement: 2 articles published in scientific journals with citation indices, as required by the Ministry of Education and Training and Hanoi National University of Education.]</w:t>
      </w:r>
    </w:p>
    <w:p/>
    <w:p>
      <w:pPr>
        <w:jc w:val="both"/>
      </w:pPr>
      <w:r>
        <w:rPr>
          <w:rFonts w:ascii="Times New Roman" w:hAnsi="Times New Roman"/>
          <w:b w:val="0"/>
          <w:i w:val="0"/>
          <w:sz w:val="22"/>
        </w:rPr>
        <w:t>1. Cong Thi Hang. (20...). [Article title]. Journal of ......, Vol. ......, No. ......, pp. ........ DOI: .....................</w:t>
      </w:r>
    </w:p>
    <w:p/>
    <w:p>
      <w:pPr>
        <w:jc w:val="both"/>
      </w:pPr>
      <w:r>
        <w:rPr>
          <w:rFonts w:ascii="Times New Roman" w:hAnsi="Times New Roman"/>
          <w:b w:val="0"/>
          <w:i w:val="0"/>
          <w:sz w:val="22"/>
        </w:rPr>
        <w:t>2. Cong Thi Hang. (20...). [Article title]. Journal of ......, Vol. ......, No. ......, pp. ........ DOI: .....................</w:t>
      </w:r>
    </w:p>
    <w:p/>
    <w:p>
      <w:pPr>
        <w:jc w:val="both"/>
      </w:pPr>
      <w:r>
        <w:rPr>
          <w:rFonts w:ascii="Times New Roman" w:hAnsi="Times New Roman"/>
          <w:b w:val="0"/>
          <w:i w:val="0"/>
          <w:sz w:val="22"/>
        </w:rPr>
        <w:t>3. Cong Thi Hang. (20...). [Article title]. Journal of ......, Vol. ......, No. ......, pp. ........ DOI: .....................</w:t>
      </w:r>
    </w:p>
    <w:sectPr w:rsidR="00FC693F" w:rsidRPr="0006063C" w:rsidSect="00034616">
      <w:footerReference w:type="default" r:id="rId9"/>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 \* MERGEFORMAT</w:instrText>
      <w:fldChar w:fldCharType="separate"/>
      <w:fldChar w:fldCharType="end"/>
    </w:r>
    <w:r>
      <w:rPr>
        <w:rFonts w:ascii="Times New Roman" w:hAnsi="Times New Roman"/>
        <w:sz w:val="20"/>
      </w:rPr>
      <w:fldChar w:fldCharType="begin"/>
      <w:instrText xml:space="preserve">PAGE \* MERGEFORMAT</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dc:language/>
  <cp:version/>
  <cp:contentStatus/>
</cp:coreProperties>
</file>