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BỘ GIÁO DỤC VÀ ĐÀO TẠO</w:t>
      </w:r>
    </w:p>
    <w:p>
      <w:pPr>
        <w:jc w:val="center"/>
      </w:pPr>
      <w:r>
        <w:rPr>
          <w:rFonts w:ascii="Times New Roman" w:hAnsi="Times New Roman"/>
          <w:b/>
          <w:i w:val="0"/>
          <w:sz w:val="24"/>
        </w:rPr>
        <w:t>TRƯỜNG ĐẠI HỌC SƯ PHẠM HÀ NỘI</w:t>
      </w:r>
    </w:p>
    <w:p/>
    <w:p/>
    <w:p/>
    <w:p>
      <w:pPr>
        <w:jc w:val="center"/>
      </w:pPr>
      <w:r>
        <w:rPr>
          <w:rFonts w:ascii="Times New Roman" w:hAnsi="Times New Roman"/>
          <w:b/>
          <w:i w:val="0"/>
          <w:sz w:val="28"/>
        </w:rPr>
        <w:t>CÔNG THỊ HẰNG</w:t>
      </w:r>
    </w:p>
    <w:p/>
    <w:p/>
    <w:p>
      <w:pPr>
        <w:jc w:val="center"/>
      </w:pPr>
      <w:r>
        <w:rPr>
          <w:rFonts w:ascii="Times New Roman" w:hAnsi="Times New Roman"/>
          <w:b/>
          <w:i w:val="0"/>
          <w:sz w:val="32"/>
        </w:rPr>
        <w:t>RỐI LOẠN LO ÂU Ở HỌC SINH</w:t>
      </w:r>
    </w:p>
    <w:p>
      <w:pPr>
        <w:jc w:val="center"/>
      </w:pPr>
      <w:r>
        <w:rPr>
          <w:rFonts w:ascii="Times New Roman" w:hAnsi="Times New Roman"/>
          <w:b/>
          <w:i w:val="0"/>
          <w:sz w:val="32"/>
        </w:rPr>
        <w:t>TRUNG HỌC CƠ SỞ</w:t>
      </w:r>
    </w:p>
    <w:p/>
    <w:p/>
    <w:p>
      <w:pPr>
        <w:jc w:val="center"/>
      </w:pPr>
      <w:r>
        <w:rPr>
          <w:rFonts w:ascii="Times New Roman" w:hAnsi="Times New Roman"/>
          <w:b w:val="0"/>
          <w:i w:val="0"/>
          <w:sz w:val="24"/>
        </w:rPr>
        <w:t>Chuyên ngành: Tâm lý học chuyên ngành</w:t>
      </w:r>
    </w:p>
    <w:p>
      <w:pPr>
        <w:jc w:val="center"/>
      </w:pPr>
      <w:r>
        <w:rPr>
          <w:rFonts w:ascii="Times New Roman" w:hAnsi="Times New Roman"/>
          <w:b w:val="0"/>
          <w:i w:val="0"/>
          <w:sz w:val="24"/>
        </w:rPr>
        <w:t>Mã số: 9.31.04.01</w:t>
      </w:r>
    </w:p>
    <w:p/>
    <w:p/>
    <w:p>
      <w:pPr>
        <w:jc w:val="center"/>
      </w:pPr>
      <w:r>
        <w:rPr>
          <w:rFonts w:ascii="Times New Roman" w:hAnsi="Times New Roman"/>
          <w:b/>
          <w:i w:val="0"/>
          <w:sz w:val="26"/>
        </w:rPr>
        <w:t>TÓM TẮT LUẬN ÁN TIẾN SĨ TÂM LÝ HỌC</w:t>
      </w:r>
    </w:p>
    <w:p/>
    <w:p/>
    <w:p/>
    <w:p>
      <w:pPr>
        <w:jc w:val="center"/>
      </w:pPr>
      <w:r>
        <w:rPr>
          <w:rFonts w:ascii="Times New Roman" w:hAnsi="Times New Roman"/>
          <w:b/>
          <w:i w:val="0"/>
          <w:sz w:val="24"/>
        </w:rPr>
        <w:t>HÀ NỘI, 2026</w:t>
      </w:r>
    </w:p>
    <w:p>
      <w:r>
        <w:br w:type="page"/>
      </w:r>
    </w:p>
    <w:p>
      <w:pPr>
        <w:jc w:val="both"/>
      </w:pPr>
      <w:r>
        <w:rPr>
          <w:rFonts w:ascii="Times New Roman" w:hAnsi="Times New Roman"/>
          <w:b/>
          <w:i w:val="0"/>
          <w:sz w:val="22"/>
        </w:rPr>
        <w:t>Công trình được hoàn thành tại:</w:t>
      </w:r>
    </w:p>
    <w:p>
      <w:pPr>
        <w:jc w:val="center"/>
      </w:pPr>
      <w:r>
        <w:rPr>
          <w:rFonts w:ascii="Times New Roman" w:hAnsi="Times New Roman"/>
          <w:b/>
          <w:i w:val="0"/>
          <w:sz w:val="24"/>
        </w:rPr>
        <w:t>TRƯỜNG ĐẠI HỌC SƯ PHẠM HÀ NỘI</w:t>
      </w:r>
    </w:p>
    <w:p/>
    <w:p>
      <w:pPr>
        <w:jc w:val="both"/>
      </w:pPr>
      <w:r>
        <w:rPr>
          <w:rFonts w:ascii="Times New Roman" w:hAnsi="Times New Roman"/>
          <w:b/>
          <w:i w:val="0"/>
          <w:sz w:val="22"/>
        </w:rPr>
        <w:t>Người hướng dẫn khoa học:</w:t>
      </w:r>
    </w:p>
    <w:p>
      <w:pPr>
        <w:jc w:val="center"/>
      </w:pPr>
      <w:r>
        <w:rPr>
          <w:rFonts w:ascii="Times New Roman" w:hAnsi="Times New Roman"/>
          <w:b w:val="0"/>
          <w:i/>
          <w:sz w:val="22"/>
        </w:rPr>
        <w:t>TS. Đào Minh Đức</w:t>
      </w:r>
    </w:p>
    <w:p/>
    <w:p>
      <w:pPr>
        <w:jc w:val="both"/>
      </w:pPr>
      <w:r>
        <w:rPr>
          <w:rFonts w:ascii="Times New Roman" w:hAnsi="Times New Roman"/>
          <w:b w:val="0"/>
          <w:i w:val="0"/>
          <w:sz w:val="22"/>
        </w:rPr>
        <w:t>Phản biện 1: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Phản biện 2: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Phản biện 3: ........................................................................................</w:t>
      </w:r>
    </w:p>
    <w:p>
      <w:pPr>
        <w:jc w:val="both"/>
      </w:pPr>
      <w:r>
        <w:rPr>
          <w:rFonts w:ascii="Times New Roman" w:hAnsi="Times New Roman"/>
          <w:b w:val="0"/>
          <w:i w:val="0"/>
          <w:sz w:val="22"/>
        </w:rPr>
        <w:t xml:space="preserve">            ........................................................................................</w:t>
      </w:r>
    </w:p>
    <w:p/>
    <w:p/>
    <w:p>
      <w:pPr>
        <w:ind w:firstLine="425"/>
        <w:jc w:val="both"/>
      </w:pPr>
      <w:r>
        <w:rPr>
          <w:rFonts w:ascii="Times New Roman" w:hAnsi="Times New Roman"/>
          <w:b w:val="0"/>
          <w:i w:val="0"/>
          <w:sz w:val="22"/>
        </w:rPr>
        <w:t>Luận án sẽ được bảo vệ trước Hội đồng đánh giá luận án cấp Trường tại Trường Đại học Sư phạm Hà Nội</w:t>
      </w:r>
    </w:p>
    <w:p>
      <w:pPr>
        <w:jc w:val="both"/>
      </w:pPr>
      <w:r>
        <w:rPr>
          <w:rFonts w:ascii="Times New Roman" w:hAnsi="Times New Roman"/>
          <w:b w:val="0"/>
          <w:i w:val="0"/>
          <w:sz w:val="22"/>
        </w:rPr>
        <w:t>vào hồi ........ giờ ........ ngày ........ tháng ........ năm ........</w:t>
      </w:r>
    </w:p>
    <w:p/>
    <w:p/>
    <w:p>
      <w:pPr>
        <w:jc w:val="both"/>
      </w:pPr>
      <w:r>
        <w:rPr>
          <w:rFonts w:ascii="Times New Roman" w:hAnsi="Times New Roman"/>
          <w:b/>
          <w:i w:val="0"/>
          <w:sz w:val="22"/>
        </w:rPr>
        <w:t>Có thể tìm hiểu luận án tại:</w:t>
      </w:r>
    </w:p>
    <w:p>
      <w:pPr>
        <w:jc w:val="both"/>
      </w:pPr>
      <w:r>
        <w:rPr>
          <w:rFonts w:ascii="Times New Roman" w:hAnsi="Times New Roman"/>
          <w:b w:val="0"/>
          <w:i w:val="0"/>
          <w:sz w:val="22"/>
        </w:rPr>
        <w:t>- Thư viện Quốc gia Việt Nam</w:t>
      </w:r>
    </w:p>
    <w:p>
      <w:pPr>
        <w:jc w:val="both"/>
      </w:pPr>
      <w:r>
        <w:rPr>
          <w:rFonts w:ascii="Times New Roman" w:hAnsi="Times New Roman"/>
          <w:b w:val="0"/>
          <w:i w:val="0"/>
          <w:sz w:val="22"/>
        </w:rPr>
        <w:t>- Thư viện Trường Đại học Sư phạm Hà Nội</w:t>
      </w:r>
    </w:p>
    <w:p>
      <w:r>
        <w:br w:type="page"/>
      </w:r>
    </w:p>
    <w:p>
      <w:pPr>
        <w:spacing w:before="360" w:after="240"/>
        <w:jc w:val="center"/>
      </w:pPr>
      <w:r>
        <w:rPr>
          <w:rFonts w:ascii="Times New Roman" w:hAnsi="Times New Roman"/>
          <w:b/>
          <w:sz w:val="28"/>
        </w:rPr>
        <w:t>MỞ ĐẦU</w:t>
      </w:r>
    </w:p>
    <w:p>
      <w:pPr>
        <w:spacing w:before="200" w:after="80"/>
        <w:jc w:val="left"/>
      </w:pPr>
      <w:r>
        <w:rPr>
          <w:rFonts w:ascii="Times New Roman" w:hAnsi="Times New Roman"/>
          <w:b/>
          <w:sz w:val="24"/>
        </w:rPr>
        <w:t>1. Lý do chọn đề tài</w:t>
      </w:r>
    </w:p>
    <w:p>
      <w:pPr>
        <w:ind w:firstLine="425"/>
        <w:jc w:val="both"/>
      </w:pPr>
      <w:r>
        <w:rPr>
          <w:rFonts w:ascii="Times New Roman" w:hAnsi="Times New Roman"/>
          <w:b w:val="0"/>
          <w:i w:val="0"/>
          <w:sz w:val="22"/>
        </w:rPr>
        <w:t>Trong bối cảnh thế giới đương đại đầy biến động, sức khỏe tâm thần của lứa tuổi vị thành niên đang phải đối mặt với những thách thức chưa từng có, trong đó rối loạn lo âu (RLLA) nổi lên như một trong những vấn đề phổ biến và nổi bật nhất. Theo Tổ chức Y tế Thế giới (WHO), rối loạn lo âu là một trong hai vấn đề sức khỏe tâm thần nghiêm trọng nhất và thường khởi phát sớm ở giai đoạn thanh thiếu niên, với mức tăng tổng thể đến 25% trong giai đoạn đại dịch COVID-19.</w:t>
      </w:r>
    </w:p>
    <w:p>
      <w:pPr>
        <w:ind w:firstLine="425"/>
        <w:jc w:val="both"/>
      </w:pPr>
      <w:r>
        <w:rPr>
          <w:rFonts w:ascii="Times New Roman" w:hAnsi="Times New Roman"/>
          <w:b w:val="0"/>
          <w:i w:val="0"/>
          <w:sz w:val="22"/>
        </w:rPr>
        <w:t>Tại Việt Nam, khảo sát đại diện quốc gia V-NAMHS (Viện Xã hội học và cộng sự, 2022) trên 5.996 cặp cha mẹ và trẻ vị thành niên cho thấy rối loạn lo âu là rối loạn tâm thần phổ biến nhất ở lứa tuổi 10–17, với tỷ lệ đạt ngưỡng chẩn đoán DSM-5 là 2,3%. Tuy nhiên, các khảo sát khác sử dụng thang đo sàng lọc đưa ra tỷ lệ dao động rất rộng, có khi lên đến trên 50%, cho thấy còn nhiều khoảng trống về phương pháp luận trong đo lường rối loạn lo âu ở học sinh Việt Nam.</w:t>
      </w:r>
    </w:p>
    <w:p>
      <w:pPr>
        <w:ind w:firstLine="425"/>
        <w:jc w:val="both"/>
      </w:pPr>
      <w:r>
        <w:rPr>
          <w:rFonts w:ascii="Times New Roman" w:hAnsi="Times New Roman"/>
          <w:b w:val="0"/>
          <w:i w:val="0"/>
          <w:sz w:val="22"/>
        </w:rPr>
        <w:t>Lứa tuổi học sinh trung học cơ sở (11–15 tuổi) có vị trí đặc biệt quan trọng, được đặc trưng bởi tính dễ bị tổn thương trước các thách thức sức khỏe tâm thần do sự tương tác phức tạp giữa thay đổi tâm sinh lý và áp lực học đường, gia đình, xã hội. Đây cũng là giai đoạn khởi phát đặc trưng của nhiều dạng rối loạn lo âu, đặc biệt là rối loạn lo âu xã hội.</w:t>
      </w:r>
    </w:p>
    <w:p>
      <w:pPr>
        <w:ind w:firstLine="425"/>
        <w:jc w:val="both"/>
      </w:pPr>
      <w:r>
        <w:rPr>
          <w:rFonts w:ascii="Times New Roman" w:hAnsi="Times New Roman"/>
          <w:b w:val="0"/>
          <w:i w:val="0"/>
          <w:sz w:val="22"/>
        </w:rPr>
        <w:t>Thực trạng nghiên cứu trong nước về chủ đề này còn nhiều khoảng trống: (1) chưa có bộ thang đo rối loạn lo âu chuẩn hóa phù hợp ngôn ngữ và văn hóa Việt Nam; (2) phần lớn nghiên cứu tập trung vào lo âu lan tỏa, trong khi lo âu xã hội và lo âu chia ly hầu như chưa được khảo sát chuyên biệt; (3) các yếu tố bảo vệ chưa được nghiên cứu đồng thời và tích hợp với yếu tố nguy cơ trong cùng một thiết kế; (4) thiết kế nghiên cứu theo chiều dọc còn rất ít; (5) thiếu các nghiên cứu về chương trình can thiệp theo tiếp cận nhận thức – hành vi (CBT) trên học sinh THCS Việt Nam.</w:t>
      </w:r>
    </w:p>
    <w:p>
      <w:pPr>
        <w:ind w:firstLine="425"/>
        <w:jc w:val="both"/>
      </w:pPr>
      <w:r>
        <w:rPr>
          <w:rFonts w:ascii="Times New Roman" w:hAnsi="Times New Roman"/>
          <w:b w:val="0"/>
          <w:i w:val="0"/>
          <w:sz w:val="22"/>
        </w:rPr>
        <w:t>Trên cơ sở đó, luận án "Rối loạn lo âu ở học sinh trung học cơ sở" được lựa chọn nhằm cung cấp bằng chứng thực nghiệm về thực trạng và các yếu tố ảnh hưởng, đồng thời đề xuất khung chương trình tập huấn phòng ngừa phù hợp với bối cảnh giáo dục Việt Nam.</w:t>
      </w:r>
    </w:p>
    <w:p>
      <w:pPr>
        <w:spacing w:before="200" w:after="80"/>
        <w:jc w:val="left"/>
      </w:pPr>
      <w:r>
        <w:rPr>
          <w:rFonts w:ascii="Times New Roman" w:hAnsi="Times New Roman"/>
          <w:b/>
          <w:sz w:val="24"/>
        </w:rPr>
        <w:t>2. Mục đích nghiên cứu</w:t>
      </w:r>
    </w:p>
    <w:p>
      <w:pPr>
        <w:ind w:firstLine="425"/>
        <w:jc w:val="both"/>
      </w:pPr>
      <w:r>
        <w:rPr>
          <w:rFonts w:ascii="Times New Roman" w:hAnsi="Times New Roman"/>
          <w:b w:val="0"/>
          <w:i w:val="0"/>
          <w:sz w:val="22"/>
        </w:rPr>
        <w:t>Nghiên cứu cơ sở lý luận về rối loạn lo âu ở học sinh THCS; tìm hiểu thực trạng rối loạn lo âu và một số yếu tố ảnh hưởng (yếu tố nguy cơ và yếu tố bảo vệ); trên cơ sở đó, đề xuất khung chương trình tập huấn phòng ngừa rối loạn lo âu cho học sinh THCS.</w:t>
      </w:r>
    </w:p>
    <w:p>
      <w:pPr>
        <w:spacing w:before="200" w:after="80"/>
        <w:jc w:val="left"/>
      </w:pPr>
      <w:r>
        <w:rPr>
          <w:rFonts w:ascii="Times New Roman" w:hAnsi="Times New Roman"/>
          <w:b/>
          <w:sz w:val="24"/>
        </w:rPr>
        <w:t>3. Đối tượng nghiên cứu</w:t>
      </w:r>
    </w:p>
    <w:p>
      <w:pPr>
        <w:ind w:firstLine="425"/>
        <w:jc w:val="both"/>
      </w:pPr>
      <w:r>
        <w:rPr>
          <w:rFonts w:ascii="Times New Roman" w:hAnsi="Times New Roman"/>
          <w:b w:val="0"/>
          <w:i w:val="0"/>
          <w:sz w:val="22"/>
        </w:rPr>
        <w:t>Mức độ, biểu hiện và tác động của các yếu tố ảnh hưởng đến rối loạn lo âu học đường ở học sinh THCS; khung chương trình tập huấn phòng ngừa rối loạn lo âu cho học sinh THCS.</w:t>
      </w:r>
    </w:p>
    <w:p>
      <w:pPr>
        <w:spacing w:before="200" w:after="80"/>
        <w:jc w:val="left"/>
      </w:pPr>
      <w:r>
        <w:rPr>
          <w:rFonts w:ascii="Times New Roman" w:hAnsi="Times New Roman"/>
          <w:b/>
          <w:sz w:val="24"/>
        </w:rPr>
        <w:t>4. Khách thể nghiên cứu</w:t>
      </w:r>
    </w:p>
    <w:p>
      <w:pPr>
        <w:jc w:val="both"/>
      </w:pPr>
      <w:r>
        <w:rPr>
          <w:rFonts w:ascii="Times New Roman" w:hAnsi="Times New Roman"/>
          <w:b w:val="0"/>
          <w:i w:val="0"/>
          <w:sz w:val="22"/>
        </w:rPr>
        <w:t>- Học sinh THCS: khảo sát phiếu điều tra trên 1.352 học sinh THCS và phỏng vấn sâu 12 học sinh THCS tại Hà Nội.</w:t>
      </w:r>
    </w:p>
    <w:p>
      <w:pPr>
        <w:jc w:val="both"/>
      </w:pPr>
      <w:r>
        <w:rPr>
          <w:rFonts w:ascii="Times New Roman" w:hAnsi="Times New Roman"/>
          <w:b w:val="0"/>
          <w:i w:val="0"/>
          <w:sz w:val="22"/>
        </w:rPr>
        <w:t>- Giáo viên THCS: phỏng vấn sâu 6 giáo viên chủ nhiệm THCS.</w:t>
      </w:r>
    </w:p>
    <w:p>
      <w:pPr>
        <w:spacing w:before="200" w:after="80"/>
        <w:jc w:val="left"/>
      </w:pPr>
      <w:r>
        <w:rPr>
          <w:rFonts w:ascii="Times New Roman" w:hAnsi="Times New Roman"/>
          <w:b/>
          <w:sz w:val="24"/>
        </w:rPr>
        <w:t>5. Giả thuyết khoa học</w:t>
      </w:r>
    </w:p>
    <w:p>
      <w:pPr>
        <w:ind w:firstLine="425"/>
        <w:jc w:val="both"/>
      </w:pPr>
      <w:r>
        <w:rPr>
          <w:rFonts w:ascii="Times New Roman" w:hAnsi="Times New Roman"/>
          <w:b w:val="0"/>
          <w:i w:val="0"/>
          <w:sz w:val="22"/>
        </w:rPr>
        <w:t>Luận án xây dựng 3 giả thuyết khoa học:</w:t>
      </w:r>
    </w:p>
    <w:p>
      <w:pPr>
        <w:ind w:firstLine="425"/>
        <w:jc w:val="both"/>
      </w:pPr>
      <w:r>
        <w:rPr>
          <w:rFonts w:ascii="Times New Roman" w:hAnsi="Times New Roman"/>
          <w:b w:val="0"/>
          <w:i w:val="0"/>
          <w:sz w:val="22"/>
        </w:rPr>
        <w:t>Giả thuyết 1 — Khác biệt giới tính phụ thuộc vào loại rối loạn lo âu: với rối loạn lo âu lan tỏa và lo âu xã hội, học sinh nữ có mức độ lo âu cao hơn nam; với lo âu chia ly, không có sự khác biệt giới tính có ý nghĩa thống kê.</w:t>
      </w:r>
    </w:p>
    <w:p>
      <w:pPr>
        <w:ind w:firstLine="425"/>
        <w:jc w:val="both"/>
      </w:pPr>
      <w:r>
        <w:rPr>
          <w:rFonts w:ascii="Times New Roman" w:hAnsi="Times New Roman"/>
          <w:b w:val="0"/>
          <w:i w:val="0"/>
          <w:sz w:val="22"/>
        </w:rPr>
        <w:t>Giả thuyết 2 — Lòng tự trọng là yếu tố bảo vệ thuộc nhóm mạnh nhất, có cường độ tác động tương đương với áp lực học tập đối với rối loạn lo âu.</w:t>
      </w:r>
    </w:p>
    <w:p>
      <w:pPr>
        <w:ind w:firstLine="425"/>
        <w:jc w:val="both"/>
      </w:pPr>
      <w:r>
        <w:rPr>
          <w:rFonts w:ascii="Times New Roman" w:hAnsi="Times New Roman"/>
          <w:b w:val="0"/>
          <w:i w:val="0"/>
          <w:sz w:val="22"/>
        </w:rPr>
        <w:t>Giả thuyết 3 — Áp lực học tập và nghiện điện thoại là hai yếu tố nguy cơ thuộc nhóm mạnh nhất trong số các yếu tố nguy cơ ảnh hưởng đến rối loạn lo âu ở học sinh THCS.</w:t>
      </w:r>
    </w:p>
    <w:p>
      <w:pPr>
        <w:spacing w:before="200" w:after="80"/>
        <w:jc w:val="left"/>
      </w:pPr>
      <w:r>
        <w:rPr>
          <w:rFonts w:ascii="Times New Roman" w:hAnsi="Times New Roman"/>
          <w:b/>
          <w:sz w:val="24"/>
        </w:rPr>
        <w:t>6. Nhiệm vụ nghiên cứu</w:t>
      </w:r>
    </w:p>
    <w:p>
      <w:pPr>
        <w:jc w:val="both"/>
      </w:pPr>
      <w:r>
        <w:rPr>
          <w:rFonts w:ascii="Times New Roman" w:hAnsi="Times New Roman"/>
          <w:b w:val="0"/>
          <w:i w:val="0"/>
          <w:sz w:val="22"/>
        </w:rPr>
        <w:t>(1) Hệ thống hóa cơ sở lý luận về rối loạn lo âu và rối loạn lo âu ở học sinh trung học cơ sở.</w:t>
      </w:r>
    </w:p>
    <w:p>
      <w:pPr>
        <w:jc w:val="both"/>
      </w:pPr>
      <w:r>
        <w:rPr>
          <w:rFonts w:ascii="Times New Roman" w:hAnsi="Times New Roman"/>
          <w:b w:val="0"/>
          <w:i w:val="0"/>
          <w:sz w:val="22"/>
        </w:rPr>
        <w:t>(2) Nghiên cứu thực trạng, biểu hiện mức độ rối loạn lo âu ở học sinh trung học cơ sở và các yếu tố ảnh hưởng (yếu tố nguy cơ, yếu tố bảo vệ, biện pháp đối phó).</w:t>
      </w:r>
    </w:p>
    <w:p>
      <w:pPr>
        <w:jc w:val="both"/>
      </w:pPr>
      <w:r>
        <w:rPr>
          <w:rFonts w:ascii="Times New Roman" w:hAnsi="Times New Roman"/>
          <w:b w:val="0"/>
          <w:i w:val="0"/>
          <w:sz w:val="22"/>
        </w:rPr>
        <w:t>(3) Đề xuất khung chương trình tập huấn phòng ngừa rối loạn lo âu học đường cho học sinh trung học cơ sở.</w:t>
      </w:r>
    </w:p>
    <w:p>
      <w:pPr>
        <w:spacing w:before="200" w:after="80"/>
        <w:jc w:val="left"/>
      </w:pPr>
      <w:r>
        <w:rPr>
          <w:rFonts w:ascii="Times New Roman" w:hAnsi="Times New Roman"/>
          <w:b/>
          <w:sz w:val="24"/>
        </w:rPr>
        <w:t>7. Giới hạn nghiên cứu</w:t>
      </w:r>
    </w:p>
    <w:p>
      <w:pPr>
        <w:ind w:firstLine="425"/>
        <w:jc w:val="both"/>
      </w:pPr>
      <w:r>
        <w:rPr>
          <w:rFonts w:ascii="Times New Roman" w:hAnsi="Times New Roman"/>
          <w:b w:val="0"/>
          <w:i w:val="0"/>
          <w:sz w:val="22"/>
        </w:rPr>
        <w:t>Về nội dung: tập trung khảo sát ba loại rối loạn lo âu (lan tỏa, xã hội, chia ly) và các yếu tố ảnh hưởng (áp lực học tập, nghiện điện thoại, bắt nạt học đường, lòng tự trọng, gắn bó trường học, hỗ trợ xã hội, biện pháp đối phó).</w:t>
      </w:r>
    </w:p>
    <w:p>
      <w:pPr>
        <w:ind w:firstLine="425"/>
        <w:jc w:val="both"/>
      </w:pPr>
      <w:r>
        <w:rPr>
          <w:rFonts w:ascii="Times New Roman" w:hAnsi="Times New Roman"/>
          <w:b w:val="0"/>
          <w:i w:val="0"/>
          <w:sz w:val="22"/>
        </w:rPr>
        <w:t>Về địa bàn: 2 trường THCS tại Hà Nội — THCS Nhật Tân (nội thành) và THCS Tây Mỗ (ven đô).</w:t>
      </w:r>
    </w:p>
    <w:p>
      <w:pPr>
        <w:ind w:firstLine="425"/>
        <w:jc w:val="both"/>
      </w:pPr>
      <w:r>
        <w:rPr>
          <w:rFonts w:ascii="Times New Roman" w:hAnsi="Times New Roman"/>
          <w:b w:val="0"/>
          <w:i w:val="0"/>
          <w:sz w:val="22"/>
        </w:rPr>
        <w:t>Về khách thể: học sinh THCS các khối 6–9 (11–14 tuổi).</w:t>
      </w:r>
    </w:p>
    <w:p>
      <w:pPr>
        <w:spacing w:before="200" w:after="80"/>
        <w:jc w:val="left"/>
      </w:pPr>
      <w:r>
        <w:rPr>
          <w:rFonts w:ascii="Times New Roman" w:hAnsi="Times New Roman"/>
          <w:b/>
          <w:sz w:val="24"/>
        </w:rPr>
        <w:t>8. Phương pháp nghiên cứu</w:t>
      </w:r>
    </w:p>
    <w:p>
      <w:pPr>
        <w:ind w:firstLine="425"/>
        <w:jc w:val="both"/>
      </w:pPr>
      <w:r>
        <w:rPr>
          <w:rFonts w:ascii="Times New Roman" w:hAnsi="Times New Roman"/>
          <w:b w:val="0"/>
          <w:i w:val="0"/>
          <w:sz w:val="22"/>
        </w:rPr>
        <w:t>Luận án sử dụng phối hợp các phương pháp: (1) Nghiên cứu tài liệu, văn bản; (2) Điều tra bằng bảng hỏi; (3) Phỏng vấn sâu; (4) Quan sát; (5) Phân tích thống kê toán học bằng SPSS 31.0 và AMOS 31.0.</w:t>
      </w:r>
    </w:p>
    <w:p>
      <w:pPr>
        <w:spacing w:before="200" w:after="80"/>
        <w:jc w:val="left"/>
      </w:pPr>
      <w:r>
        <w:rPr>
          <w:rFonts w:ascii="Times New Roman" w:hAnsi="Times New Roman"/>
          <w:b/>
          <w:sz w:val="24"/>
        </w:rPr>
        <w:t>9. Đóng góp mới của luận án</w:t>
      </w:r>
    </w:p>
    <w:p>
      <w:pPr>
        <w:ind w:firstLine="425"/>
        <w:jc w:val="both"/>
      </w:pPr>
      <w:r>
        <w:rPr>
          <w:rFonts w:ascii="Times New Roman" w:hAnsi="Times New Roman"/>
          <w:b w:val="0"/>
          <w:i w:val="0"/>
          <w:sz w:val="22"/>
        </w:rPr>
        <w:t>Về lý luận: hệ thống hóa cơ sở lý luận về rối loạn lo âu ở học sinh THCS theo hướng tích hợp mạng lưới yếu tố nguy cơ và yếu tố bảo vệ; xác lập khung khái niệm về biện pháp ứng phó với hai chiều thích nghi và không thích nghi.</w:t>
      </w:r>
    </w:p>
    <w:p>
      <w:pPr>
        <w:ind w:firstLine="425"/>
        <w:jc w:val="both"/>
      </w:pPr>
      <w:r>
        <w:rPr>
          <w:rFonts w:ascii="Times New Roman" w:hAnsi="Times New Roman"/>
          <w:b w:val="0"/>
          <w:i w:val="0"/>
          <w:sz w:val="22"/>
        </w:rPr>
        <w:t>Về thực tiễn: cung cấp bằng chứng định lượng về thực trạng rối loạn lo âu trên mẫu 1.352 học sinh THCS tại Hà Nội; đề xuất khung chương trình tập huấn phòng ngừa rối loạn lo âu học đường có cơ sở khoa học và khả thi triển khai trong bối cảnh nhà trường Việt Nam.</w:t>
      </w:r>
    </w:p>
    <w:p>
      <w:pPr>
        <w:spacing w:before="200" w:after="80"/>
        <w:jc w:val="left"/>
      </w:pPr>
      <w:r>
        <w:rPr>
          <w:rFonts w:ascii="Times New Roman" w:hAnsi="Times New Roman"/>
          <w:b/>
          <w:sz w:val="24"/>
        </w:rPr>
        <w:t>10. Cấu trúc luận án</w:t>
      </w:r>
    </w:p>
    <w:p>
      <w:pPr>
        <w:ind w:firstLine="425"/>
        <w:jc w:val="both"/>
      </w:pPr>
      <w:r>
        <w:rPr>
          <w:rFonts w:ascii="Times New Roman" w:hAnsi="Times New Roman"/>
          <w:b w:val="0"/>
          <w:i w:val="0"/>
          <w:sz w:val="22"/>
        </w:rPr>
        <w:t>Ngoài phần Mở đầu, Kết luận, Tài liệu tham khảo và Phụ lục, luận án gồm 3 chương: Chương 1 — Cơ sở lý luận về rối loạn lo âu ở học sinh trung học cơ sở; Chương 2 — Tổ chức và phương pháp nghiên cứu; Chương 3 — Kết quả nghiên cứu thực trạng rối loạn lo âu.</w:t>
      </w:r>
    </w:p>
    <w:p>
      <w:r>
        <w:br w:type="page"/>
      </w:r>
    </w:p>
    <w:p>
      <w:pPr>
        <w:spacing w:before="360" w:after="240"/>
        <w:jc w:val="center"/>
      </w:pPr>
      <w:r>
        <w:rPr>
          <w:rFonts w:ascii="Times New Roman" w:hAnsi="Times New Roman"/>
          <w:b/>
          <w:sz w:val="28"/>
        </w:rPr>
        <w:t>CHƯƠNG 1</w:t>
        <w:br/>
        <w:t>CƠ SỞ LÝ LUẬN VỀ RỐI LOẠN LO ÂU</w:t>
        <w:br/>
        <w:t>Ở HỌC SINH TRUNG HỌC CƠ SỞ</w:t>
      </w:r>
    </w:p>
    <w:p>
      <w:pPr>
        <w:spacing w:before="200" w:after="80"/>
        <w:jc w:val="left"/>
      </w:pPr>
      <w:r>
        <w:rPr>
          <w:rFonts w:ascii="Times New Roman" w:hAnsi="Times New Roman"/>
          <w:b/>
          <w:sz w:val="24"/>
        </w:rPr>
        <w:t>1.1. Tổng quan nghiên cứu</w:t>
      </w:r>
    </w:p>
    <w:p>
      <w:pPr>
        <w:spacing w:before="120" w:after="40"/>
        <w:jc w:val="left"/>
      </w:pPr>
      <w:r>
        <w:rPr>
          <w:rFonts w:ascii="Times New Roman" w:hAnsi="Times New Roman"/>
          <w:b/>
          <w:sz w:val="22"/>
        </w:rPr>
        <w:t>1.1.1. Tỷ lệ phổ biến và mức độ rối loạn lo âu</w:t>
      </w:r>
    </w:p>
    <w:p>
      <w:pPr>
        <w:ind w:firstLine="425"/>
        <w:jc w:val="both"/>
      </w:pPr>
      <w:r>
        <w:rPr>
          <w:rFonts w:ascii="Times New Roman" w:hAnsi="Times New Roman"/>
          <w:b w:val="0"/>
          <w:i w:val="0"/>
          <w:sz w:val="22"/>
        </w:rPr>
        <w:t>Các nghiên cứu quốc tế cho thấy tỷ lệ rối loạn lo âu ở thanh thiếu niên dao động khá rộng tùy theo công cụ sàng lọc và bối cảnh quốc gia. Xu và cộng sự (2021) trên 373.216 học sinh THCS-THPT Trung Quốc bằng GAD-7 báo cáo tỷ lệ 9,89% ở mức trung bình trở lên, tăng lên 38,42% nếu tính từ mức nhẹ. Bhardwaj và cộng sự (2020) ở Ấn Độ trên 288 học sinh THPT bằng DASS-21 ghi nhận 81,9% mức nhẹ trở lên và 73,2% từ mức trung bình trở lên. Chen và cộng sự (2023) trên 63.205 học sinh THCS-THPT Trung Quốc báo cáo tỷ lệ lo âu 13,9% và trầm cảm 23,0%.</w:t>
      </w:r>
    </w:p>
    <w:p>
      <w:pPr>
        <w:ind w:firstLine="425"/>
        <w:jc w:val="both"/>
      </w:pPr>
      <w:r>
        <w:rPr>
          <w:rFonts w:ascii="Times New Roman" w:hAnsi="Times New Roman"/>
          <w:b w:val="0"/>
          <w:i w:val="0"/>
          <w:sz w:val="22"/>
        </w:rPr>
        <w:t>Tại Việt Nam, khảo sát V-NAMHS (Viện Xã hội học và cộng sự, 2022) trên 5.996 cặp cha mẹ-trẻ ghi nhận tỷ lệ rối loạn lo âu đạt ngưỡng chẩn đoán DSM-5 là 2,3%. Một số nghiên cứu khác bằng thang đo sàng lọc đưa ra tỷ lệ cao hơn: Hoàng Trung Học và Nguyễn Thùy Dung (2025) trên 8.473 học sinh từ lớp 6 đến lớp 12 tại 6 tỉnh thành báo cáo tỷ lệ lo âu 41,5% trong COVID-19, giảm còn 25,4% sau COVID-19; Nguyễn Ngọc Bảo Quyên và cộng sự (2025) trên 501 học sinh THPT Hà Nội bằng DASS-21 ghi nhận tỷ lệ 86,2%.</w:t>
      </w:r>
    </w:p>
    <w:p>
      <w:pPr>
        <w:spacing w:before="120" w:after="40"/>
        <w:jc w:val="left"/>
      </w:pPr>
      <w:r>
        <w:rPr>
          <w:rFonts w:ascii="Times New Roman" w:hAnsi="Times New Roman"/>
          <w:b/>
          <w:sz w:val="22"/>
        </w:rPr>
        <w:t>1.1.2. Yếu tố nguy cơ và yếu tố bảo vệ</w:t>
      </w:r>
    </w:p>
    <w:p>
      <w:pPr>
        <w:ind w:firstLine="425"/>
        <w:jc w:val="both"/>
      </w:pPr>
      <w:r>
        <w:rPr>
          <w:rFonts w:ascii="Times New Roman" w:hAnsi="Times New Roman"/>
          <w:b w:val="0"/>
          <w:i w:val="0"/>
          <w:sz w:val="22"/>
        </w:rPr>
        <w:t>Các yếu tố nguy cơ chính được xác định trong y văn quốc tế bao gồm: áp lực học tập (Steare và cộng sự, 2023 — tổng quan hệ thống 52 nghiên cứu, trong đó 48 nghiên cứu xác nhận tương quan thuận giữa áp lực học tập và sức khỏe tâm thần kém); nghiện điện thoại và mạng xã hội (A.M. Saikia và cộng sự, 2023; Z. Chen và cộng sự, 2023; T.L. Anderson và cộng sự, 2025); bắt nạt học đường (Z. Chen và cộng sự, 2023 — báo cáo tỷ lệ bắt nạt học đường dao động từ 9,0% đến 61,6%).</w:t>
      </w:r>
    </w:p>
    <w:p>
      <w:pPr>
        <w:ind w:firstLine="425"/>
        <w:jc w:val="both"/>
      </w:pPr>
      <w:r>
        <w:rPr>
          <w:rFonts w:ascii="Times New Roman" w:hAnsi="Times New Roman"/>
          <w:b w:val="0"/>
          <w:i w:val="0"/>
          <w:sz w:val="22"/>
        </w:rPr>
        <w:t>Các yếu tố bảo vệ chủ yếu gồm: lòng tự trọng (Rosenberg, 1965; Masten, 2014); gắn bó với trường học; hỗ trợ từ cha mẹ và bạn bè (Compas và cộng sự, 2017 — meta-analysis trên 212 nghiên cứu, N = 80.850); và biện pháp ứng phó thích nghi (Lazarus và Folkman, 1984; Compas và cộng sự, 2017).</w:t>
      </w:r>
    </w:p>
    <w:p>
      <w:pPr>
        <w:spacing w:before="120" w:after="40"/>
        <w:jc w:val="left"/>
      </w:pPr>
      <w:r>
        <w:rPr>
          <w:rFonts w:ascii="Times New Roman" w:hAnsi="Times New Roman"/>
          <w:b/>
          <w:sz w:val="22"/>
        </w:rPr>
        <w:t>1.1.3. Khoảng trống nghiên cứu tại Việt Nam</w:t>
      </w:r>
    </w:p>
    <w:p>
      <w:pPr>
        <w:ind w:firstLine="425"/>
        <w:jc w:val="both"/>
      </w:pPr>
      <w:r>
        <w:rPr>
          <w:rFonts w:ascii="Times New Roman" w:hAnsi="Times New Roman"/>
          <w:b w:val="0"/>
          <w:i w:val="0"/>
          <w:sz w:val="22"/>
        </w:rPr>
        <w:t>Tổng quan các nghiên cứu trong nước cho thấy 5 khoảng trống chính: (1) chưa có bộ thang đo RLLA chuẩn hóa cho trẻ em-vị thành niên phù hợp ngôn ngữ và văn hóa Việt Nam, dẫn đến biên độ ước tính tỷ lệ lo âu rất rộng (từ 2,3% theo chẩn đoán đầy đủ đến trên 50% theo thang sàng lọc); (2) phần lớn nghiên cứu tập trung vào lo âu lan tỏa qua GAD-7/DASS-21, trong khi lo âu xã hội và lo âu chia ly hầu như chưa được khảo sát chuyên biệt; (3) các yếu tố bảo vệ chưa được nghiên cứu đồng thời và tích hợp với yếu tố nguy cơ trong cùng một thiết kế; (4) thiết kế nghiên cứu theo chiều dọc và thử nghiệm lâm sàng ngẫu nhiên đa trung tâm còn rất ít; (5) thiếu các nghiên cứu về chương trình can thiệp theo tiếp cận CBT trên học sinh THCS Việt Nam.</w:t>
      </w:r>
    </w:p>
    <w:p>
      <w:pPr>
        <w:spacing w:before="200" w:after="80"/>
        <w:jc w:val="left"/>
      </w:pPr>
      <w:r>
        <w:rPr>
          <w:rFonts w:ascii="Times New Roman" w:hAnsi="Times New Roman"/>
          <w:b/>
          <w:sz w:val="24"/>
        </w:rPr>
        <w:t>1.2. Cơ sở lý luận</w:t>
      </w:r>
    </w:p>
    <w:p>
      <w:pPr>
        <w:spacing w:before="120" w:after="40"/>
        <w:jc w:val="left"/>
      </w:pPr>
      <w:r>
        <w:rPr>
          <w:rFonts w:ascii="Times New Roman" w:hAnsi="Times New Roman"/>
          <w:b/>
          <w:sz w:val="22"/>
        </w:rPr>
        <w:t>1.2.1. Khái niệm rối loạn lo âu</w:t>
      </w:r>
    </w:p>
    <w:p>
      <w:pPr>
        <w:ind w:firstLine="425"/>
        <w:jc w:val="both"/>
      </w:pPr>
      <w:r>
        <w:rPr>
          <w:rFonts w:ascii="Times New Roman" w:hAnsi="Times New Roman"/>
          <w:b w:val="0"/>
          <w:i w:val="0"/>
          <w:sz w:val="22"/>
        </w:rPr>
        <w:t>Rối loạn lo âu là trạng thái tâm lý bất thường, bao gồm các biểu hiện của sự sợ hãi quá mức, sự lo lắng và rối loạn hành vi liên quan, kéo dài và gây bất lợi đối với đời sống cá nhân. Theo DSM-5 (American Psychiatric Association, 2013), rối loạn lo âu được cấu trúc như một hệ thống đa thành phần, bao gồm các khía cạnh nhận thức (suy nghĩ tiêu cực, thảm họa hóa), cảm xúc (căng thẳng, bồn chồn), sinh lý (hoạt hóa hệ thần kinh giao cảm) và hành vi (né tránh, kiểm tra lặp lại).</w:t>
      </w:r>
    </w:p>
    <w:p>
      <w:pPr>
        <w:spacing w:before="120" w:after="40"/>
        <w:jc w:val="left"/>
      </w:pPr>
      <w:r>
        <w:rPr>
          <w:rFonts w:ascii="Times New Roman" w:hAnsi="Times New Roman"/>
          <w:b/>
          <w:sz w:val="22"/>
        </w:rPr>
        <w:t>1.2.2. Phân loại rối loạn lo âu theo DSM-5</w:t>
      </w:r>
    </w:p>
    <w:p>
      <w:pPr>
        <w:ind w:firstLine="425"/>
        <w:jc w:val="both"/>
      </w:pPr>
      <w:r>
        <w:rPr>
          <w:rFonts w:ascii="Times New Roman" w:hAnsi="Times New Roman"/>
          <w:b w:val="0"/>
          <w:i w:val="0"/>
          <w:sz w:val="22"/>
        </w:rPr>
        <w:t>Theo DSM-5, các dạng rối loạn lo âu chính ở trẻ em – vị thành niên gồm: (1) Rối loạn lo âu lan tỏa (Generalized Anxiety Disorder — GAD): lo lắng quá mức về nhiều sự kiện trong ít nhất 6 tháng, kèm các triệu chứng cơ thể; (2) Rối loạn lo âu xã hội (Social Anxiety Disorder): nỗi sợ rõ rệt và dai dẳng trong tình huống xã hội hoặc biểu diễn trước người khác; (3) Rối loạn lo âu chia ly (Separation Anxiety Disorder): lo lắng quá mức về sự chia cắt với người gắn bó, khởi phát đặc trưng ở trẻ em – vị thành niên.</w:t>
      </w:r>
    </w:p>
    <w:p>
      <w:pPr>
        <w:spacing w:before="120" w:after="40"/>
        <w:jc w:val="left"/>
      </w:pPr>
      <w:r>
        <w:rPr>
          <w:rFonts w:ascii="Times New Roman" w:hAnsi="Times New Roman"/>
          <w:b/>
          <w:sz w:val="22"/>
        </w:rPr>
        <w:t>1.2.3. Học sinh THCS và rối loạn lo âu</w:t>
      </w:r>
    </w:p>
    <w:p>
      <w:pPr>
        <w:ind w:firstLine="425"/>
        <w:jc w:val="both"/>
      </w:pPr>
      <w:r>
        <w:rPr>
          <w:rFonts w:ascii="Times New Roman" w:hAnsi="Times New Roman"/>
          <w:b w:val="0"/>
          <w:i w:val="0"/>
          <w:sz w:val="22"/>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pPr>
        <w:spacing w:before="120" w:after="40"/>
        <w:jc w:val="left"/>
      </w:pPr>
      <w:r>
        <w:rPr>
          <w:rFonts w:ascii="Times New Roman" w:hAnsi="Times New Roman"/>
          <w:b/>
          <w:sz w:val="22"/>
        </w:rPr>
        <w:t>1.2.4. Mạng lưới yếu tố ảnh hưởng</w:t>
      </w:r>
    </w:p>
    <w:p>
      <w:pPr>
        <w:ind w:firstLine="425"/>
        <w:jc w:val="both"/>
      </w:pPr>
      <w:r>
        <w:rPr>
          <w:rFonts w:ascii="Times New Roman" w:hAnsi="Times New Roman"/>
          <w:b w:val="0"/>
          <w:i w:val="0"/>
          <w:sz w:val="22"/>
        </w:rPr>
        <w:t>Luận án xác lập khung phân tích các yếu tố ảnh hưởng đến rối loạn lo âu ở học sinh THCS theo hai nhóm: nhóm yếu tố nguy cơ (áp lực học tập, nghiện điện thoại, bắt nạt thể chất, bắt nạt bằng lời và qua mạng, lòng tự trọng thấp) và nhóm yếu tố bảo vệ (lòng tự trọng, gắn bó với trường học, sự hỗ trợ của cha mẹ, sự hỗ trợ từ bạn bè, biện pháp ứng phó thích nghi). Các yếu tố này tương tác đồng thời, không loại trừ lẫn nhau.</w:t>
      </w:r>
    </w:p>
    <w:p>
      <w:pPr>
        <w:spacing w:before="200" w:after="80"/>
        <w:jc w:val="left"/>
      </w:pPr>
      <w:r>
        <w:rPr>
          <w:rFonts w:ascii="Times New Roman" w:hAnsi="Times New Roman"/>
          <w:b/>
          <w:sz w:val="24"/>
        </w:rPr>
        <w:t>1.3. Khung chương trình tập huấn phòng ngừa rối loạn lo âu cho học sinh THCS</w:t>
      </w:r>
    </w:p>
    <w:p>
      <w:pPr>
        <w:ind w:firstLine="425"/>
        <w:jc w:val="both"/>
      </w:pPr>
      <w:r>
        <w:rPr>
          <w:rFonts w:ascii="Times New Roman" w:hAnsi="Times New Roman"/>
          <w:b w:val="0"/>
          <w:i w:val="0"/>
          <w:sz w:val="22"/>
        </w:rPr>
        <w:t>Trên cơ sở các phát hiện về yếu tố nguy cơ và yếu tố bảo vệ, luận án xây dựng khung chương trình tập huấn phòng ngừa rối loạn lo âu cho học sinh THCS với 3 cấu phần: (1) cơ sở khoa học dựa trên tiếp cận nhận thức – hành vi (CBT) và mô hình chăm sóc theo bậc (stepped care); (2) khái niệm khung — chương trình mang tính phòng ngừa cấp 1 và cấp 2, không nhằm điều trị lâm sàng; (3) cấu trúc chương trình gồm 8 nội dung cơ bản, kèm quy trình triển khai và đánh giá hiệu quả.</w:t>
      </w:r>
    </w:p>
    <w:p>
      <w:r>
        <w:br w:type="page"/>
      </w:r>
    </w:p>
    <w:p>
      <w:pPr>
        <w:spacing w:before="360" w:after="240"/>
        <w:jc w:val="center"/>
      </w:pPr>
      <w:r>
        <w:rPr>
          <w:rFonts w:ascii="Times New Roman" w:hAnsi="Times New Roman"/>
          <w:b/>
          <w:sz w:val="28"/>
        </w:rPr>
        <w:t>CHƯƠNG 2</w:t>
        <w:br/>
        <w:t>TỔ CHỨC VÀ PHƯƠNG PHÁP NGHIÊN CỨU</w:t>
      </w:r>
    </w:p>
    <w:p>
      <w:pPr>
        <w:spacing w:before="200" w:after="80"/>
        <w:jc w:val="left"/>
      </w:pPr>
      <w:r>
        <w:rPr>
          <w:rFonts w:ascii="Times New Roman" w:hAnsi="Times New Roman"/>
          <w:b/>
          <w:sz w:val="24"/>
        </w:rPr>
        <w:t>2.1. Tổ chức nghiên cứu</w:t>
      </w:r>
    </w:p>
    <w:p>
      <w:pPr>
        <w:ind w:firstLine="425"/>
        <w:jc w:val="both"/>
      </w:pPr>
      <w:r>
        <w:rPr>
          <w:rFonts w:ascii="Times New Roman" w:hAnsi="Times New Roman"/>
          <w:b w:val="0"/>
          <w:i w:val="0"/>
          <w:sz w:val="22"/>
        </w:rPr>
        <w:t>Nghiên cứu được tổ chức theo thiết kế hỗn hợp định lượng – định tính, triển khai qua hai giai đoạn:</w:t>
      </w:r>
    </w:p>
    <w:p>
      <w:pPr>
        <w:ind w:firstLine="425"/>
        <w:jc w:val="both"/>
      </w:pPr>
      <w:r>
        <w:rPr>
          <w:rFonts w:ascii="Times New Roman" w:hAnsi="Times New Roman"/>
          <w:b w:val="0"/>
          <w:i w:val="0"/>
          <w:sz w:val="22"/>
        </w:rPr>
        <w:t>Giai đoạn nghiên cứu lý luận: tổng hợp tài liệu, xây dựng khung khái niệm, lựa chọn và hiệu chỉnh hệ thống thang đo phù hợp với học sinh THCS Việt Nam.</w:t>
      </w:r>
    </w:p>
    <w:p>
      <w:pPr>
        <w:ind w:firstLine="425"/>
        <w:jc w:val="both"/>
      </w:pPr>
      <w:r>
        <w:rPr>
          <w:rFonts w:ascii="Times New Roman" w:hAnsi="Times New Roman"/>
          <w:b w:val="0"/>
          <w:i w:val="0"/>
          <w:sz w:val="22"/>
        </w:rPr>
        <w:t>Giai đoạn nghiên cứu thực tiễn: tổ chức điều tra bằng bảng hỏi trên mẫu lớn, phỏng vấn sâu để bổ sung chiều sâu cho dữ liệu định lượng.</w:t>
      </w:r>
    </w:p>
    <w:p>
      <w:pPr>
        <w:ind w:firstLine="425"/>
        <w:jc w:val="both"/>
      </w:pPr>
      <w:r>
        <w:rPr>
          <w:rFonts w:ascii="Times New Roman" w:hAnsi="Times New Roman"/>
          <w:b w:val="0"/>
          <w:i w:val="0"/>
          <w:sz w:val="22"/>
        </w:rPr>
        <w:t>Địa bàn nghiên cứu: 2 trường THCS tại Hà Nội — THCS Nhật Tân (nội thành) và THCS Tây Mỗ (ven đô).</w:t>
      </w:r>
    </w:p>
    <w:p>
      <w:pPr>
        <w:spacing w:before="200" w:after="80"/>
        <w:jc w:val="left"/>
      </w:pPr>
      <w:r>
        <w:rPr>
          <w:rFonts w:ascii="Times New Roman" w:hAnsi="Times New Roman"/>
          <w:b/>
          <w:sz w:val="24"/>
        </w:rPr>
        <w:t>2.2. Khách thể và đối tượng nghiên cứu</w:t>
      </w:r>
    </w:p>
    <w:p>
      <w:pPr>
        <w:ind w:firstLine="425"/>
        <w:jc w:val="both"/>
      </w:pPr>
      <w:r>
        <w:rPr>
          <w:rFonts w:ascii="Times New Roman" w:hAnsi="Times New Roman"/>
          <w:b w:val="0"/>
          <w:i w:val="0"/>
          <w:sz w:val="22"/>
        </w:rPr>
        <w:t>Khách thể định lượng: 1.352 học sinh THCS các khối 6–9 (11–14 tuổi), được lựa chọn theo thiết kế phân tầng theo trường và khối lớp, kết hợp với chọn cụm ở cấp lớp học. Trong đó, học sinh nam là 614 em (45,4%) và học sinh nữ là 738 em (54,6%).</w:t>
      </w:r>
    </w:p>
    <w:p>
      <w:pPr>
        <w:ind w:firstLine="425"/>
        <w:jc w:val="both"/>
      </w:pPr>
      <w:r>
        <w:rPr>
          <w:rFonts w:ascii="Times New Roman" w:hAnsi="Times New Roman"/>
          <w:b w:val="0"/>
          <w:i w:val="0"/>
          <w:sz w:val="22"/>
        </w:rPr>
        <w:t>Khách thể định tính: 12 học sinh THCS phỏng vấn sâu; 6 giáo viên chủ nhiệm THCS phỏng vấn sâu.</w:t>
      </w:r>
    </w:p>
    <w:p>
      <w:pPr>
        <w:spacing w:before="200" w:after="80"/>
        <w:jc w:val="left"/>
      </w:pPr>
      <w:r>
        <w:rPr>
          <w:rFonts w:ascii="Times New Roman" w:hAnsi="Times New Roman"/>
          <w:b/>
          <w:sz w:val="24"/>
        </w:rPr>
        <w:t>2.3. Phương pháp nghiên cứu</w:t>
      </w:r>
    </w:p>
    <w:p>
      <w:pPr>
        <w:spacing w:before="120" w:after="40"/>
        <w:jc w:val="left"/>
      </w:pPr>
      <w:r>
        <w:rPr>
          <w:rFonts w:ascii="Times New Roman" w:hAnsi="Times New Roman"/>
          <w:b/>
          <w:sz w:val="22"/>
        </w:rPr>
        <w:t>2.3.1. Phương pháp điều tra bằng bảng hỏi</w:t>
      </w:r>
    </w:p>
    <w:p>
      <w:pPr>
        <w:ind w:firstLine="425"/>
        <w:jc w:val="both"/>
      </w:pPr>
      <w:r>
        <w:rPr>
          <w:rFonts w:ascii="Times New Roman" w:hAnsi="Times New Roman"/>
          <w:b w:val="0"/>
          <w:i w:val="0"/>
          <w:sz w:val="22"/>
        </w:rPr>
        <w:t>Bảng hỏi được xây dựng gồm hai phần: Phần 1 thu thập thông tin chung về khách thể (giới tính, khối lớp, học lực, đặc điểm sức khỏe – tâm lý – hành vi sinh hoạt); Phần 2 tập trung đánh giá thực trạng rối loạn lo âu và các yếu tố ảnh hưởng thông qua hệ thống thang đo chuẩn quốc tế đã được hiệu chỉnh.</w:t>
      </w:r>
    </w:p>
    <w:p>
      <w:pPr>
        <w:spacing w:before="120" w:after="40"/>
        <w:jc w:val="left"/>
      </w:pPr>
      <w:r>
        <w:rPr>
          <w:rFonts w:ascii="Times New Roman" w:hAnsi="Times New Roman"/>
          <w:b/>
          <w:sz w:val="22"/>
        </w:rPr>
        <w:t>2.3.2. Hệ thống thang đo</w:t>
      </w:r>
    </w:p>
    <w:p>
      <w:pPr>
        <w:ind w:firstLine="425"/>
        <w:jc w:val="both"/>
      </w:pPr>
      <w:r>
        <w:rPr>
          <w:rFonts w:ascii="Times New Roman" w:hAnsi="Times New Roman"/>
          <w:b w:val="0"/>
          <w:i w:val="0"/>
          <w:sz w:val="22"/>
        </w:rPr>
        <w:t>Các thang đo sử dụng trong nghiên cứu được lựa chọn theo nguyên tắc đã được kiểm chứng quốc tế, hiệu chỉnh theo quy trình dịch xuôi – dịch ngược, tham vấn chuyên gia và khảo sát thử nghiệm:</w:t>
      </w:r>
    </w:p>
    <w:p>
      <w:pPr>
        <w:jc w:val="both"/>
      </w:pPr>
      <w:r>
        <w:rPr>
          <w:rFonts w:ascii="Times New Roman" w:hAnsi="Times New Roman"/>
          <w:b w:val="0"/>
          <w:i w:val="0"/>
          <w:sz w:val="22"/>
        </w:rPr>
        <w:t>- Đo rối loạn lo âu: thang đo RCADS (Revised Children's Anxiety and Depression Scale; Chorpita, 2000) phân tách 3 dạng — rối loạn lo âu lan tỏa (RLLALT), rối loạn lo âu chia ly (RLLACL) và rối loạn lo âu xã hội (RLLAXH).</w:t>
      </w:r>
    </w:p>
    <w:p>
      <w:pPr>
        <w:jc w:val="both"/>
      </w:pPr>
      <w:r>
        <w:rPr>
          <w:rFonts w:ascii="Times New Roman" w:hAnsi="Times New Roman"/>
          <w:b w:val="0"/>
          <w:i w:val="0"/>
          <w:sz w:val="22"/>
        </w:rPr>
        <w:t>- Đo yếu tố nguy cơ: thang đo ESSA (Educational Stress Scale for Adolescents; Sun và cs., 2011) đo áp lực học tập; thang đo nghiện điện thoại SAS-SV (Smartphone Addiction Scale - Short Version; Kwon và cs., 2013); thang đo bắt nạt học đường OBVQ (Olweus Bully/Victim Questionnaire; Olweus, 1996, phân tách 2 nhân tố: bắt nạt thể chất và bắt nạt lời nói).</w:t>
      </w:r>
    </w:p>
    <w:p>
      <w:pPr>
        <w:jc w:val="both"/>
      </w:pPr>
      <w:r>
        <w:rPr>
          <w:rFonts w:ascii="Times New Roman" w:hAnsi="Times New Roman"/>
          <w:b w:val="0"/>
          <w:i w:val="0"/>
          <w:sz w:val="22"/>
        </w:rPr>
        <w:t>- Đo yếu tố bảo vệ: thang đo gắn bó với trường học (PSSM — Psychological Sense of School Membership; Goodenow, 1993); thang đo cảm nhận hỗ trợ xã hội (MSPSS — Multidimensional Scale of Perceived Social Support; Zimet và cs., 1988, phân tách hỗ trợ cha mẹ và hỗ trợ bạn bè); thang đo biện pháp đối phó Brief COPE (Carver, 1997, phân tách 3 nhân tố: tránh né, đối phó giải quyết vấn đề, tìm kiếm sự hỗ trợ); thang đo lòng tự trọng RSES (Rosenberg Self-Esteem Scale; Rosenberg, 1965).</w:t>
      </w:r>
    </w:p>
    <w:p>
      <w:pPr>
        <w:ind w:firstLine="425"/>
        <w:jc w:val="both"/>
      </w:pPr>
      <w:r>
        <w:rPr>
          <w:rFonts w:ascii="Times New Roman" w:hAnsi="Times New Roman"/>
          <w:b w:val="0"/>
          <w:i w:val="0"/>
          <w:sz w:val="22"/>
        </w:rPr>
        <w:t>Tất cả các thang đo sau khi hiệu chỉnh đều đạt yêu cầu về độ tin cậy (Cronbach's α ≥ 0,70 và McDonald's ω ≥ 0,70) và giá trị cấu trúc qua phân tích nhân tố khẳng định (CFA) với chỉ số phù hợp đạt ngưỡng chấp nhận.</w:t>
      </w:r>
    </w:p>
    <w:p>
      <w:pPr>
        <w:spacing w:before="120" w:after="40"/>
        <w:jc w:val="left"/>
      </w:pPr>
      <w:r>
        <w:rPr>
          <w:rFonts w:ascii="Times New Roman" w:hAnsi="Times New Roman"/>
          <w:b/>
          <w:sz w:val="22"/>
        </w:rPr>
        <w:t>2.3.3. Phương pháp phỏng vấn sâu và quan sát</w:t>
      </w:r>
    </w:p>
    <w:p>
      <w:pPr>
        <w:ind w:firstLine="425"/>
        <w:jc w:val="both"/>
      </w:pPr>
      <w:r>
        <w:rPr>
          <w:rFonts w:ascii="Times New Roman" w:hAnsi="Times New Roman"/>
          <w:b w:val="0"/>
          <w:i w:val="0"/>
          <w:sz w:val="22"/>
        </w:rPr>
        <w:t>Phỏng vấn sâu nhằm thu thập dữ liệu định tính, làm rõ thêm các biểu hiện và trải nghiệm liên quan đến rối loạn lo âu. Phương pháp quan sát ghi nhận các biểu hiện hành vi, thái độ, phản ứng của học sinh trong quá trình khảo sát.</w:t>
      </w:r>
    </w:p>
    <w:p>
      <w:pPr>
        <w:spacing w:before="120" w:after="40"/>
        <w:jc w:val="left"/>
      </w:pPr>
      <w:r>
        <w:rPr>
          <w:rFonts w:ascii="Times New Roman" w:hAnsi="Times New Roman"/>
          <w:b/>
          <w:sz w:val="22"/>
        </w:rPr>
        <w:t>2.3.4. Phương pháp xử lý số liệu thống kê</w:t>
      </w:r>
    </w:p>
    <w:p>
      <w:pPr>
        <w:ind w:firstLine="425"/>
        <w:jc w:val="both"/>
      </w:pPr>
      <w:r>
        <w:rPr>
          <w:rFonts w:ascii="Times New Roman" w:hAnsi="Times New Roman"/>
          <w:b w:val="0"/>
          <w:i w:val="0"/>
          <w:sz w:val="22"/>
        </w:rPr>
        <w:t>Dữ liệu được xử lý bằng SPSS 31.0 (sàng lọc, đánh giá độ tin cậy qua Cronbach's α và McDonald's ω, thống kê mô tả, kiểm định t-test, ANOVA) và AMOS 31.0 (phân tích nhân tố khẳng định CFA, mô hình phương trình cấu trúc SEM).</w:t>
      </w:r>
    </w:p>
    <w:p>
      <w:pPr>
        <w:spacing w:before="200" w:after="80"/>
        <w:jc w:val="left"/>
      </w:pPr>
      <w:r>
        <w:rPr>
          <w:rFonts w:ascii="Times New Roman" w:hAnsi="Times New Roman"/>
          <w:b/>
          <w:sz w:val="24"/>
        </w:rPr>
        <w:t>2.4. Đạo đức nghiên cứu</w:t>
      </w:r>
    </w:p>
    <w:p>
      <w:pPr>
        <w:ind w:firstLine="425"/>
        <w:jc w:val="both"/>
      </w:pPr>
      <w:r>
        <w:rPr>
          <w:rFonts w:ascii="Times New Roman" w:hAnsi="Times New Roman"/>
          <w:b w:val="0"/>
          <w:i w:val="0"/>
          <w:sz w:val="22"/>
        </w:rPr>
        <w:t>Nghiên cứu tuân thủ các nguyên tắc đạo đức trong nghiên cứu trên trẻ em – vị thành niên: (1) sự đồng ý có hiểu biết của phụ huynh và sự đồng ý của học sinh; (2) đảm bảo tính ẩn danh và bảo mật dữ liệu; (3) quyền rút lui khỏi nghiên cứu bất cứ lúc nào; (4) cung cấp thông tin liên hệ tư vấn tâm lý cho học sinh có biểu hiện rối loạn lo âu mức cao được phát hiện trong quá trình khảo sát.</w:t>
      </w:r>
    </w:p>
    <w:p>
      <w:r>
        <w:br w:type="page"/>
      </w:r>
    </w:p>
    <w:p>
      <w:pPr>
        <w:spacing w:before="360" w:after="240"/>
        <w:jc w:val="center"/>
      </w:pPr>
      <w:r>
        <w:rPr>
          <w:rFonts w:ascii="Times New Roman" w:hAnsi="Times New Roman"/>
          <w:b/>
          <w:sz w:val="28"/>
        </w:rPr>
        <w:t>CHƯƠNG 3</w:t>
        <w:br/>
        <w:t>KẾT QUẢ NGHIÊN CỨU THỰC TRẠNG</w:t>
        <w:br/>
        <w:t>RỐI LOẠN LO ÂU</w:t>
      </w:r>
    </w:p>
    <w:p>
      <w:pPr>
        <w:spacing w:before="200" w:after="80"/>
        <w:jc w:val="left"/>
      </w:pPr>
      <w:r>
        <w:rPr>
          <w:rFonts w:ascii="Times New Roman" w:hAnsi="Times New Roman"/>
          <w:b/>
          <w:sz w:val="24"/>
        </w:rPr>
        <w:t>3.1. Hiệu lực đo lường của các thang đo</w:t>
      </w:r>
    </w:p>
    <w:p>
      <w:pPr>
        <w:ind w:firstLine="425"/>
        <w:jc w:val="both"/>
      </w:pPr>
      <w:r>
        <w:rPr>
          <w:rFonts w:ascii="Times New Roman" w:hAnsi="Times New Roman"/>
          <w:b w:val="0"/>
          <w:i w:val="0"/>
          <w:sz w:val="22"/>
        </w:rPr>
        <w:t>Kết quả phân tích cho thấy các thang đo sử dụng trong nghiên cứu đều đạt độ tin cậy tốt và mức độ phù hợp cấu trúc chấp nhận được trên mẫu học sinh THCS Việt Nam.</w:t>
      </w:r>
    </w:p>
    <w:p>
      <w:pPr>
        <w:jc w:val="center"/>
      </w:pPr>
      <w:r>
        <w:rPr>
          <w:rFonts w:ascii="Times New Roman" w:hAnsi="Times New Roman"/>
          <w:b/>
          <w:i/>
          <w:sz w:val="20"/>
        </w:rPr>
        <w:t>Bảng 3.1. Tổng hợp độ tin cậy và mức độ phù hợp CFA của các thang đo</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3118"/>
          </w:tcPr>
          <w:p>
            <w:pPr>
              <w:jc w:val="center"/>
            </w:pPr>
            <w:r/>
            <w:r>
              <w:rPr>
                <w:rFonts w:ascii="Times New Roman" w:hAnsi="Times New Roman"/>
                <w:b/>
                <w:sz w:val="20"/>
              </w:rPr>
              <w:t>Thang đo</w:t>
            </w:r>
          </w:p>
        </w:tc>
        <w:tc>
          <w:tcPr>
            <w:tcW w:type="dxa" w:w="850"/>
          </w:tcPr>
          <w:p>
            <w:pPr>
              <w:jc w:val="center"/>
            </w:pPr>
            <w:r/>
            <w:r>
              <w:rPr>
                <w:rFonts w:ascii="Times New Roman" w:hAnsi="Times New Roman"/>
                <w:b/>
                <w:sz w:val="20"/>
              </w:rPr>
              <w:t>α</w:t>
            </w:r>
          </w:p>
        </w:tc>
        <w:tc>
          <w:tcPr>
            <w:tcW w:type="dxa" w:w="850"/>
          </w:tcPr>
          <w:p>
            <w:pPr>
              <w:jc w:val="center"/>
            </w:pPr>
            <w:r/>
            <w:r>
              <w:rPr>
                <w:rFonts w:ascii="Times New Roman" w:hAnsi="Times New Roman"/>
                <w:b/>
                <w:sz w:val="20"/>
              </w:rPr>
              <w:t>ω</w:t>
            </w:r>
          </w:p>
        </w:tc>
        <w:tc>
          <w:tcPr>
            <w:tcW w:type="dxa" w:w="850"/>
          </w:tcPr>
          <w:p>
            <w:pPr>
              <w:jc w:val="center"/>
            </w:pPr>
            <w:r/>
            <w:r>
              <w:rPr>
                <w:rFonts w:ascii="Times New Roman" w:hAnsi="Times New Roman"/>
                <w:b/>
                <w:sz w:val="20"/>
              </w:rPr>
              <w:t>CFI</w:t>
            </w:r>
          </w:p>
        </w:tc>
        <w:tc>
          <w:tcPr>
            <w:tcW w:type="dxa" w:w="850"/>
          </w:tcPr>
          <w:p>
            <w:pPr>
              <w:jc w:val="center"/>
            </w:pPr>
            <w:r/>
            <w:r>
              <w:rPr>
                <w:rFonts w:ascii="Times New Roman" w:hAnsi="Times New Roman"/>
                <w:b/>
                <w:sz w:val="20"/>
              </w:rPr>
              <w:t>RMSEA</w:t>
            </w:r>
          </w:p>
        </w:tc>
      </w:tr>
      <w:tr>
        <w:tc>
          <w:tcPr>
            <w:tcW w:type="dxa" w:w="3118"/>
          </w:tcPr>
          <w:p>
            <w:r/>
            <w:r>
              <w:rPr>
                <w:rFonts w:ascii="Times New Roman" w:hAnsi="Times New Roman"/>
                <w:sz w:val="20"/>
              </w:rPr>
              <w:t>Lo âu lan tỏa (RLLALT)</w:t>
            </w:r>
          </w:p>
        </w:tc>
        <w:tc>
          <w:tcPr>
            <w:tcW w:type="dxa" w:w="850"/>
          </w:tcPr>
          <w:p>
            <w:r/>
            <w:r>
              <w:rPr>
                <w:rFonts w:ascii="Times New Roman" w:hAnsi="Times New Roman"/>
                <w:sz w:val="20"/>
              </w:rPr>
              <w:t>0,811</w:t>
            </w:r>
          </w:p>
        </w:tc>
        <w:tc>
          <w:tcPr>
            <w:tcW w:type="dxa" w:w="850"/>
          </w:tcPr>
          <w:p>
            <w:r/>
            <w:r>
              <w:rPr>
                <w:rFonts w:ascii="Times New Roman" w:hAnsi="Times New Roman"/>
                <w:sz w:val="20"/>
              </w:rPr>
              <w:t>0,811</w:t>
            </w:r>
          </w:p>
        </w:tc>
        <w:tc>
          <w:tcPr>
            <w:tcW w:type="dxa" w:w="850"/>
          </w:tcPr>
          <w:p>
            <w:r/>
            <w:r>
              <w:rPr>
                <w:rFonts w:ascii="Times New Roman" w:hAnsi="Times New Roman"/>
                <w:sz w:val="20"/>
              </w:rPr>
              <w:t>0,982</w:t>
            </w:r>
          </w:p>
        </w:tc>
        <w:tc>
          <w:tcPr>
            <w:tcW w:type="dxa" w:w="850"/>
          </w:tcPr>
          <w:p>
            <w:r/>
            <w:r>
              <w:rPr>
                <w:rFonts w:ascii="Times New Roman" w:hAnsi="Times New Roman"/>
                <w:sz w:val="20"/>
              </w:rPr>
              <w:t>0,049</w:t>
            </w:r>
          </w:p>
        </w:tc>
      </w:tr>
      <w:tr>
        <w:tc>
          <w:tcPr>
            <w:tcW w:type="dxa" w:w="3118"/>
          </w:tcPr>
          <w:p>
            <w:r/>
            <w:r>
              <w:rPr>
                <w:rFonts w:ascii="Times New Roman" w:hAnsi="Times New Roman"/>
                <w:sz w:val="20"/>
              </w:rPr>
              <w:t>Lo âu chia ly (RLLACL)</w:t>
            </w:r>
          </w:p>
        </w:tc>
        <w:tc>
          <w:tcPr>
            <w:tcW w:type="dxa" w:w="850"/>
          </w:tcPr>
          <w:p>
            <w:r/>
            <w:r>
              <w:rPr>
                <w:rFonts w:ascii="Times New Roman" w:hAnsi="Times New Roman"/>
                <w:sz w:val="20"/>
              </w:rPr>
              <w:t>0,726</w:t>
            </w:r>
          </w:p>
        </w:tc>
        <w:tc>
          <w:tcPr>
            <w:tcW w:type="dxa" w:w="850"/>
          </w:tcPr>
          <w:p>
            <w:r/>
            <w:r>
              <w:rPr>
                <w:rFonts w:ascii="Times New Roman" w:hAnsi="Times New Roman"/>
                <w:sz w:val="20"/>
              </w:rPr>
              <w:t>0,726</w:t>
            </w:r>
          </w:p>
        </w:tc>
        <w:tc>
          <w:tcPr>
            <w:tcW w:type="dxa" w:w="850"/>
          </w:tcPr>
          <w:p>
            <w:r/>
            <w:r>
              <w:rPr>
                <w:rFonts w:ascii="Times New Roman" w:hAnsi="Times New Roman"/>
                <w:sz w:val="20"/>
              </w:rPr>
              <w:t>0,975</w:t>
            </w:r>
          </w:p>
        </w:tc>
        <w:tc>
          <w:tcPr>
            <w:tcW w:type="dxa" w:w="850"/>
          </w:tcPr>
          <w:p>
            <w:r/>
            <w:r>
              <w:rPr>
                <w:rFonts w:ascii="Times New Roman" w:hAnsi="Times New Roman"/>
                <w:sz w:val="20"/>
              </w:rPr>
              <w:t>0,099</w:t>
            </w:r>
          </w:p>
        </w:tc>
      </w:tr>
      <w:tr>
        <w:tc>
          <w:tcPr>
            <w:tcW w:type="dxa" w:w="3118"/>
          </w:tcPr>
          <w:p>
            <w:r/>
            <w:r>
              <w:rPr>
                <w:rFonts w:ascii="Times New Roman" w:hAnsi="Times New Roman"/>
                <w:sz w:val="20"/>
              </w:rPr>
              <w:t>Lo âu xã hội (RLLAXH)</w:t>
            </w:r>
          </w:p>
        </w:tc>
        <w:tc>
          <w:tcPr>
            <w:tcW w:type="dxa" w:w="850"/>
          </w:tcPr>
          <w:p>
            <w:r/>
            <w:r>
              <w:rPr>
                <w:rFonts w:ascii="Times New Roman" w:hAnsi="Times New Roman"/>
                <w:sz w:val="20"/>
              </w:rPr>
              <w:t>0,744</w:t>
            </w:r>
          </w:p>
        </w:tc>
        <w:tc>
          <w:tcPr>
            <w:tcW w:type="dxa" w:w="850"/>
          </w:tcPr>
          <w:p>
            <w:r/>
            <w:r>
              <w:rPr>
                <w:rFonts w:ascii="Times New Roman" w:hAnsi="Times New Roman"/>
                <w:sz w:val="20"/>
              </w:rPr>
              <w:t>0,750</w:t>
            </w:r>
          </w:p>
        </w:tc>
        <w:tc>
          <w:tcPr>
            <w:tcW w:type="dxa" w:w="850"/>
          </w:tcPr>
          <w:p>
            <w:r/>
            <w:r>
              <w:rPr>
                <w:rFonts w:ascii="Times New Roman" w:hAnsi="Times New Roman"/>
                <w:sz w:val="20"/>
              </w:rPr>
              <w:t>0,992</w:t>
            </w:r>
          </w:p>
        </w:tc>
        <w:tc>
          <w:tcPr>
            <w:tcW w:type="dxa" w:w="850"/>
          </w:tcPr>
          <w:p>
            <w:r/>
            <w:r>
              <w:rPr>
                <w:rFonts w:ascii="Times New Roman" w:hAnsi="Times New Roman"/>
                <w:sz w:val="20"/>
              </w:rPr>
              <w:t>0,060</w:t>
            </w:r>
          </w:p>
        </w:tc>
      </w:tr>
      <w:tr>
        <w:tc>
          <w:tcPr>
            <w:tcW w:type="dxa" w:w="3118"/>
          </w:tcPr>
          <w:p>
            <w:r/>
            <w:r>
              <w:rPr>
                <w:rFonts w:ascii="Times New Roman" w:hAnsi="Times New Roman"/>
                <w:sz w:val="20"/>
              </w:rPr>
              <w:t>Áp lực học tập (ALHT)</w:t>
            </w:r>
          </w:p>
        </w:tc>
        <w:tc>
          <w:tcPr>
            <w:tcW w:type="dxa" w:w="850"/>
          </w:tcPr>
          <w:p>
            <w:r/>
            <w:r>
              <w:rPr>
                <w:rFonts w:ascii="Times New Roman" w:hAnsi="Times New Roman"/>
                <w:sz w:val="20"/>
              </w:rPr>
              <w:t>0,708</w:t>
            </w:r>
          </w:p>
        </w:tc>
        <w:tc>
          <w:tcPr>
            <w:tcW w:type="dxa" w:w="850"/>
          </w:tcPr>
          <w:p>
            <w:r/>
            <w:r>
              <w:rPr>
                <w:rFonts w:ascii="Times New Roman" w:hAnsi="Times New Roman"/>
                <w:sz w:val="20"/>
              </w:rPr>
              <w:t>0,716</w:t>
            </w:r>
          </w:p>
        </w:tc>
        <w:tc>
          <w:tcPr>
            <w:tcW w:type="dxa" w:w="850"/>
          </w:tcPr>
          <w:p>
            <w:r/>
            <w:r>
              <w:rPr>
                <w:rFonts w:ascii="Times New Roman" w:hAnsi="Times New Roman"/>
                <w:sz w:val="20"/>
              </w:rPr>
              <w:t>0,998</w:t>
            </w:r>
          </w:p>
        </w:tc>
        <w:tc>
          <w:tcPr>
            <w:tcW w:type="dxa" w:w="850"/>
          </w:tcPr>
          <w:p>
            <w:r/>
            <w:r>
              <w:rPr>
                <w:rFonts w:ascii="Times New Roman" w:hAnsi="Times New Roman"/>
                <w:sz w:val="20"/>
              </w:rPr>
              <w:t>0,024</w:t>
            </w:r>
          </w:p>
        </w:tc>
      </w:tr>
      <w:tr>
        <w:tc>
          <w:tcPr>
            <w:tcW w:type="dxa" w:w="3118"/>
          </w:tcPr>
          <w:p>
            <w:r/>
            <w:r>
              <w:rPr>
                <w:rFonts w:ascii="Times New Roman" w:hAnsi="Times New Roman"/>
                <w:sz w:val="20"/>
              </w:rPr>
              <w:t>Nghiện điện thoại (NĐT)</w:t>
            </w:r>
          </w:p>
        </w:tc>
        <w:tc>
          <w:tcPr>
            <w:tcW w:type="dxa" w:w="850"/>
          </w:tcPr>
          <w:p>
            <w:r/>
            <w:r>
              <w:rPr>
                <w:rFonts w:ascii="Times New Roman" w:hAnsi="Times New Roman"/>
                <w:sz w:val="20"/>
              </w:rPr>
              <w:t>0,836</w:t>
            </w:r>
          </w:p>
        </w:tc>
        <w:tc>
          <w:tcPr>
            <w:tcW w:type="dxa" w:w="850"/>
          </w:tcPr>
          <w:p>
            <w:r/>
            <w:r>
              <w:rPr>
                <w:rFonts w:ascii="Times New Roman" w:hAnsi="Times New Roman"/>
                <w:sz w:val="20"/>
              </w:rPr>
              <w:t>0,839</w:t>
            </w:r>
          </w:p>
        </w:tc>
        <w:tc>
          <w:tcPr>
            <w:tcW w:type="dxa" w:w="850"/>
          </w:tcPr>
          <w:p>
            <w:r/>
            <w:r>
              <w:rPr>
                <w:rFonts w:ascii="Times New Roman" w:hAnsi="Times New Roman"/>
                <w:sz w:val="20"/>
              </w:rPr>
              <w:t>0,996</w:t>
            </w:r>
          </w:p>
        </w:tc>
        <w:tc>
          <w:tcPr>
            <w:tcW w:type="dxa" w:w="850"/>
          </w:tcPr>
          <w:p>
            <w:r/>
            <w:r>
              <w:rPr>
                <w:rFonts w:ascii="Times New Roman" w:hAnsi="Times New Roman"/>
                <w:sz w:val="20"/>
              </w:rPr>
              <w:t>0,039</w:t>
            </w:r>
          </w:p>
        </w:tc>
      </w:tr>
      <w:tr>
        <w:tc>
          <w:tcPr>
            <w:tcW w:type="dxa" w:w="3118"/>
          </w:tcPr>
          <w:p>
            <w:r/>
            <w:r>
              <w:rPr>
                <w:rFonts w:ascii="Times New Roman" w:hAnsi="Times New Roman"/>
                <w:sz w:val="20"/>
              </w:rPr>
              <w:t>Bắt nạt thể chất</w:t>
            </w:r>
          </w:p>
        </w:tc>
        <w:tc>
          <w:tcPr>
            <w:tcW w:type="dxa" w:w="850"/>
          </w:tcPr>
          <w:p>
            <w:r/>
            <w:r>
              <w:rPr>
                <w:rFonts w:ascii="Times New Roman" w:hAnsi="Times New Roman"/>
                <w:sz w:val="20"/>
              </w:rPr>
              <w:t>0,775</w:t>
            </w:r>
          </w:p>
        </w:tc>
        <w:tc>
          <w:tcPr>
            <w:tcW w:type="dxa" w:w="850"/>
          </w:tcPr>
          <w:p>
            <w:r/>
            <w:r>
              <w:rPr>
                <w:rFonts w:ascii="Times New Roman" w:hAnsi="Times New Roman"/>
                <w:sz w:val="20"/>
              </w:rPr>
              <w:t>0,777</w:t>
            </w:r>
          </w:p>
        </w:tc>
        <w:tc>
          <w:tcPr>
            <w:tcW w:type="dxa" w:w="850"/>
          </w:tcPr>
          <w:p>
            <w:r/>
            <w:r>
              <w:rPr>
                <w:rFonts w:ascii="Times New Roman" w:hAnsi="Times New Roman"/>
                <w:sz w:val="20"/>
              </w:rPr>
              <w:t>0,995</w:t>
            </w:r>
          </w:p>
        </w:tc>
        <w:tc>
          <w:tcPr>
            <w:tcW w:type="dxa" w:w="850"/>
          </w:tcPr>
          <w:p>
            <w:r/>
            <w:r>
              <w:rPr>
                <w:rFonts w:ascii="Times New Roman" w:hAnsi="Times New Roman"/>
                <w:sz w:val="20"/>
              </w:rPr>
              <w:t>0,050</w:t>
            </w:r>
          </w:p>
        </w:tc>
      </w:tr>
      <w:tr>
        <w:tc>
          <w:tcPr>
            <w:tcW w:type="dxa" w:w="3118"/>
          </w:tcPr>
          <w:p>
            <w:r/>
            <w:r>
              <w:rPr>
                <w:rFonts w:ascii="Times New Roman" w:hAnsi="Times New Roman"/>
                <w:sz w:val="20"/>
              </w:rPr>
              <w:t>Bắt nạt lời nói</w:t>
            </w:r>
          </w:p>
        </w:tc>
        <w:tc>
          <w:tcPr>
            <w:tcW w:type="dxa" w:w="850"/>
          </w:tcPr>
          <w:p>
            <w:r/>
            <w:r>
              <w:rPr>
                <w:rFonts w:ascii="Times New Roman" w:hAnsi="Times New Roman"/>
                <w:sz w:val="20"/>
              </w:rPr>
              <w:t>0,864</w:t>
            </w:r>
          </w:p>
        </w:tc>
        <w:tc>
          <w:tcPr>
            <w:tcW w:type="dxa" w:w="850"/>
          </w:tcPr>
          <w:p>
            <w:r/>
            <w:r>
              <w:rPr>
                <w:rFonts w:ascii="Times New Roman" w:hAnsi="Times New Roman"/>
                <w:sz w:val="20"/>
              </w:rPr>
              <w:t>0,864</w:t>
            </w:r>
          </w:p>
        </w:tc>
        <w:tc>
          <w:tcPr>
            <w:tcW w:type="dxa" w:w="850"/>
          </w:tcPr>
          <w:p>
            <w:r/>
            <w:r>
              <w:rPr>
                <w:rFonts w:ascii="Times New Roman" w:hAnsi="Times New Roman"/>
                <w:sz w:val="20"/>
              </w:rPr>
              <w:t>0,995</w:t>
            </w:r>
          </w:p>
        </w:tc>
        <w:tc>
          <w:tcPr>
            <w:tcW w:type="dxa" w:w="850"/>
          </w:tcPr>
          <w:p>
            <w:r/>
            <w:r>
              <w:rPr>
                <w:rFonts w:ascii="Times New Roman" w:hAnsi="Times New Roman"/>
                <w:sz w:val="20"/>
              </w:rPr>
              <w:t>0,072</w:t>
            </w:r>
          </w:p>
        </w:tc>
      </w:tr>
      <w:tr>
        <w:tc>
          <w:tcPr>
            <w:tcW w:type="dxa" w:w="3118"/>
          </w:tcPr>
          <w:p>
            <w:r/>
            <w:r>
              <w:rPr>
                <w:rFonts w:ascii="Times New Roman" w:hAnsi="Times New Roman"/>
                <w:sz w:val="20"/>
              </w:rPr>
              <w:t>Gắn bó với trường học</w:t>
            </w:r>
          </w:p>
        </w:tc>
        <w:tc>
          <w:tcPr>
            <w:tcW w:type="dxa" w:w="850"/>
          </w:tcPr>
          <w:p>
            <w:r/>
            <w:r>
              <w:rPr>
                <w:rFonts w:ascii="Times New Roman" w:hAnsi="Times New Roman"/>
                <w:sz w:val="20"/>
              </w:rPr>
              <w:t>0,747</w:t>
            </w:r>
          </w:p>
        </w:tc>
        <w:tc>
          <w:tcPr>
            <w:tcW w:type="dxa" w:w="850"/>
          </w:tcPr>
          <w:p>
            <w:r/>
            <w:r>
              <w:rPr>
                <w:rFonts w:ascii="Times New Roman" w:hAnsi="Times New Roman"/>
                <w:sz w:val="20"/>
              </w:rPr>
              <w:t>0,746</w:t>
            </w:r>
          </w:p>
        </w:tc>
        <w:tc>
          <w:tcPr>
            <w:tcW w:type="dxa" w:w="850"/>
          </w:tcPr>
          <w:p>
            <w:r/>
            <w:r>
              <w:rPr>
                <w:rFonts w:ascii="Times New Roman" w:hAnsi="Times New Roman"/>
                <w:sz w:val="20"/>
              </w:rPr>
              <w:t>0,978</w:t>
            </w:r>
          </w:p>
        </w:tc>
        <w:tc>
          <w:tcPr>
            <w:tcW w:type="dxa" w:w="850"/>
          </w:tcPr>
          <w:p>
            <w:r/>
            <w:r>
              <w:rPr>
                <w:rFonts w:ascii="Times New Roman" w:hAnsi="Times New Roman"/>
                <w:sz w:val="20"/>
              </w:rPr>
              <w:t>0,042</w:t>
            </w:r>
          </w:p>
        </w:tc>
      </w:tr>
      <w:tr>
        <w:tc>
          <w:tcPr>
            <w:tcW w:type="dxa" w:w="3118"/>
          </w:tcPr>
          <w:p>
            <w:r/>
            <w:r>
              <w:rPr>
                <w:rFonts w:ascii="Times New Roman" w:hAnsi="Times New Roman"/>
                <w:sz w:val="20"/>
              </w:rPr>
              <w:t>Hỗ trợ cha mẹ</w:t>
            </w:r>
          </w:p>
        </w:tc>
        <w:tc>
          <w:tcPr>
            <w:tcW w:type="dxa" w:w="850"/>
          </w:tcPr>
          <w:p>
            <w:r/>
            <w:r>
              <w:rPr>
                <w:rFonts w:ascii="Times New Roman" w:hAnsi="Times New Roman"/>
                <w:sz w:val="20"/>
              </w:rPr>
              <w:t>0,847</w:t>
            </w:r>
          </w:p>
        </w:tc>
        <w:tc>
          <w:tcPr>
            <w:tcW w:type="dxa" w:w="850"/>
          </w:tcPr>
          <w:p>
            <w:r/>
            <w:r>
              <w:rPr>
                <w:rFonts w:ascii="Times New Roman" w:hAnsi="Times New Roman"/>
                <w:sz w:val="20"/>
              </w:rPr>
              <w:t>0,848</w:t>
            </w:r>
          </w:p>
        </w:tc>
        <w:tc>
          <w:tcPr>
            <w:tcW w:type="dxa" w:w="850"/>
          </w:tcPr>
          <w:p>
            <w:r/>
            <w:r>
              <w:rPr>
                <w:rFonts w:ascii="Times New Roman" w:hAnsi="Times New Roman"/>
                <w:sz w:val="20"/>
              </w:rPr>
              <w:t>0,996</w:t>
            </w:r>
          </w:p>
        </w:tc>
        <w:tc>
          <w:tcPr>
            <w:tcW w:type="dxa" w:w="850"/>
          </w:tcPr>
          <w:p>
            <w:r/>
            <w:r>
              <w:rPr>
                <w:rFonts w:ascii="Times New Roman" w:hAnsi="Times New Roman"/>
                <w:sz w:val="20"/>
              </w:rPr>
              <w:t>0,061</w:t>
            </w:r>
          </w:p>
        </w:tc>
      </w:tr>
      <w:tr>
        <w:tc>
          <w:tcPr>
            <w:tcW w:type="dxa" w:w="3118"/>
          </w:tcPr>
          <w:p>
            <w:r/>
            <w:r>
              <w:rPr>
                <w:rFonts w:ascii="Times New Roman" w:hAnsi="Times New Roman"/>
                <w:sz w:val="20"/>
              </w:rPr>
              <w:t>Hỗ trợ bạn bè</w:t>
            </w:r>
          </w:p>
        </w:tc>
        <w:tc>
          <w:tcPr>
            <w:tcW w:type="dxa" w:w="850"/>
          </w:tcPr>
          <w:p>
            <w:r/>
            <w:r>
              <w:rPr>
                <w:rFonts w:ascii="Times New Roman" w:hAnsi="Times New Roman"/>
                <w:sz w:val="20"/>
              </w:rPr>
              <w:t>0,837</w:t>
            </w:r>
          </w:p>
        </w:tc>
        <w:tc>
          <w:tcPr>
            <w:tcW w:type="dxa" w:w="850"/>
          </w:tcPr>
          <w:p>
            <w:r/>
            <w:r>
              <w:rPr>
                <w:rFonts w:ascii="Times New Roman" w:hAnsi="Times New Roman"/>
                <w:sz w:val="20"/>
              </w:rPr>
              <w:t>0,837</w:t>
            </w:r>
          </w:p>
        </w:tc>
        <w:tc>
          <w:tcPr>
            <w:tcW w:type="dxa" w:w="850"/>
          </w:tcPr>
          <w:p>
            <w:r/>
            <w:r>
              <w:rPr>
                <w:rFonts w:ascii="Times New Roman" w:hAnsi="Times New Roman"/>
                <w:sz w:val="20"/>
              </w:rPr>
              <w:t>0,995</w:t>
            </w:r>
          </w:p>
        </w:tc>
        <w:tc>
          <w:tcPr>
            <w:tcW w:type="dxa" w:w="850"/>
          </w:tcPr>
          <w:p>
            <w:r/>
            <w:r>
              <w:rPr>
                <w:rFonts w:ascii="Times New Roman" w:hAnsi="Times New Roman"/>
                <w:sz w:val="20"/>
              </w:rPr>
              <w:t>0,064</w:t>
            </w:r>
          </w:p>
        </w:tc>
      </w:tr>
      <w:tr>
        <w:tc>
          <w:tcPr>
            <w:tcW w:type="dxa" w:w="3118"/>
          </w:tcPr>
          <w:p>
            <w:r/>
            <w:r>
              <w:rPr>
                <w:rFonts w:ascii="Times New Roman" w:hAnsi="Times New Roman"/>
                <w:sz w:val="20"/>
              </w:rPr>
              <w:t>Tránh né (đối phó)</w:t>
            </w:r>
          </w:p>
        </w:tc>
        <w:tc>
          <w:tcPr>
            <w:tcW w:type="dxa" w:w="850"/>
          </w:tcPr>
          <w:p>
            <w:r/>
            <w:r>
              <w:rPr>
                <w:rFonts w:ascii="Times New Roman" w:hAnsi="Times New Roman"/>
                <w:sz w:val="20"/>
              </w:rPr>
              <w:t>0,727</w:t>
            </w:r>
          </w:p>
        </w:tc>
        <w:tc>
          <w:tcPr>
            <w:tcW w:type="dxa" w:w="850"/>
          </w:tcPr>
          <w:p>
            <w:r/>
            <w:r>
              <w:rPr>
                <w:rFonts w:ascii="Times New Roman" w:hAnsi="Times New Roman"/>
                <w:sz w:val="20"/>
              </w:rPr>
              <w:t>0,705</w:t>
            </w:r>
          </w:p>
        </w:tc>
        <w:tc>
          <w:tcPr>
            <w:tcW w:type="dxa" w:w="850"/>
          </w:tcPr>
          <w:p>
            <w:r/>
            <w:r>
              <w:rPr>
                <w:rFonts w:ascii="Times New Roman" w:hAnsi="Times New Roman"/>
                <w:sz w:val="20"/>
              </w:rPr>
              <w:t>0,862</w:t>
            </w:r>
          </w:p>
        </w:tc>
        <w:tc>
          <w:tcPr>
            <w:tcW w:type="dxa" w:w="850"/>
          </w:tcPr>
          <w:p>
            <w:r/>
            <w:r>
              <w:rPr>
                <w:rFonts w:ascii="Times New Roman" w:hAnsi="Times New Roman"/>
                <w:sz w:val="20"/>
              </w:rPr>
              <w:t>0,169</w:t>
            </w:r>
          </w:p>
        </w:tc>
      </w:tr>
      <w:tr>
        <w:tc>
          <w:tcPr>
            <w:tcW w:type="dxa" w:w="3118"/>
          </w:tcPr>
          <w:p>
            <w:r/>
            <w:r>
              <w:rPr>
                <w:rFonts w:ascii="Times New Roman" w:hAnsi="Times New Roman"/>
                <w:sz w:val="20"/>
              </w:rPr>
              <w:t>Đối phó giải quyết vấn đề</w:t>
            </w:r>
          </w:p>
        </w:tc>
        <w:tc>
          <w:tcPr>
            <w:tcW w:type="dxa" w:w="850"/>
          </w:tcPr>
          <w:p>
            <w:r/>
            <w:r>
              <w:rPr>
                <w:rFonts w:ascii="Times New Roman" w:hAnsi="Times New Roman"/>
                <w:sz w:val="20"/>
              </w:rPr>
              <w:t>0,700</w:t>
            </w:r>
          </w:p>
        </w:tc>
        <w:tc>
          <w:tcPr>
            <w:tcW w:type="dxa" w:w="850"/>
          </w:tcPr>
          <w:p>
            <w:r/>
            <w:r>
              <w:rPr>
                <w:rFonts w:ascii="Times New Roman" w:hAnsi="Times New Roman"/>
                <w:sz w:val="20"/>
              </w:rPr>
              <w:t>0,699</w:t>
            </w:r>
          </w:p>
        </w:tc>
        <w:tc>
          <w:tcPr>
            <w:tcW w:type="dxa" w:w="850"/>
          </w:tcPr>
          <w:p>
            <w:r/>
            <w:r>
              <w:rPr>
                <w:rFonts w:ascii="Times New Roman" w:hAnsi="Times New Roman"/>
                <w:sz w:val="20"/>
              </w:rPr>
              <w:t>0,972</w:t>
            </w:r>
          </w:p>
        </w:tc>
        <w:tc>
          <w:tcPr>
            <w:tcW w:type="dxa" w:w="850"/>
          </w:tcPr>
          <w:p>
            <w:r/>
            <w:r>
              <w:rPr>
                <w:rFonts w:ascii="Times New Roman" w:hAnsi="Times New Roman"/>
                <w:sz w:val="20"/>
              </w:rPr>
              <w:t>0,052</w:t>
            </w:r>
          </w:p>
        </w:tc>
      </w:tr>
      <w:tr>
        <w:tc>
          <w:tcPr>
            <w:tcW w:type="dxa" w:w="3118"/>
          </w:tcPr>
          <w:p>
            <w:r/>
            <w:r>
              <w:rPr>
                <w:rFonts w:ascii="Times New Roman" w:hAnsi="Times New Roman"/>
                <w:sz w:val="20"/>
              </w:rPr>
              <w:t>Tìm kiếm sự hỗ trợ</w:t>
            </w:r>
          </w:p>
        </w:tc>
        <w:tc>
          <w:tcPr>
            <w:tcW w:type="dxa" w:w="850"/>
          </w:tcPr>
          <w:p>
            <w:r/>
            <w:r>
              <w:rPr>
                <w:rFonts w:ascii="Times New Roman" w:hAnsi="Times New Roman"/>
                <w:sz w:val="20"/>
              </w:rPr>
              <w:t>0,773</w:t>
            </w:r>
          </w:p>
        </w:tc>
        <w:tc>
          <w:tcPr>
            <w:tcW w:type="dxa" w:w="850"/>
          </w:tcPr>
          <w:p>
            <w:r/>
            <w:r>
              <w:rPr>
                <w:rFonts w:ascii="Times New Roman" w:hAnsi="Times New Roman"/>
                <w:sz w:val="20"/>
              </w:rPr>
              <w:t>0,775</w:t>
            </w:r>
          </w:p>
        </w:tc>
        <w:tc>
          <w:tcPr>
            <w:tcW w:type="dxa" w:w="850"/>
          </w:tcPr>
          <w:p>
            <w:r/>
            <w:r>
              <w:rPr>
                <w:rFonts w:ascii="Times New Roman" w:hAnsi="Times New Roman"/>
                <w:sz w:val="20"/>
              </w:rPr>
              <w:t>1,000</w:t>
            </w:r>
          </w:p>
        </w:tc>
        <w:tc>
          <w:tcPr>
            <w:tcW w:type="dxa" w:w="850"/>
          </w:tcPr>
          <w:p>
            <w:r/>
            <w:r>
              <w:rPr>
                <w:rFonts w:ascii="Times New Roman" w:hAnsi="Times New Roman"/>
                <w:sz w:val="20"/>
              </w:rPr>
              <w:t>0,000</w:t>
            </w:r>
          </w:p>
        </w:tc>
      </w:tr>
      <w:tr>
        <w:tc>
          <w:tcPr>
            <w:tcW w:type="dxa" w:w="3118"/>
          </w:tcPr>
          <w:p>
            <w:r/>
            <w:r>
              <w:rPr>
                <w:rFonts w:ascii="Times New Roman" w:hAnsi="Times New Roman"/>
                <w:sz w:val="20"/>
              </w:rPr>
              <w:t>Tự trọng</w:t>
            </w:r>
          </w:p>
        </w:tc>
        <w:tc>
          <w:tcPr>
            <w:tcW w:type="dxa" w:w="850"/>
          </w:tcPr>
          <w:p>
            <w:r/>
            <w:r>
              <w:rPr>
                <w:rFonts w:ascii="Times New Roman" w:hAnsi="Times New Roman"/>
                <w:sz w:val="20"/>
              </w:rPr>
              <w:t>0,725</w:t>
            </w:r>
          </w:p>
        </w:tc>
        <w:tc>
          <w:tcPr>
            <w:tcW w:type="dxa" w:w="850"/>
          </w:tcPr>
          <w:p>
            <w:r/>
            <w:r>
              <w:rPr>
                <w:rFonts w:ascii="Times New Roman" w:hAnsi="Times New Roman"/>
                <w:sz w:val="20"/>
              </w:rPr>
              <w:t>0,724</w:t>
            </w:r>
          </w:p>
        </w:tc>
        <w:tc>
          <w:tcPr>
            <w:tcW w:type="dxa" w:w="850"/>
          </w:tcPr>
          <w:p>
            <w:r/>
            <w:r>
              <w:rPr>
                <w:rFonts w:ascii="Times New Roman" w:hAnsi="Times New Roman"/>
                <w:sz w:val="20"/>
              </w:rPr>
              <w:t>0,988</w:t>
            </w:r>
          </w:p>
        </w:tc>
        <w:tc>
          <w:tcPr>
            <w:tcW w:type="dxa" w:w="850"/>
          </w:tcPr>
          <w:p>
            <w:r/>
            <w:r>
              <w:rPr>
                <w:rFonts w:ascii="Times New Roman" w:hAnsi="Times New Roman"/>
                <w:sz w:val="20"/>
              </w:rPr>
              <w:t>0,045</w:t>
            </w:r>
          </w:p>
        </w:tc>
      </w:tr>
    </w:tbl>
    <w:p>
      <w:pPr>
        <w:ind w:firstLine="425"/>
        <w:jc w:val="both"/>
      </w:pPr>
      <w:r>
        <w:rPr>
          <w:rFonts w:ascii="Times New Roman" w:hAnsi="Times New Roman"/>
          <w:b w:val="0"/>
          <w:i/>
          <w:sz w:val="20"/>
        </w:rPr>
        <w:t>Tất cả các thang đo đạt ngưỡng chấp nhận về độ tin cậy (α ≥ 0,70; ω ≥ 0,70), với hầu hết các mô hình CFA đạt chỉ số phù hợp tốt (CFI ≥ 0,90; RMSEA ≤ 0,10), qua đó khẳng định giá trị đo lường của các công cụ.</w:t>
      </w:r>
    </w:p>
    <w:p>
      <w:pPr>
        <w:spacing w:before="200" w:after="80"/>
        <w:jc w:val="left"/>
      </w:pPr>
      <w:r>
        <w:rPr>
          <w:rFonts w:ascii="Times New Roman" w:hAnsi="Times New Roman"/>
          <w:b/>
          <w:sz w:val="24"/>
        </w:rPr>
        <w:t>3.2. Thực trạng rối loạn lo âu ở học sinh THCS</w:t>
      </w:r>
    </w:p>
    <w:p>
      <w:pPr>
        <w:ind w:firstLine="425"/>
        <w:jc w:val="both"/>
      </w:pPr>
      <w:r>
        <w:rPr>
          <w:rFonts w:ascii="Times New Roman" w:hAnsi="Times New Roman"/>
          <w:b w:val="0"/>
          <w:i w:val="0"/>
          <w:sz w:val="22"/>
        </w:rPr>
        <w:t>Kết quả khảo sát trên 1.352 học sinh THCS cho thấy mức độ rối loạn lo âu chủ yếu tập trung ở mức trung bình; trong đó, lo âu lan tỏa có xu hướng cao hơn so với các dạng còn lại, lo âu xã hội ở mức trung bình, còn lo âu chia ly ở mức thấp. Các biểu hiện lo âu tập trung chủ yếu vào áp lực học tập, đánh giá bản thân và các tình huống xã hội.</w:t>
      </w:r>
    </w:p>
    <w:p>
      <w:pPr>
        <w:jc w:val="center"/>
      </w:pPr>
      <w:r>
        <w:rPr>
          <w:rFonts w:ascii="Times New Roman" w:hAnsi="Times New Roman"/>
          <w:b/>
          <w:i/>
          <w:sz w:val="20"/>
        </w:rPr>
        <w:t>Bảng 3.2. ĐTB rối loạn lo âu theo giới tính (thang điểm 0–100)</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814"/>
          </w:tcPr>
          <w:p>
            <w:pPr>
              <w:jc w:val="center"/>
            </w:pPr>
            <w:r/>
            <w:r>
              <w:rPr>
                <w:rFonts w:ascii="Times New Roman" w:hAnsi="Times New Roman"/>
                <w:b/>
                <w:sz w:val="20"/>
              </w:rPr>
              <w:t>Loại RLLA</w:t>
            </w:r>
          </w:p>
        </w:tc>
        <w:tc>
          <w:tcPr>
            <w:tcW w:type="dxa" w:w="1531"/>
          </w:tcPr>
          <w:p>
            <w:pPr>
              <w:jc w:val="center"/>
            </w:pPr>
            <w:r/>
            <w:r>
              <w:rPr>
                <w:rFonts w:ascii="Times New Roman" w:hAnsi="Times New Roman"/>
                <w:b/>
                <w:sz w:val="20"/>
              </w:rPr>
              <w:t>Nam (n=614)</w:t>
              <w:br/>
              <w:t>ĐTB (ĐLC)</w:t>
            </w:r>
          </w:p>
        </w:tc>
        <w:tc>
          <w:tcPr>
            <w:tcW w:type="dxa" w:w="1531"/>
          </w:tcPr>
          <w:p>
            <w:pPr>
              <w:jc w:val="center"/>
            </w:pPr>
            <w:r/>
            <w:r>
              <w:rPr>
                <w:rFonts w:ascii="Times New Roman" w:hAnsi="Times New Roman"/>
                <w:b/>
                <w:sz w:val="20"/>
              </w:rPr>
              <w:t>Nữ (n=738)</w:t>
              <w:br/>
              <w:t>ĐTB (ĐLC)</w:t>
            </w:r>
          </w:p>
        </w:tc>
        <w:tc>
          <w:tcPr>
            <w:tcW w:type="dxa" w:w="794"/>
          </w:tcPr>
          <w:p>
            <w:pPr>
              <w:jc w:val="center"/>
            </w:pPr>
            <w:r/>
            <w:r>
              <w:rPr>
                <w:rFonts w:ascii="Times New Roman" w:hAnsi="Times New Roman"/>
                <w:b/>
                <w:sz w:val="20"/>
              </w:rPr>
              <w:t>F</w:t>
            </w:r>
          </w:p>
        </w:tc>
        <w:tc>
          <w:tcPr>
            <w:tcW w:type="dxa" w:w="794"/>
          </w:tcPr>
          <w:p>
            <w:pPr>
              <w:jc w:val="center"/>
            </w:pPr>
            <w:r/>
            <w:r>
              <w:rPr>
                <w:rFonts w:ascii="Times New Roman" w:hAnsi="Times New Roman"/>
                <w:b/>
                <w:sz w:val="20"/>
              </w:rPr>
              <w:t>p</w:t>
            </w:r>
          </w:p>
        </w:tc>
      </w:tr>
      <w:tr>
        <w:tc>
          <w:tcPr>
            <w:tcW w:type="dxa" w:w="1814"/>
          </w:tcPr>
          <w:p>
            <w:r/>
            <w:r>
              <w:rPr>
                <w:rFonts w:ascii="Times New Roman" w:hAnsi="Times New Roman"/>
                <w:sz w:val="20"/>
              </w:rPr>
              <w:t>Lo âu lan tỏa</w:t>
            </w:r>
          </w:p>
        </w:tc>
        <w:tc>
          <w:tcPr>
            <w:tcW w:type="dxa" w:w="1531"/>
          </w:tcPr>
          <w:p>
            <w:r/>
            <w:r>
              <w:rPr>
                <w:rFonts w:ascii="Times New Roman" w:hAnsi="Times New Roman"/>
                <w:sz w:val="20"/>
              </w:rPr>
              <w:t>51,43 (22,01)</w:t>
            </w:r>
          </w:p>
        </w:tc>
        <w:tc>
          <w:tcPr>
            <w:tcW w:type="dxa" w:w="1531"/>
          </w:tcPr>
          <w:p>
            <w:r/>
            <w:r>
              <w:rPr>
                <w:rFonts w:ascii="Times New Roman" w:hAnsi="Times New Roman"/>
                <w:sz w:val="20"/>
              </w:rPr>
              <w:t>59,47 (22,07)</w:t>
            </w:r>
          </w:p>
        </w:tc>
        <w:tc>
          <w:tcPr>
            <w:tcW w:type="dxa" w:w="794"/>
          </w:tcPr>
          <w:p>
            <w:r/>
            <w:r>
              <w:rPr>
                <w:rFonts w:ascii="Times New Roman" w:hAnsi="Times New Roman"/>
                <w:sz w:val="20"/>
              </w:rPr>
              <w:t>44,484</w:t>
            </w:r>
          </w:p>
        </w:tc>
        <w:tc>
          <w:tcPr>
            <w:tcW w:type="dxa" w:w="794"/>
          </w:tcPr>
          <w:p>
            <w:r/>
            <w:r>
              <w:rPr>
                <w:rFonts w:ascii="Times New Roman" w:hAnsi="Times New Roman"/>
                <w:sz w:val="20"/>
              </w:rPr>
              <w:t>&lt; 0,001</w:t>
            </w:r>
          </w:p>
        </w:tc>
      </w:tr>
      <w:tr>
        <w:tc>
          <w:tcPr>
            <w:tcW w:type="dxa" w:w="1814"/>
          </w:tcPr>
          <w:p>
            <w:r/>
            <w:r>
              <w:rPr>
                <w:rFonts w:ascii="Times New Roman" w:hAnsi="Times New Roman"/>
                <w:sz w:val="20"/>
              </w:rPr>
              <w:t>Lo âu chia ly</w:t>
            </w:r>
          </w:p>
        </w:tc>
        <w:tc>
          <w:tcPr>
            <w:tcW w:type="dxa" w:w="1531"/>
          </w:tcPr>
          <w:p>
            <w:r/>
            <w:r>
              <w:rPr>
                <w:rFonts w:ascii="Times New Roman" w:hAnsi="Times New Roman"/>
                <w:sz w:val="20"/>
              </w:rPr>
              <w:t>25,42 (25,46)</w:t>
            </w:r>
          </w:p>
        </w:tc>
        <w:tc>
          <w:tcPr>
            <w:tcW w:type="dxa" w:w="1531"/>
          </w:tcPr>
          <w:p>
            <w:r/>
            <w:r>
              <w:rPr>
                <w:rFonts w:ascii="Times New Roman" w:hAnsi="Times New Roman"/>
                <w:sz w:val="20"/>
              </w:rPr>
              <w:t>24,76 (23,29)</w:t>
            </w:r>
          </w:p>
        </w:tc>
        <w:tc>
          <w:tcPr>
            <w:tcW w:type="dxa" w:w="794"/>
          </w:tcPr>
          <w:p>
            <w:r/>
            <w:r>
              <w:rPr>
                <w:rFonts w:ascii="Times New Roman" w:hAnsi="Times New Roman"/>
                <w:sz w:val="20"/>
              </w:rPr>
              <w:t>0,246</w:t>
            </w:r>
          </w:p>
        </w:tc>
        <w:tc>
          <w:tcPr>
            <w:tcW w:type="dxa" w:w="794"/>
          </w:tcPr>
          <w:p>
            <w:r/>
            <w:r>
              <w:rPr>
                <w:rFonts w:ascii="Times New Roman" w:hAnsi="Times New Roman"/>
                <w:sz w:val="20"/>
              </w:rPr>
              <w:t>0,620</w:t>
            </w:r>
          </w:p>
        </w:tc>
      </w:tr>
      <w:tr>
        <w:tc>
          <w:tcPr>
            <w:tcW w:type="dxa" w:w="1814"/>
          </w:tcPr>
          <w:p>
            <w:r/>
            <w:r>
              <w:rPr>
                <w:rFonts w:ascii="Times New Roman" w:hAnsi="Times New Roman"/>
                <w:sz w:val="20"/>
              </w:rPr>
              <w:t>Lo âu xã hội</w:t>
            </w:r>
          </w:p>
        </w:tc>
        <w:tc>
          <w:tcPr>
            <w:tcW w:type="dxa" w:w="1531"/>
          </w:tcPr>
          <w:p>
            <w:r/>
            <w:r>
              <w:rPr>
                <w:rFonts w:ascii="Times New Roman" w:hAnsi="Times New Roman"/>
                <w:sz w:val="20"/>
              </w:rPr>
              <w:t>43,20 (25,09)</w:t>
            </w:r>
          </w:p>
        </w:tc>
        <w:tc>
          <w:tcPr>
            <w:tcW w:type="dxa" w:w="1531"/>
          </w:tcPr>
          <w:p>
            <w:r/>
            <w:r>
              <w:rPr>
                <w:rFonts w:ascii="Times New Roman" w:hAnsi="Times New Roman"/>
                <w:sz w:val="20"/>
              </w:rPr>
              <w:t>52,74 (26,31)</w:t>
            </w:r>
          </w:p>
        </w:tc>
        <w:tc>
          <w:tcPr>
            <w:tcW w:type="dxa" w:w="794"/>
          </w:tcPr>
          <w:p>
            <w:r/>
            <w:r>
              <w:rPr>
                <w:rFonts w:ascii="Times New Roman" w:hAnsi="Times New Roman"/>
                <w:sz w:val="20"/>
              </w:rPr>
              <w:t>45,984</w:t>
            </w:r>
          </w:p>
        </w:tc>
        <w:tc>
          <w:tcPr>
            <w:tcW w:type="dxa" w:w="794"/>
          </w:tcPr>
          <w:p>
            <w:r/>
            <w:r>
              <w:rPr>
                <w:rFonts w:ascii="Times New Roman" w:hAnsi="Times New Roman"/>
                <w:sz w:val="20"/>
              </w:rPr>
              <w:t>&lt; 0,001</w:t>
            </w:r>
          </w:p>
        </w:tc>
      </w:tr>
      <w:tr>
        <w:tc>
          <w:tcPr>
            <w:tcW w:type="dxa" w:w="1814"/>
          </w:tcPr>
          <w:p>
            <w:r/>
            <w:r>
              <w:rPr>
                <w:rFonts w:ascii="Times New Roman" w:hAnsi="Times New Roman"/>
                <w:sz w:val="20"/>
              </w:rPr>
              <w:t>RLLA tổng hợp</w:t>
            </w:r>
          </w:p>
        </w:tc>
        <w:tc>
          <w:tcPr>
            <w:tcW w:type="dxa" w:w="1531"/>
          </w:tcPr>
          <w:p>
            <w:r/>
            <w:r>
              <w:rPr>
                <w:rFonts w:ascii="Times New Roman" w:hAnsi="Times New Roman"/>
                <w:sz w:val="20"/>
              </w:rPr>
              <w:t>40,02 (19,02)</w:t>
            </w:r>
          </w:p>
        </w:tc>
        <w:tc>
          <w:tcPr>
            <w:tcW w:type="dxa" w:w="1531"/>
          </w:tcPr>
          <w:p>
            <w:r/>
            <w:r>
              <w:rPr>
                <w:rFonts w:ascii="Times New Roman" w:hAnsi="Times New Roman"/>
                <w:sz w:val="20"/>
              </w:rPr>
              <w:t>45,66 (18,91)</w:t>
            </w:r>
          </w:p>
        </w:tc>
        <w:tc>
          <w:tcPr>
            <w:tcW w:type="dxa" w:w="794"/>
          </w:tcPr>
          <w:p>
            <w:r/>
            <w:r>
              <w:rPr>
                <w:rFonts w:ascii="Times New Roman" w:hAnsi="Times New Roman"/>
                <w:sz w:val="20"/>
              </w:rPr>
              <w:t>29,642</w:t>
            </w:r>
          </w:p>
        </w:tc>
        <w:tc>
          <w:tcPr>
            <w:tcW w:type="dxa" w:w="794"/>
          </w:tcPr>
          <w:p>
            <w:r/>
            <w:r>
              <w:rPr>
                <w:rFonts w:ascii="Times New Roman" w:hAnsi="Times New Roman"/>
                <w:sz w:val="20"/>
              </w:rPr>
              <w:t>&lt; 0,001</w:t>
            </w:r>
          </w:p>
        </w:tc>
      </w:tr>
    </w:tbl>
    <w:p>
      <w:pPr>
        <w:ind w:firstLine="425"/>
        <w:jc w:val="both"/>
      </w:pPr>
      <w:r>
        <w:rPr>
          <w:rFonts w:ascii="Times New Roman" w:hAnsi="Times New Roman"/>
          <w:b w:val="0"/>
          <w:i/>
          <w:sz w:val="20"/>
        </w:rPr>
        <w:t>Kết quả xác nhận Giả thuyết 1: học sinh nữ có mức độ lo âu lan tỏa và lo âu xã hội cao hơn nam có ý nghĩa thống kê (p &lt; 0,001), trong khi lo âu chia ly không có sự khác biệt giới tính (F = 0,246; p = 0,620).</w:t>
      </w:r>
    </w:p>
    <w:p>
      <w:pPr>
        <w:spacing w:before="200" w:after="80"/>
        <w:jc w:val="left"/>
      </w:pPr>
      <w:r>
        <w:rPr>
          <w:rFonts w:ascii="Times New Roman" w:hAnsi="Times New Roman"/>
          <w:b/>
          <w:sz w:val="24"/>
        </w:rPr>
        <w:t>3.3. Thực trạng các yếu tố nguy cơ và yếu tố bảo vệ</w:t>
      </w:r>
    </w:p>
    <w:p>
      <w:pPr>
        <w:ind w:firstLine="425"/>
        <w:jc w:val="both"/>
      </w:pPr>
      <w:r>
        <w:rPr>
          <w:rFonts w:ascii="Times New Roman" w:hAnsi="Times New Roman"/>
          <w:b w:val="0"/>
          <w:i w:val="0"/>
          <w:sz w:val="22"/>
        </w:rPr>
        <w:t>Phân tích thực trạng cho thấy điểm trung bình của các yếu tố nguy cơ và bảo vệ (đã quy đổi theo thang điểm 0–100) như trong Bảng 3.3.</w:t>
      </w:r>
    </w:p>
    <w:p>
      <w:pPr>
        <w:jc w:val="center"/>
      </w:pPr>
      <w:r>
        <w:rPr>
          <w:rFonts w:ascii="Times New Roman" w:hAnsi="Times New Roman"/>
          <w:b/>
          <w:i/>
          <w:sz w:val="20"/>
        </w:rPr>
        <w:t>Bảng 3.3. ĐTB của các yếu tố nguy cơ và yếu tố bảo vệ (thang 0–100)</w:t>
      </w:r>
    </w:p>
    <w:tbl>
      <w:tblPr>
        <w:tblStyle w:val="LightGrid-Accent1"/>
        <w:tblW w:type="auto" w:w="0"/>
        <w:tblLook w:firstColumn="1" w:firstRow="1" w:lastColumn="0" w:lastRow="0" w:noHBand="0" w:noVBand="1" w:val="04A0"/>
      </w:tblPr>
      <w:tblGrid>
        <w:gridCol w:w="1602"/>
        <w:gridCol w:w="1602"/>
        <w:gridCol w:w="1602"/>
        <w:gridCol w:w="1602"/>
      </w:tblGrid>
      <w:tr>
        <w:tc>
          <w:tcPr>
            <w:tcW w:type="dxa" w:w="1134"/>
          </w:tcPr>
          <w:p>
            <w:pPr>
              <w:jc w:val="center"/>
            </w:pPr>
            <w:r/>
            <w:r>
              <w:rPr>
                <w:rFonts w:ascii="Times New Roman" w:hAnsi="Times New Roman"/>
                <w:b/>
                <w:sz w:val="20"/>
              </w:rPr>
              <w:t>Nhóm</w:t>
            </w:r>
          </w:p>
        </w:tc>
        <w:tc>
          <w:tcPr>
            <w:tcW w:type="dxa" w:w="2835"/>
          </w:tcPr>
          <w:p>
            <w:pPr>
              <w:jc w:val="center"/>
            </w:pPr>
            <w:r/>
            <w:r>
              <w:rPr>
                <w:rFonts w:ascii="Times New Roman" w:hAnsi="Times New Roman"/>
                <w:b/>
                <w:sz w:val="20"/>
              </w:rPr>
              <w:t>Yếu tố</w:t>
            </w:r>
          </w:p>
        </w:tc>
        <w:tc>
          <w:tcPr>
            <w:tcW w:type="dxa" w:w="1020"/>
          </w:tcPr>
          <w:p>
            <w:pPr>
              <w:jc w:val="center"/>
            </w:pPr>
            <w:r/>
            <w:r>
              <w:rPr>
                <w:rFonts w:ascii="Times New Roman" w:hAnsi="Times New Roman"/>
                <w:b/>
                <w:sz w:val="20"/>
              </w:rPr>
              <w:t>ĐTB</w:t>
            </w:r>
          </w:p>
        </w:tc>
        <w:tc>
          <w:tcPr>
            <w:tcW w:type="dxa" w:w="1020"/>
          </w:tcPr>
          <w:p>
            <w:pPr>
              <w:jc w:val="center"/>
            </w:pPr>
            <w:r/>
            <w:r>
              <w:rPr>
                <w:rFonts w:ascii="Times New Roman" w:hAnsi="Times New Roman"/>
                <w:b/>
                <w:sz w:val="20"/>
              </w:rPr>
              <w:t>ĐLC</w:t>
            </w:r>
          </w:p>
        </w:tc>
      </w:tr>
      <w:tr>
        <w:tc>
          <w:tcPr>
            <w:tcW w:type="dxa" w:w="1134"/>
          </w:tcPr>
          <w:p>
            <w:r/>
            <w:r>
              <w:rPr>
                <w:rFonts w:ascii="Times New Roman" w:hAnsi="Times New Roman"/>
                <w:sz w:val="20"/>
              </w:rPr>
              <w:t>Nguy cơ</w:t>
            </w:r>
          </w:p>
        </w:tc>
        <w:tc>
          <w:tcPr>
            <w:tcW w:type="dxa" w:w="2835"/>
          </w:tcPr>
          <w:p>
            <w:r/>
            <w:r>
              <w:rPr>
                <w:rFonts w:ascii="Times New Roman" w:hAnsi="Times New Roman"/>
                <w:sz w:val="20"/>
              </w:rPr>
              <w:t>Áp lực học tập</w:t>
            </w:r>
          </w:p>
        </w:tc>
        <w:tc>
          <w:tcPr>
            <w:tcW w:type="dxa" w:w="1020"/>
          </w:tcPr>
          <w:p>
            <w:r/>
            <w:r>
              <w:rPr>
                <w:rFonts w:ascii="Times New Roman" w:hAnsi="Times New Roman"/>
                <w:sz w:val="20"/>
              </w:rPr>
              <w:t>51,13</w:t>
            </w:r>
          </w:p>
        </w:tc>
        <w:tc>
          <w:tcPr>
            <w:tcW w:type="dxa" w:w="1020"/>
          </w:tcPr>
          <w:p>
            <w:r/>
            <w:r>
              <w:rPr>
                <w:rFonts w:ascii="Times New Roman" w:hAnsi="Times New Roman"/>
                <w:sz w:val="20"/>
              </w:rPr>
              <w:t>23,92</w:t>
            </w:r>
          </w:p>
        </w:tc>
      </w:tr>
      <w:tr>
        <w:tc>
          <w:tcPr>
            <w:tcW w:type="dxa" w:w="1134"/>
          </w:tcPr>
          <w:p>
            <w:r/>
            <w:r>
              <w:rPr>
                <w:rFonts w:ascii="Times New Roman" w:hAnsi="Times New Roman"/>
                <w:sz w:val="20"/>
              </w:rPr>
              <w:t>Nguy cơ</w:t>
            </w:r>
          </w:p>
        </w:tc>
        <w:tc>
          <w:tcPr>
            <w:tcW w:type="dxa" w:w="2835"/>
          </w:tcPr>
          <w:p>
            <w:r/>
            <w:r>
              <w:rPr>
                <w:rFonts w:ascii="Times New Roman" w:hAnsi="Times New Roman"/>
                <w:sz w:val="20"/>
              </w:rPr>
              <w:t>Nghiện điện thoại</w:t>
            </w:r>
          </w:p>
        </w:tc>
        <w:tc>
          <w:tcPr>
            <w:tcW w:type="dxa" w:w="1020"/>
          </w:tcPr>
          <w:p>
            <w:r/>
            <w:r>
              <w:rPr>
                <w:rFonts w:ascii="Times New Roman" w:hAnsi="Times New Roman"/>
                <w:sz w:val="20"/>
              </w:rPr>
              <w:t>28,38</w:t>
            </w:r>
          </w:p>
        </w:tc>
        <w:tc>
          <w:tcPr>
            <w:tcW w:type="dxa" w:w="1020"/>
          </w:tcPr>
          <w:p>
            <w:r/>
            <w:r>
              <w:rPr>
                <w:rFonts w:ascii="Times New Roman" w:hAnsi="Times New Roman"/>
                <w:sz w:val="20"/>
              </w:rPr>
              <w:t>—</w:t>
            </w:r>
          </w:p>
        </w:tc>
      </w:tr>
      <w:tr>
        <w:tc>
          <w:tcPr>
            <w:tcW w:type="dxa" w:w="1134"/>
          </w:tcPr>
          <w:p>
            <w:r/>
            <w:r>
              <w:rPr>
                <w:rFonts w:ascii="Times New Roman" w:hAnsi="Times New Roman"/>
                <w:sz w:val="20"/>
              </w:rPr>
              <w:t>Nguy cơ</w:t>
            </w:r>
          </w:p>
        </w:tc>
        <w:tc>
          <w:tcPr>
            <w:tcW w:type="dxa" w:w="2835"/>
          </w:tcPr>
          <w:p>
            <w:r/>
            <w:r>
              <w:rPr>
                <w:rFonts w:ascii="Times New Roman" w:hAnsi="Times New Roman"/>
                <w:sz w:val="20"/>
              </w:rPr>
              <w:t>Bắt nạt thể chất</w:t>
            </w:r>
          </w:p>
        </w:tc>
        <w:tc>
          <w:tcPr>
            <w:tcW w:type="dxa" w:w="1020"/>
          </w:tcPr>
          <w:p>
            <w:r/>
            <w:r>
              <w:rPr>
                <w:rFonts w:ascii="Times New Roman" w:hAnsi="Times New Roman"/>
                <w:sz w:val="20"/>
              </w:rPr>
              <w:t>13,52</w:t>
            </w:r>
          </w:p>
        </w:tc>
        <w:tc>
          <w:tcPr>
            <w:tcW w:type="dxa" w:w="1020"/>
          </w:tcPr>
          <w:p>
            <w:r/>
            <w:r>
              <w:rPr>
                <w:rFonts w:ascii="Times New Roman" w:hAnsi="Times New Roman"/>
                <w:sz w:val="20"/>
              </w:rPr>
              <w:t>—</w:t>
            </w:r>
          </w:p>
        </w:tc>
      </w:tr>
      <w:tr>
        <w:tc>
          <w:tcPr>
            <w:tcW w:type="dxa" w:w="1134"/>
          </w:tcPr>
          <w:p>
            <w:r/>
            <w:r>
              <w:rPr>
                <w:rFonts w:ascii="Times New Roman" w:hAnsi="Times New Roman"/>
                <w:sz w:val="20"/>
              </w:rPr>
              <w:t>Bảo vệ</w:t>
            </w:r>
          </w:p>
        </w:tc>
        <w:tc>
          <w:tcPr>
            <w:tcW w:type="dxa" w:w="2835"/>
          </w:tcPr>
          <w:p>
            <w:r/>
            <w:r>
              <w:rPr>
                <w:rFonts w:ascii="Times New Roman" w:hAnsi="Times New Roman"/>
                <w:sz w:val="20"/>
              </w:rPr>
              <w:t>Gắn bó với trường học</w:t>
            </w:r>
          </w:p>
        </w:tc>
        <w:tc>
          <w:tcPr>
            <w:tcW w:type="dxa" w:w="1020"/>
          </w:tcPr>
          <w:p>
            <w:r/>
            <w:r>
              <w:rPr>
                <w:rFonts w:ascii="Times New Roman" w:hAnsi="Times New Roman"/>
                <w:sz w:val="20"/>
              </w:rPr>
              <w:t>52,60</w:t>
            </w:r>
          </w:p>
        </w:tc>
        <w:tc>
          <w:tcPr>
            <w:tcW w:type="dxa" w:w="1020"/>
          </w:tcPr>
          <w:p>
            <w:r/>
            <w:r>
              <w:rPr>
                <w:rFonts w:ascii="Times New Roman" w:hAnsi="Times New Roman"/>
                <w:sz w:val="20"/>
              </w:rPr>
              <w:t>20,02</w:t>
            </w:r>
          </w:p>
        </w:tc>
      </w:tr>
    </w:tbl>
    <w:p>
      <w:pPr>
        <w:ind w:firstLine="425"/>
        <w:jc w:val="both"/>
      </w:pPr>
      <w:r>
        <w:rPr>
          <w:rFonts w:ascii="Times New Roman" w:hAnsi="Times New Roman"/>
          <w:b w:val="0"/>
          <w:i/>
          <w:sz w:val="20"/>
        </w:rPr>
        <w:t>Trong các yếu tố nguy cơ, áp lực học tập có cường độ vượt giữa thang đo (51,13/100), vượt trội so với nghiện điện thoại (28,38) và bắt nạt thể chất (13,52).</w:t>
      </w:r>
    </w:p>
    <w:p>
      <w:pPr>
        <w:spacing w:before="200" w:after="80"/>
        <w:jc w:val="left"/>
      </w:pPr>
      <w:r>
        <w:rPr>
          <w:rFonts w:ascii="Times New Roman" w:hAnsi="Times New Roman"/>
          <w:b/>
          <w:sz w:val="24"/>
        </w:rPr>
        <w:t>3.4. Tác động của các yếu tố ảnh hưởng đến rối loạn lo âu</w:t>
      </w:r>
    </w:p>
    <w:p>
      <w:pPr>
        <w:spacing w:before="120" w:after="40"/>
        <w:jc w:val="left"/>
      </w:pPr>
      <w:r>
        <w:rPr>
          <w:rFonts w:ascii="Times New Roman" w:hAnsi="Times New Roman"/>
          <w:b/>
          <w:sz w:val="22"/>
        </w:rPr>
        <w:t>3.4.1. Tác động của các yếu tố nguy cơ</w:t>
      </w:r>
    </w:p>
    <w:p>
      <w:pPr>
        <w:ind w:firstLine="425"/>
        <w:jc w:val="both"/>
      </w:pPr>
      <w:r>
        <w:rPr>
          <w:rFonts w:ascii="Times New Roman" w:hAnsi="Times New Roman"/>
          <w:b w:val="0"/>
          <w:i w:val="0"/>
          <w:sz w:val="22"/>
        </w:rPr>
        <w:t>Kết quả phân tích mô hình phương trình cấu trúc (SEM) cho thấy ba nhóm yếu tố nguy cơ có thứ tự cường độ tác động đến rối loạn lo âu tổng hợp như sau:</w:t>
      </w:r>
    </w:p>
    <w:p>
      <w:pPr>
        <w:jc w:val="center"/>
      </w:pPr>
      <w:r>
        <w:rPr>
          <w:rFonts w:ascii="Times New Roman" w:hAnsi="Times New Roman"/>
          <w:b/>
          <w:i/>
          <w:sz w:val="20"/>
        </w:rPr>
        <w:t>Bảng 3.4. Hệ số β chuẩn hóa: Yếu tố nguy cơ → Rối loạn lo âu</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984"/>
          </w:tcPr>
          <w:p>
            <w:pPr>
              <w:jc w:val="center"/>
            </w:pPr>
            <w:r/>
            <w:r>
              <w:rPr>
                <w:rFonts w:ascii="Times New Roman" w:hAnsi="Times New Roman"/>
                <w:b/>
                <w:sz w:val="20"/>
              </w:rPr>
              <w:t>Yếu tố nguy cơ</w:t>
            </w:r>
          </w:p>
        </w:tc>
        <w:tc>
          <w:tcPr>
            <w:tcW w:type="dxa" w:w="964"/>
          </w:tcPr>
          <w:p>
            <w:pPr>
              <w:jc w:val="center"/>
            </w:pPr>
            <w:r/>
            <w:r>
              <w:rPr>
                <w:rFonts w:ascii="Times New Roman" w:hAnsi="Times New Roman"/>
                <w:b/>
                <w:sz w:val="20"/>
              </w:rPr>
              <w:t>→ Lan tỏa</w:t>
            </w:r>
          </w:p>
        </w:tc>
        <w:tc>
          <w:tcPr>
            <w:tcW w:type="dxa" w:w="964"/>
          </w:tcPr>
          <w:p>
            <w:pPr>
              <w:jc w:val="center"/>
            </w:pPr>
            <w:r/>
            <w:r>
              <w:rPr>
                <w:rFonts w:ascii="Times New Roman" w:hAnsi="Times New Roman"/>
                <w:b/>
                <w:sz w:val="20"/>
              </w:rPr>
              <w:t>→ Chia ly</w:t>
            </w:r>
          </w:p>
        </w:tc>
        <w:tc>
          <w:tcPr>
            <w:tcW w:type="dxa" w:w="964"/>
          </w:tcPr>
          <w:p>
            <w:pPr>
              <w:jc w:val="center"/>
            </w:pPr>
            <w:r/>
            <w:r>
              <w:rPr>
                <w:rFonts w:ascii="Times New Roman" w:hAnsi="Times New Roman"/>
                <w:b/>
                <w:sz w:val="20"/>
              </w:rPr>
              <w:t>→ Xã hội</w:t>
            </w:r>
          </w:p>
        </w:tc>
        <w:tc>
          <w:tcPr>
            <w:tcW w:type="dxa" w:w="1701"/>
          </w:tcPr>
          <w:p>
            <w:pPr>
              <w:jc w:val="center"/>
            </w:pPr>
            <w:r/>
            <w:r>
              <w:rPr>
                <w:rFonts w:ascii="Times New Roman" w:hAnsi="Times New Roman"/>
                <w:b/>
                <w:sz w:val="20"/>
              </w:rPr>
              <w:t>→ RLLA (3 factors)</w:t>
            </w:r>
          </w:p>
        </w:tc>
      </w:tr>
      <w:tr>
        <w:tc>
          <w:tcPr>
            <w:tcW w:type="dxa" w:w="1984"/>
          </w:tcPr>
          <w:p>
            <w:r/>
            <w:r>
              <w:rPr>
                <w:rFonts w:ascii="Times New Roman" w:hAnsi="Times New Roman"/>
                <w:sz w:val="20"/>
              </w:rPr>
              <w:t>Áp lực học tập (ALHT)</w:t>
            </w:r>
          </w:p>
        </w:tc>
        <w:tc>
          <w:tcPr>
            <w:tcW w:type="dxa" w:w="964"/>
          </w:tcPr>
          <w:p>
            <w:r/>
            <w:r>
              <w:rPr>
                <w:rFonts w:ascii="Times New Roman" w:hAnsi="Times New Roman"/>
                <w:sz w:val="20"/>
              </w:rPr>
              <w:t>0,510***</w:t>
            </w:r>
          </w:p>
        </w:tc>
        <w:tc>
          <w:tcPr>
            <w:tcW w:type="dxa" w:w="964"/>
          </w:tcPr>
          <w:p>
            <w:r/>
            <w:r>
              <w:rPr>
                <w:rFonts w:ascii="Times New Roman" w:hAnsi="Times New Roman"/>
                <w:sz w:val="20"/>
              </w:rPr>
              <w:t>0,253***</w:t>
            </w:r>
          </w:p>
        </w:tc>
        <w:tc>
          <w:tcPr>
            <w:tcW w:type="dxa" w:w="964"/>
          </w:tcPr>
          <w:p>
            <w:r/>
            <w:r>
              <w:rPr>
                <w:rFonts w:ascii="Times New Roman" w:hAnsi="Times New Roman"/>
                <w:sz w:val="20"/>
              </w:rPr>
              <w:t>0,490***</w:t>
            </w:r>
          </w:p>
        </w:tc>
        <w:tc>
          <w:tcPr>
            <w:tcW w:type="dxa" w:w="1701"/>
          </w:tcPr>
          <w:p>
            <w:r/>
            <w:r>
              <w:rPr>
                <w:rFonts w:ascii="Times New Roman" w:hAnsi="Times New Roman"/>
                <w:sz w:val="20"/>
              </w:rPr>
              <w:t>0,533*** (R²=0,284)</w:t>
            </w:r>
          </w:p>
        </w:tc>
      </w:tr>
      <w:tr>
        <w:tc>
          <w:tcPr>
            <w:tcW w:type="dxa" w:w="1984"/>
          </w:tcPr>
          <w:p>
            <w:r/>
            <w:r>
              <w:rPr>
                <w:rFonts w:ascii="Times New Roman" w:hAnsi="Times New Roman"/>
                <w:sz w:val="20"/>
              </w:rPr>
              <w:t>Nghiện điện thoại (NĐT)</w:t>
            </w:r>
          </w:p>
        </w:tc>
        <w:tc>
          <w:tcPr>
            <w:tcW w:type="dxa" w:w="964"/>
          </w:tcPr>
          <w:p>
            <w:r/>
            <w:r>
              <w:rPr>
                <w:rFonts w:ascii="Times New Roman" w:hAnsi="Times New Roman"/>
                <w:sz w:val="20"/>
              </w:rPr>
              <w:t>0,336***</w:t>
            </w:r>
          </w:p>
        </w:tc>
        <w:tc>
          <w:tcPr>
            <w:tcW w:type="dxa" w:w="964"/>
          </w:tcPr>
          <w:p>
            <w:r/>
            <w:r>
              <w:rPr>
                <w:rFonts w:ascii="Times New Roman" w:hAnsi="Times New Roman"/>
                <w:sz w:val="20"/>
              </w:rPr>
              <w:t>0,265***</w:t>
            </w:r>
          </w:p>
        </w:tc>
        <w:tc>
          <w:tcPr>
            <w:tcW w:type="dxa" w:w="964"/>
          </w:tcPr>
          <w:p>
            <w:r/>
            <w:r>
              <w:rPr>
                <w:rFonts w:ascii="Times New Roman" w:hAnsi="Times New Roman"/>
                <w:sz w:val="20"/>
              </w:rPr>
              <w:t>0,383***</w:t>
            </w:r>
          </w:p>
        </w:tc>
        <w:tc>
          <w:tcPr>
            <w:tcW w:type="dxa" w:w="1701"/>
          </w:tcPr>
          <w:p>
            <w:r/>
            <w:r>
              <w:rPr>
                <w:rFonts w:ascii="Times New Roman" w:hAnsi="Times New Roman"/>
                <w:sz w:val="20"/>
              </w:rPr>
              <w:t>0,400*** (R²=0,160)</w:t>
            </w:r>
          </w:p>
        </w:tc>
      </w:tr>
      <w:tr>
        <w:tc>
          <w:tcPr>
            <w:tcW w:type="dxa" w:w="1984"/>
          </w:tcPr>
          <w:p>
            <w:r/>
            <w:r>
              <w:rPr>
                <w:rFonts w:ascii="Times New Roman" w:hAnsi="Times New Roman"/>
                <w:sz w:val="20"/>
              </w:rPr>
              <w:t>Bắt nạt học đường (BNHĐ)</w:t>
            </w:r>
          </w:p>
        </w:tc>
        <w:tc>
          <w:tcPr>
            <w:tcW w:type="dxa" w:w="964"/>
          </w:tcPr>
          <w:p>
            <w:r/>
            <w:r>
              <w:rPr>
                <w:rFonts w:ascii="Times New Roman" w:hAnsi="Times New Roman"/>
                <w:sz w:val="20"/>
              </w:rPr>
              <w:t>0,215***</w:t>
            </w:r>
          </w:p>
        </w:tc>
        <w:tc>
          <w:tcPr>
            <w:tcW w:type="dxa" w:w="964"/>
          </w:tcPr>
          <w:p>
            <w:r/>
            <w:r>
              <w:rPr>
                <w:rFonts w:ascii="Times New Roman" w:hAnsi="Times New Roman"/>
                <w:sz w:val="20"/>
              </w:rPr>
              <w:t>0,376***</w:t>
            </w:r>
          </w:p>
        </w:tc>
        <w:tc>
          <w:tcPr>
            <w:tcW w:type="dxa" w:w="964"/>
          </w:tcPr>
          <w:p>
            <w:r/>
            <w:r>
              <w:rPr>
                <w:rFonts w:ascii="Times New Roman" w:hAnsi="Times New Roman"/>
                <w:sz w:val="20"/>
              </w:rPr>
              <w:t>0,253***</w:t>
            </w:r>
          </w:p>
        </w:tc>
        <w:tc>
          <w:tcPr>
            <w:tcW w:type="dxa" w:w="1701"/>
          </w:tcPr>
          <w:p>
            <w:r/>
            <w:r>
              <w:rPr>
                <w:rFonts w:ascii="Times New Roman" w:hAnsi="Times New Roman"/>
                <w:sz w:val="20"/>
              </w:rPr>
              <w:t>0,276*** (R²=0,076)</w:t>
            </w:r>
          </w:p>
        </w:tc>
      </w:tr>
    </w:tbl>
    <w:p>
      <w:pPr>
        <w:ind w:firstLine="425"/>
        <w:jc w:val="both"/>
      </w:pPr>
      <w:r>
        <w:rPr>
          <w:rFonts w:ascii="Times New Roman" w:hAnsi="Times New Roman"/>
          <w:b w:val="0"/>
          <w:i/>
          <w:sz w:val="20"/>
        </w:rPr>
        <w:t>Ghi chú: *** p &lt; 0,001. ALHT là yếu tố nguy cơ mạnh nhất (β = 0,533). NĐT đứng thứ hai (β = 0,400). BNHĐ có mẫu hình khác biệt: tác động mạnh nhất lên lo âu chia ly (β = 0,376) thay vì lan tỏa hay xã hội.</w:t>
      </w:r>
    </w:p>
    <w:p>
      <w:pPr>
        <w:ind w:firstLine="425"/>
        <w:jc w:val="both"/>
      </w:pPr>
      <w:r>
        <w:rPr>
          <w:rFonts w:ascii="Times New Roman" w:hAnsi="Times New Roman"/>
          <w:b w:val="0"/>
          <w:i/>
          <w:sz w:val="20"/>
        </w:rPr>
        <w:t>Kết quả này xác nhận Giả thuyết 3: áp lực học tập và nghiện điện thoại là hai yếu tố nguy cơ thuộc nhóm mạnh nhất.</w:t>
      </w:r>
    </w:p>
    <w:p>
      <w:pPr>
        <w:spacing w:before="120" w:after="40"/>
        <w:jc w:val="left"/>
      </w:pPr>
      <w:r>
        <w:rPr>
          <w:rFonts w:ascii="Times New Roman" w:hAnsi="Times New Roman"/>
          <w:b/>
          <w:sz w:val="22"/>
        </w:rPr>
        <w:t>3.4.2. Tác động của các yếu tố bảo vệ</w:t>
      </w:r>
    </w:p>
    <w:p>
      <w:pPr>
        <w:ind w:firstLine="425"/>
        <w:jc w:val="both"/>
      </w:pPr>
      <w:r>
        <w:rPr>
          <w:rFonts w:ascii="Times New Roman" w:hAnsi="Times New Roman"/>
          <w:b w:val="0"/>
          <w:i w:val="0"/>
          <w:sz w:val="22"/>
        </w:rPr>
        <w:t>Phân tích cho thấy các yếu tố bảo vệ có tác động ngược chiều (giảm rối loạn lo âu) với cường độ khác nhau:</w:t>
      </w:r>
    </w:p>
    <w:p>
      <w:pPr>
        <w:jc w:val="center"/>
      </w:pPr>
      <w:r>
        <w:rPr>
          <w:rFonts w:ascii="Times New Roman" w:hAnsi="Times New Roman"/>
          <w:b/>
          <w:i/>
          <w:sz w:val="20"/>
        </w:rPr>
        <w:t>Bảng 3.5. Hệ số β chuẩn hóa: Yếu tố bảo vệ → Rối loạn lo âu</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984"/>
          </w:tcPr>
          <w:p>
            <w:pPr>
              <w:jc w:val="center"/>
            </w:pPr>
            <w:r/>
            <w:r>
              <w:rPr>
                <w:rFonts w:ascii="Times New Roman" w:hAnsi="Times New Roman"/>
                <w:b/>
                <w:sz w:val="20"/>
              </w:rPr>
              <w:t>Yếu tố bảo vệ</w:t>
            </w:r>
          </w:p>
        </w:tc>
        <w:tc>
          <w:tcPr>
            <w:tcW w:type="dxa" w:w="964"/>
          </w:tcPr>
          <w:p>
            <w:pPr>
              <w:jc w:val="center"/>
            </w:pPr>
            <w:r/>
            <w:r>
              <w:rPr>
                <w:rFonts w:ascii="Times New Roman" w:hAnsi="Times New Roman"/>
                <w:b/>
                <w:sz w:val="20"/>
              </w:rPr>
              <w:t>→ Lan tỏa</w:t>
            </w:r>
          </w:p>
        </w:tc>
        <w:tc>
          <w:tcPr>
            <w:tcW w:type="dxa" w:w="964"/>
          </w:tcPr>
          <w:p>
            <w:pPr>
              <w:jc w:val="center"/>
            </w:pPr>
            <w:r/>
            <w:r>
              <w:rPr>
                <w:rFonts w:ascii="Times New Roman" w:hAnsi="Times New Roman"/>
                <w:b/>
                <w:sz w:val="20"/>
              </w:rPr>
              <w:t>→ Chia ly</w:t>
            </w:r>
          </w:p>
        </w:tc>
        <w:tc>
          <w:tcPr>
            <w:tcW w:type="dxa" w:w="964"/>
          </w:tcPr>
          <w:p>
            <w:pPr>
              <w:jc w:val="center"/>
            </w:pPr>
            <w:r/>
            <w:r>
              <w:rPr>
                <w:rFonts w:ascii="Times New Roman" w:hAnsi="Times New Roman"/>
                <w:b/>
                <w:sz w:val="20"/>
              </w:rPr>
              <w:t>→ Xã hội</w:t>
            </w:r>
          </w:p>
        </w:tc>
        <w:tc>
          <w:tcPr>
            <w:tcW w:type="dxa" w:w="1701"/>
          </w:tcPr>
          <w:p>
            <w:pPr>
              <w:jc w:val="center"/>
            </w:pPr>
            <w:r/>
            <w:r>
              <w:rPr>
                <w:rFonts w:ascii="Times New Roman" w:hAnsi="Times New Roman"/>
                <w:b/>
                <w:sz w:val="20"/>
              </w:rPr>
              <w:t>→ RLLA (3 factors)</w:t>
            </w:r>
          </w:p>
        </w:tc>
      </w:tr>
      <w:tr>
        <w:tc>
          <w:tcPr>
            <w:tcW w:type="dxa" w:w="1984"/>
          </w:tcPr>
          <w:p>
            <w:r/>
            <w:r>
              <w:rPr>
                <w:rFonts w:ascii="Times New Roman" w:hAnsi="Times New Roman"/>
                <w:sz w:val="20"/>
              </w:rPr>
              <w:t>Tự trọng (TTr)</w:t>
            </w:r>
          </w:p>
        </w:tc>
        <w:tc>
          <w:tcPr>
            <w:tcW w:type="dxa" w:w="964"/>
          </w:tcPr>
          <w:p>
            <w:r/>
            <w:r>
              <w:rPr>
                <w:rFonts w:ascii="Times New Roman" w:hAnsi="Times New Roman"/>
                <w:sz w:val="20"/>
              </w:rPr>
              <w:t>-0,455***</w:t>
            </w:r>
          </w:p>
        </w:tc>
        <w:tc>
          <w:tcPr>
            <w:tcW w:type="dxa" w:w="964"/>
          </w:tcPr>
          <w:p>
            <w:r/>
            <w:r>
              <w:rPr>
                <w:rFonts w:ascii="Times New Roman" w:hAnsi="Times New Roman"/>
                <w:sz w:val="20"/>
              </w:rPr>
              <w:t>-0,087*</w:t>
            </w:r>
          </w:p>
        </w:tc>
        <w:tc>
          <w:tcPr>
            <w:tcW w:type="dxa" w:w="964"/>
          </w:tcPr>
          <w:p>
            <w:r/>
            <w:r>
              <w:rPr>
                <w:rFonts w:ascii="Times New Roman" w:hAnsi="Times New Roman"/>
                <w:sz w:val="20"/>
              </w:rPr>
              <w:t>-0,415***</w:t>
            </w:r>
          </w:p>
        </w:tc>
        <w:tc>
          <w:tcPr>
            <w:tcW w:type="dxa" w:w="1701"/>
          </w:tcPr>
          <w:p>
            <w:r/>
            <w:r>
              <w:rPr>
                <w:rFonts w:ascii="Times New Roman" w:hAnsi="Times New Roman"/>
                <w:sz w:val="20"/>
              </w:rPr>
              <w:t>-0,457*** (R²=0,209)</w:t>
            </w:r>
          </w:p>
        </w:tc>
      </w:tr>
      <w:tr>
        <w:tc>
          <w:tcPr>
            <w:tcW w:type="dxa" w:w="1984"/>
          </w:tcPr>
          <w:p>
            <w:r/>
            <w:r>
              <w:rPr>
                <w:rFonts w:ascii="Times New Roman" w:hAnsi="Times New Roman"/>
                <w:sz w:val="20"/>
              </w:rPr>
              <w:t>Hỗ trợ cha mẹ (HTCM)</w:t>
            </w:r>
          </w:p>
        </w:tc>
        <w:tc>
          <w:tcPr>
            <w:tcW w:type="dxa" w:w="964"/>
          </w:tcPr>
          <w:p>
            <w:r/>
            <w:r>
              <w:rPr>
                <w:rFonts w:ascii="Times New Roman" w:hAnsi="Times New Roman"/>
                <w:sz w:val="20"/>
              </w:rPr>
              <w:t>-0,172***</w:t>
            </w:r>
          </w:p>
        </w:tc>
        <w:tc>
          <w:tcPr>
            <w:tcW w:type="dxa" w:w="964"/>
          </w:tcPr>
          <w:p>
            <w:r/>
            <w:r>
              <w:rPr>
                <w:rFonts w:ascii="Times New Roman" w:hAnsi="Times New Roman"/>
                <w:sz w:val="20"/>
              </w:rPr>
              <w:t>0,000</w:t>
            </w:r>
          </w:p>
        </w:tc>
        <w:tc>
          <w:tcPr>
            <w:tcW w:type="dxa" w:w="964"/>
          </w:tcPr>
          <w:p>
            <w:r/>
            <w:r>
              <w:rPr>
                <w:rFonts w:ascii="Times New Roman" w:hAnsi="Times New Roman"/>
                <w:sz w:val="20"/>
              </w:rPr>
              <w:t>-0,273***</w:t>
            </w:r>
          </w:p>
        </w:tc>
        <w:tc>
          <w:tcPr>
            <w:tcW w:type="dxa" w:w="1701"/>
          </w:tcPr>
          <w:p>
            <w:r/>
            <w:r>
              <w:rPr>
                <w:rFonts w:ascii="Times New Roman" w:hAnsi="Times New Roman"/>
                <w:sz w:val="20"/>
              </w:rPr>
              <w:t>-0,234*** (R²=0,055)</w:t>
            </w:r>
          </w:p>
        </w:tc>
      </w:tr>
      <w:tr>
        <w:tc>
          <w:tcPr>
            <w:tcW w:type="dxa" w:w="1984"/>
          </w:tcPr>
          <w:p>
            <w:r/>
            <w:r>
              <w:rPr>
                <w:rFonts w:ascii="Times New Roman" w:hAnsi="Times New Roman"/>
                <w:sz w:val="20"/>
              </w:rPr>
              <w:t>Gắn bó trường học (GBTH)</w:t>
            </w:r>
          </w:p>
        </w:tc>
        <w:tc>
          <w:tcPr>
            <w:tcW w:type="dxa" w:w="964"/>
          </w:tcPr>
          <w:p>
            <w:r/>
            <w:r>
              <w:rPr>
                <w:rFonts w:ascii="Times New Roman" w:hAnsi="Times New Roman"/>
                <w:sz w:val="20"/>
              </w:rPr>
              <w:t>-0,108**</w:t>
            </w:r>
          </w:p>
        </w:tc>
        <w:tc>
          <w:tcPr>
            <w:tcW w:type="dxa" w:w="964"/>
          </w:tcPr>
          <w:p>
            <w:r/>
            <w:r>
              <w:rPr>
                <w:rFonts w:ascii="Times New Roman" w:hAnsi="Times New Roman"/>
                <w:sz w:val="20"/>
              </w:rPr>
              <w:t>0,014</w:t>
            </w:r>
          </w:p>
        </w:tc>
        <w:tc>
          <w:tcPr>
            <w:tcW w:type="dxa" w:w="964"/>
          </w:tcPr>
          <w:p>
            <w:r/>
            <w:r>
              <w:rPr>
                <w:rFonts w:ascii="Times New Roman" w:hAnsi="Times New Roman"/>
                <w:sz w:val="20"/>
              </w:rPr>
              <w:t>-0,187***</w:t>
            </w:r>
          </w:p>
        </w:tc>
        <w:tc>
          <w:tcPr>
            <w:tcW w:type="dxa" w:w="1701"/>
          </w:tcPr>
          <w:p>
            <w:r/>
            <w:r>
              <w:rPr>
                <w:rFonts w:ascii="Times New Roman" w:hAnsi="Times New Roman"/>
                <w:sz w:val="20"/>
              </w:rPr>
              <w:t>-0,155*** (R²=0,024)</w:t>
            </w:r>
          </w:p>
        </w:tc>
      </w:tr>
    </w:tbl>
    <w:p>
      <w:pPr>
        <w:ind w:firstLine="425"/>
        <w:jc w:val="both"/>
      </w:pPr>
      <w:r>
        <w:rPr>
          <w:rFonts w:ascii="Times New Roman" w:hAnsi="Times New Roman"/>
          <w:b w:val="0"/>
          <w:i/>
          <w:sz w:val="20"/>
        </w:rPr>
        <w:t>Ghi chú: *** p &lt; 0,001; ** p &lt; 0,01; * p &lt; 0,05. Lòng tự trọng là yếu tố bảo vệ mạnh nhất (β = -0,457), có cường độ tác động ~85–89% so với áp lực học tập (theo Kết luận LA, phụ thuộc dạng rối loạn lo âu cụ thể).</w:t>
      </w:r>
    </w:p>
    <w:p>
      <w:pPr>
        <w:ind w:firstLine="425"/>
        <w:jc w:val="both"/>
      </w:pPr>
      <w:r>
        <w:rPr>
          <w:rFonts w:ascii="Times New Roman" w:hAnsi="Times New Roman"/>
          <w:b w:val="0"/>
          <w:i/>
          <w:sz w:val="20"/>
        </w:rPr>
        <w:t>Kết quả này xác nhận Giả thuyết 2: lòng tự trọng là yếu tố bảo vệ thuộc nhóm mạnh nhất, có cường độ tác động tương đương với áp lực học tập đối với lo âu lan tỏa và lo âu xã hội.</w:t>
      </w:r>
    </w:p>
    <w:p>
      <w:pPr>
        <w:spacing w:before="120" w:after="40"/>
        <w:jc w:val="left"/>
      </w:pPr>
      <w:r>
        <w:rPr>
          <w:rFonts w:ascii="Times New Roman" w:hAnsi="Times New Roman"/>
          <w:b/>
          <w:sz w:val="22"/>
        </w:rPr>
        <w:t>3.4.3. Mô hình kết hợp yếu tố nguy cơ và yếu tố bảo vệ</w:t>
      </w:r>
    </w:p>
    <w:p>
      <w:pPr>
        <w:ind w:firstLine="425"/>
        <w:jc w:val="both"/>
      </w:pPr>
      <w:r>
        <w:rPr>
          <w:rFonts w:ascii="Times New Roman" w:hAnsi="Times New Roman"/>
          <w:b w:val="0"/>
          <w:i w:val="0"/>
          <w:sz w:val="22"/>
        </w:rPr>
        <w:t>Mô hình kết hợp đồng thời yếu tố nguy cơ và yếu tố bảo vệ cho thấy yếu tố nguy cơ áp đảo yếu tố bảo vệ ở cấp tổng hợp, gợi ý nhu cầu can thiệp đồng thời cả hai chiều: vừa giảm nguy cơ, vừa tăng cường yếu tố bảo vệ.</w:t>
      </w:r>
    </w:p>
    <w:p>
      <w:pPr>
        <w:spacing w:before="200" w:after="80"/>
        <w:jc w:val="left"/>
      </w:pPr>
      <w:r>
        <w:rPr>
          <w:rFonts w:ascii="Times New Roman" w:hAnsi="Times New Roman"/>
          <w:b/>
          <w:sz w:val="24"/>
        </w:rPr>
        <w:t>3.5. Biện pháp đối phó của học sinh THCS</w:t>
      </w:r>
    </w:p>
    <w:p>
      <w:pPr>
        <w:ind w:firstLine="425"/>
        <w:jc w:val="both"/>
      </w:pPr>
      <w:r>
        <w:rPr>
          <w:rFonts w:ascii="Times New Roman" w:hAnsi="Times New Roman"/>
          <w:b w:val="0"/>
          <w:i w:val="0"/>
          <w:sz w:val="22"/>
        </w:rPr>
        <w:t>Phân tích Brief COPE theo ba nhân tố (tránh né, đối phó giải quyết vấn đề, tìm kiếm sự hỗ trợ) cho thấy:</w:t>
      </w:r>
    </w:p>
    <w:p>
      <w:pPr>
        <w:jc w:val="both"/>
      </w:pPr>
      <w:r>
        <w:rPr>
          <w:rFonts w:ascii="Times New Roman" w:hAnsi="Times New Roman"/>
          <w:b w:val="0"/>
          <w:i w:val="0"/>
          <w:sz w:val="22"/>
        </w:rPr>
        <w:t>- Chiều không thích nghi (tránh né): gia tăng rõ rệt cùng với triệu chứng lo âu — phù hợp với kỳ vọng lý thuyết.</w:t>
      </w:r>
    </w:p>
    <w:p>
      <w:pPr>
        <w:jc w:val="both"/>
      </w:pPr>
      <w:r>
        <w:rPr>
          <w:rFonts w:ascii="Times New Roman" w:hAnsi="Times New Roman"/>
          <w:b w:val="0"/>
          <w:i w:val="0"/>
          <w:sz w:val="22"/>
        </w:rPr>
        <w:t>- Chiều thích nghi (đối phó giải quyết vấn đề và tìm kiếm sự hỗ trợ): cũng đi theo chiều dương cùng triệu chứng lo âu — đi ngược kỳ vọng, gợi ý rằng học sinh có ý thức sử dụng các chiến lược tích cực nhưng chưa đạt hiệu quả như mong đợi.</w:t>
      </w:r>
    </w:p>
    <w:p>
      <w:pPr>
        <w:ind w:firstLine="425"/>
        <w:jc w:val="both"/>
      </w:pPr>
      <w:r>
        <w:rPr>
          <w:rFonts w:ascii="Times New Roman" w:hAnsi="Times New Roman"/>
          <w:b w:val="0"/>
          <w:i w:val="0"/>
          <w:sz w:val="22"/>
        </w:rPr>
        <w:t>Kết quả này gợi ý cho định hướng can thiệp: đồng thời (1) loại bỏ các chiến lược không thích nghi và (2) nâng cao chất lượng triển khai các chiến lược thích nghi ở học sinh.</w:t>
      </w:r>
    </w:p>
    <w:p>
      <w:pPr>
        <w:spacing w:before="200" w:after="80"/>
        <w:jc w:val="left"/>
      </w:pPr>
      <w:r>
        <w:rPr>
          <w:rFonts w:ascii="Times New Roman" w:hAnsi="Times New Roman"/>
          <w:b/>
          <w:sz w:val="24"/>
        </w:rPr>
        <w:t>3.6. Đề xuất Khung chương trình tập huấn phòng ngừa rối loạn lo âu</w:t>
      </w:r>
    </w:p>
    <w:p>
      <w:pPr>
        <w:ind w:firstLine="425"/>
        <w:jc w:val="both"/>
      </w:pPr>
      <w:r>
        <w:rPr>
          <w:rFonts w:ascii="Times New Roman" w:hAnsi="Times New Roman"/>
          <w:b w:val="0"/>
          <w:i w:val="0"/>
          <w:sz w:val="22"/>
        </w:rPr>
        <w:t>Trên cơ sở các kết quả nghiên cứu lý luận và thực trạng, luận án đề xuất Khung chương trình tập huấn phòng ngừa rối loạn lo âu cho học sinh THCS với 8 nội dung cơ bản: (1) Nhận diện rối loạn lo âu và tự đánh giá; (2) Kỹ năng tái cấu trúc nhận thức; (3) Kỹ năng quản lý áp lực học tập; (4) Kỹ năng sử dụng thiết bị số lành mạnh; (5) Kỹ năng đối phó với bắt nạt học đường; (6) Củng cố lòng tự trọng; (7) Tăng cường gắn bó với trường học và hỗ trợ xã hội; (8) Phát triển chiến lược ứng phó thích nghi.</w:t>
      </w:r>
    </w:p>
    <w:p>
      <w:pPr>
        <w:ind w:firstLine="425"/>
        <w:jc w:val="both"/>
      </w:pPr>
      <w:r>
        <w:rPr>
          <w:rFonts w:ascii="Times New Roman" w:hAnsi="Times New Roman"/>
          <w:b w:val="0"/>
          <w:i w:val="0"/>
          <w:sz w:val="22"/>
        </w:rPr>
        <w:t>Chương trình được thiết kế theo tiếp cận CBT, chăm sóc theo bậc (stepped care) và mô hình phòng ngừa cấp 1 + cấp 2; có thể lồng ghép vào sinh hoạt đầu giờ, chào cờ, sinh hoạt lớp, chuyên đề, hoặc tổ chức dưới dạng các cuộc thi dành cho học sinh THCS.</w:t>
      </w:r>
    </w:p>
    <w:p>
      <w:r>
        <w:br w:type="page"/>
      </w:r>
    </w:p>
    <w:p>
      <w:pPr>
        <w:spacing w:before="360" w:after="240"/>
        <w:jc w:val="center"/>
      </w:pPr>
      <w:r>
        <w:rPr>
          <w:rFonts w:ascii="Times New Roman" w:hAnsi="Times New Roman"/>
          <w:b/>
          <w:sz w:val="28"/>
        </w:rPr>
        <w:t>KẾT LUẬN VÀ KIẾN NGHỊ</w:t>
      </w:r>
    </w:p>
    <w:p>
      <w:pPr>
        <w:spacing w:before="200" w:after="80"/>
        <w:jc w:val="left"/>
      </w:pPr>
      <w:r>
        <w:rPr>
          <w:rFonts w:ascii="Times New Roman" w:hAnsi="Times New Roman"/>
          <w:b/>
          <w:sz w:val="24"/>
        </w:rPr>
        <w:t>1. Kết luận</w:t>
      </w:r>
    </w:p>
    <w:p>
      <w:pPr>
        <w:spacing w:before="120" w:after="40"/>
        <w:jc w:val="left"/>
      </w:pPr>
      <w:r>
        <w:rPr>
          <w:rFonts w:ascii="Times New Roman" w:hAnsi="Times New Roman"/>
          <w:b/>
          <w:sz w:val="22"/>
        </w:rPr>
        <w:t>1.1. Về lý luận</w:t>
      </w:r>
    </w:p>
    <w:p>
      <w:pPr>
        <w:ind w:firstLine="425"/>
        <w:jc w:val="both"/>
      </w:pPr>
      <w:r>
        <w:rPr>
          <w:rFonts w:ascii="Times New Roman" w:hAnsi="Times New Roman"/>
          <w:b w:val="0"/>
          <w:i w:val="0"/>
          <w:sz w:val="22"/>
        </w:rPr>
        <w:t>Luận án đã hệ thống hóa cơ sở lý luận về rối loạn lo âu ở học sinh THCS theo hướng tích hợp mạng lưới yếu tố nguy cơ và yếu tố bảo vệ; xác lập khung khái niệm RLLA gồm 4 thành phần (nhận thức – cảm xúc – sinh lý – hành vi); phân biệt rõ 3 dạng RLLA (lan tỏa, xã hội, chia ly) trên đối tượng học sinh THCS; xác lập khung phân tích biện pháp ứng phó theo hai chiều thích nghi và không thích nghi.</w:t>
      </w:r>
    </w:p>
    <w:p>
      <w:pPr>
        <w:spacing w:before="120" w:after="40"/>
        <w:jc w:val="left"/>
      </w:pPr>
      <w:r>
        <w:rPr>
          <w:rFonts w:ascii="Times New Roman" w:hAnsi="Times New Roman"/>
          <w:b/>
          <w:sz w:val="22"/>
        </w:rPr>
        <w:t>1.2. Về thực tiễn</w:t>
      </w:r>
    </w:p>
    <w:p>
      <w:pPr>
        <w:ind w:firstLine="425"/>
        <w:jc w:val="both"/>
      </w:pPr>
      <w:r>
        <w:rPr>
          <w:rFonts w:ascii="Times New Roman" w:hAnsi="Times New Roman"/>
          <w:b w:val="0"/>
          <w:i w:val="0"/>
          <w:sz w:val="22"/>
        </w:rPr>
        <w:t>Luận án đã cung cấp một bức tranh chi tiết về thực trạng rối loạn lo âu trên mẫu 1.352 học sinh THCS tại Hà Nội. Hệ thống các thang đo sau khi hiệu chỉnh đều đạt yêu cầu về độ tin cậy và giá trị cấu trúc. Mức độ rối loạn lo âu của học sinh THCS chủ yếu ở mức trung bình, lo âu lan tỏa và lo âu xã hội nổi trội hơn lo âu chia ly.</w:t>
      </w:r>
    </w:p>
    <w:p>
      <w:pPr>
        <w:ind w:firstLine="425"/>
        <w:jc w:val="both"/>
      </w:pPr>
      <w:r>
        <w:rPr>
          <w:rFonts w:ascii="Times New Roman" w:hAnsi="Times New Roman"/>
          <w:b w:val="0"/>
          <w:i w:val="0"/>
          <w:sz w:val="22"/>
        </w:rPr>
        <w:t>Luận án đã kiểm chứng và xác nhận cả 3 giả thuyết khoa học:</w:t>
      </w:r>
    </w:p>
    <w:p>
      <w:pPr>
        <w:jc w:val="both"/>
      </w:pPr>
      <w:r>
        <w:rPr>
          <w:rFonts w:ascii="Times New Roman" w:hAnsi="Times New Roman"/>
          <w:b w:val="0"/>
          <w:i w:val="0"/>
          <w:sz w:val="22"/>
        </w:rPr>
        <w:t>- Giả thuyết 1 (khác biệt giới tính phụ thuộc loại RLLA): xác nhận. Học sinh nữ có mức độ lo âu lan tỏa (ĐTB 59,47 vs 51,43; F = 44,484; p &lt; 0,001) và lo âu xã hội (ĐTB 52,74 vs 43,20; F = 45,984; p &lt; 0,001) cao hơn nam có ý nghĩa thống kê; lo âu chia ly không có khác biệt giới tính (F = 0,246; p = 0,620).</w:t>
      </w:r>
    </w:p>
    <w:p>
      <w:pPr>
        <w:jc w:val="both"/>
      </w:pPr>
      <w:r>
        <w:rPr>
          <w:rFonts w:ascii="Times New Roman" w:hAnsi="Times New Roman"/>
          <w:b w:val="0"/>
          <w:i w:val="0"/>
          <w:sz w:val="22"/>
        </w:rPr>
        <w:t>- Giả thuyết 2 (lòng tự trọng là YTBV mạnh): xác nhận. Lòng tự trọng có hệ số β = -0,457 đối với RLLA tổng hợp, cường độ tác động ~85–89% so với áp lực học tập (theo Kết luận LA).</w:t>
      </w:r>
    </w:p>
    <w:p>
      <w:pPr>
        <w:jc w:val="both"/>
      </w:pPr>
      <w:r>
        <w:rPr>
          <w:rFonts w:ascii="Times New Roman" w:hAnsi="Times New Roman"/>
          <w:b w:val="0"/>
          <w:i w:val="0"/>
          <w:sz w:val="22"/>
        </w:rPr>
        <w:t>- Giả thuyết 3 (áp lực học tập + nghiện điện thoại là YTNC mạnh): xác nhận. Thứ tự cường độ tác động: áp lực học tập (β = 0,533) &gt; nghiện điện thoại (β = 0,400) &gt; bắt nạt học đường (β = 0,276).</w:t>
      </w:r>
    </w:p>
    <w:p>
      <w:pPr>
        <w:ind w:firstLine="425"/>
        <w:jc w:val="both"/>
      </w:pPr>
      <w:r>
        <w:rPr>
          <w:rFonts w:ascii="Times New Roman" w:hAnsi="Times New Roman"/>
          <w:b w:val="0"/>
          <w:i w:val="0"/>
          <w:sz w:val="22"/>
        </w:rPr>
        <w:t>Trên cơ sở đó, luận án đề xuất Khung chương trình tập huấn phòng ngừa rối loạn lo âu cho học sinh THCS với 8 nội dung cơ bản, đáp ứng yêu cầu cấp thiết hiện nay về chăm sóc sức khỏe tâm thần cho học sinh Việt Nam.</w:t>
      </w:r>
    </w:p>
    <w:p>
      <w:pPr>
        <w:spacing w:before="200" w:after="80"/>
        <w:jc w:val="left"/>
      </w:pPr>
      <w:r>
        <w:rPr>
          <w:rFonts w:ascii="Times New Roman" w:hAnsi="Times New Roman"/>
          <w:b/>
          <w:sz w:val="24"/>
        </w:rPr>
        <w:t>2. Kiến nghị</w:t>
      </w:r>
    </w:p>
    <w:p>
      <w:pPr>
        <w:spacing w:before="120" w:after="40"/>
        <w:jc w:val="left"/>
      </w:pPr>
      <w:r>
        <w:rPr>
          <w:rFonts w:ascii="Times New Roman" w:hAnsi="Times New Roman"/>
          <w:b/>
          <w:sz w:val="22"/>
        </w:rPr>
        <w:t>2.1. Đối với học sinh</w:t>
      </w:r>
    </w:p>
    <w:p>
      <w:pPr>
        <w:ind w:firstLine="425"/>
        <w:jc w:val="both"/>
      </w:pPr>
      <w:r>
        <w:rPr>
          <w:rFonts w:ascii="Times New Roman" w:hAnsi="Times New Roman"/>
          <w:b w:val="0"/>
          <w:i w:val="0"/>
          <w:sz w:val="22"/>
        </w:rPr>
        <w:t>Cần trang bị kiến thức và kỹ năng nhận diện sớm các dấu hiệu rối loạn lo âu; rèn luyện năng lực tự điều chỉnh tâm lý; giảm các chiến lược không thích nghi (tránh né, tự đổ lỗi) thông qua kỹ thuật tái cấu trúc nhận thức (CBT); nâng cao chất lượng triển khai các chiến lược thích nghi (giải quyết vấn đề, tìm kiếm hỗ trợ).</w:t>
      </w:r>
    </w:p>
    <w:p>
      <w:pPr>
        <w:spacing w:before="120" w:after="40"/>
        <w:jc w:val="left"/>
      </w:pPr>
      <w:r>
        <w:rPr>
          <w:rFonts w:ascii="Times New Roman" w:hAnsi="Times New Roman"/>
          <w:b/>
          <w:sz w:val="22"/>
        </w:rPr>
        <w:t>2.2. Đối với giáo viên và nhà trường</w:t>
      </w:r>
    </w:p>
    <w:p>
      <w:pPr>
        <w:ind w:firstLine="425"/>
        <w:jc w:val="both"/>
      </w:pPr>
      <w:r>
        <w:rPr>
          <w:rFonts w:ascii="Times New Roman" w:hAnsi="Times New Roman"/>
          <w:b w:val="0"/>
          <w:i w:val="0"/>
          <w:sz w:val="22"/>
        </w:rPr>
        <w:t>Lồng ghép nội dung chương trình tập huấn phòng ngừa rối loạn lo âu trong sinh hoạt đầu giờ, chào cờ, sinh hoạt lớp, chuyên đề. Rà soát và điều chỉnh các yếu tố trong hoạt động dạy học có khả năng làm gia tăng RLLA (áp lực đánh giá, cạnh tranh thành tích). Bồi dưỡng năng lực nhận diện biểu hiện RLLA cho giáo viên.</w:t>
      </w:r>
    </w:p>
    <w:p>
      <w:pPr>
        <w:spacing w:before="120" w:after="40"/>
        <w:jc w:val="left"/>
      </w:pPr>
      <w:r>
        <w:rPr>
          <w:rFonts w:ascii="Times New Roman" w:hAnsi="Times New Roman"/>
          <w:b/>
          <w:sz w:val="22"/>
        </w:rPr>
        <w:t>2.3. Đối với gia đình</w:t>
      </w:r>
    </w:p>
    <w:p>
      <w:pPr>
        <w:ind w:firstLine="425"/>
        <w:jc w:val="both"/>
      </w:pPr>
      <w:r>
        <w:rPr>
          <w:rFonts w:ascii="Times New Roman" w:hAnsi="Times New Roman"/>
          <w:b w:val="0"/>
          <w:i w:val="0"/>
          <w:sz w:val="22"/>
        </w:rPr>
        <w:t>Phụ huynh cần điều chỉnh kỳ vọng phù hợp với năng lực và đặc điểm tâm lý của con; xây dựng môi trường giao tiếp cởi mở; trở thành nguồn hỗ trợ tâm lý ổn định và tích cực.</w:t>
      </w:r>
    </w:p>
    <w:p>
      <w:pPr>
        <w:spacing w:before="120" w:after="40"/>
        <w:jc w:val="left"/>
      </w:pPr>
      <w:r>
        <w:rPr>
          <w:rFonts w:ascii="Times New Roman" w:hAnsi="Times New Roman"/>
          <w:b/>
          <w:sz w:val="22"/>
        </w:rPr>
        <w:t>2.4. Đối với các lực lượng hỗ trợ học đường</w:t>
      </w:r>
    </w:p>
    <w:p>
      <w:pPr>
        <w:ind w:firstLine="425"/>
        <w:jc w:val="both"/>
      </w:pPr>
      <w:r>
        <w:rPr>
          <w:rFonts w:ascii="Times New Roman" w:hAnsi="Times New Roman"/>
          <w:b w:val="0"/>
          <w:i w:val="0"/>
          <w:sz w:val="22"/>
        </w:rPr>
        <w:t>Phòng tư vấn học đường triển khai sàng lọc và hỗ trợ sớm đối với học sinh có nguy cơ. Đoàn thanh niên, câu lạc bộ tăng cường kết nối xã hội. Phối hợp đồng bộ giữa các lực lượng theo hướng can thiệp tích hợp và đa tầng.</w:t>
      </w:r>
    </w:p>
    <w:p>
      <w:pPr>
        <w:spacing w:before="200" w:after="80"/>
        <w:jc w:val="left"/>
      </w:pPr>
      <w:r>
        <w:rPr>
          <w:rFonts w:ascii="Times New Roman" w:hAnsi="Times New Roman"/>
          <w:b/>
          <w:sz w:val="24"/>
        </w:rPr>
        <w:t>3. Giới hạn và định hướng nghiên cứu trong tương lai</w:t>
      </w:r>
    </w:p>
    <w:p>
      <w:pPr>
        <w:ind w:firstLine="425"/>
        <w:jc w:val="both"/>
      </w:pPr>
      <w:r>
        <w:rPr>
          <w:rFonts w:ascii="Times New Roman" w:hAnsi="Times New Roman"/>
          <w:b w:val="0"/>
          <w:i w:val="0"/>
          <w:sz w:val="22"/>
        </w:rPr>
        <w:t>Nghiên cứu có một số hạn chế: (1) thiết kế cắt ngang chưa khẳng định được quan hệ nhân quả theo chiều thời gian; (2) một số cấu trúc đo lường vẫn cần tiếp tục điều chỉnh để nâng cao tính ổn định; (3) phương pháp tự báo cáo có thể chịu ảnh hưởng của sai lệch xã hội; (4) phạm vi mẫu giới hạn trong 2 trường THCS tại Hà Nội; (5) mô hình chưa xem xét đầy đủ các biến trung gian và điều tiết.</w:t>
      </w:r>
    </w:p>
    <w:p>
      <w:pPr>
        <w:ind w:firstLine="425"/>
        <w:jc w:val="both"/>
      </w:pPr>
      <w:r>
        <w:rPr>
          <w:rFonts w:ascii="Times New Roman" w:hAnsi="Times New Roman"/>
          <w:b w:val="0"/>
          <w:i w:val="0"/>
          <w:sz w:val="22"/>
        </w:rPr>
        <w:t>Định hướng nghiên cứu tiếp theo: (1) thiết kế dọc theo thời gian; (2) hoàn thiện công cụ đo lường trên các mẫu khác nhau; (3) triển khai nghiên cứu thực nghiệm kiểm định hiệu quả Khung chương trình tập huấn phòng ngừa rối loạn lo âu trong bối cảnh học đường.</w:t>
      </w:r>
    </w:p>
    <w:p>
      <w:r>
        <w:br w:type="page"/>
      </w:r>
    </w:p>
    <w:p>
      <w:pPr>
        <w:spacing w:before="360" w:after="240"/>
        <w:jc w:val="center"/>
      </w:pPr>
      <w:r>
        <w:rPr>
          <w:rFonts w:ascii="Times New Roman" w:hAnsi="Times New Roman"/>
          <w:b/>
          <w:sz w:val="28"/>
        </w:rPr>
        <w:t>DANH MỤC CÔNG TRÌNH KHOA HỌC CỦA TÁC GIẢ ĐÃ CÔNG BỐ LIÊN QUAN ĐẾN LUẬN ÁN</w:t>
      </w:r>
    </w:p>
    <w:p>
      <w:pPr>
        <w:ind w:firstLine="425"/>
        <w:jc w:val="both"/>
      </w:pPr>
      <w:r>
        <w:rPr>
          <w:rFonts w:ascii="Times New Roman" w:hAnsi="Times New Roman"/>
          <w:b w:val="0"/>
          <w:i/>
          <w:sz w:val="20"/>
        </w:rPr>
        <w:t>[NCS cần điền danh sách bài báo đã đăng. Yêu cầu tối thiểu: 2 bài đăng tạp chí khoa học có chỉ số khoa học theo quy định của Bộ Giáo dục và Đào tạo và Trường Đại học Sư phạm Hà Nội.]</w:t>
      </w:r>
    </w:p>
    <w:p/>
    <w:p>
      <w:pPr>
        <w:jc w:val="both"/>
      </w:pPr>
      <w:r>
        <w:rPr>
          <w:rFonts w:ascii="Times New Roman" w:hAnsi="Times New Roman"/>
          <w:b w:val="0"/>
          <w:i w:val="0"/>
          <w:sz w:val="22"/>
        </w:rPr>
        <w:t>1. Công Thị Hằng. (20...). [Tên bài báo]. Tạp chí ......, tập ......, số ......, trang ........ DOI: .....................</w:t>
      </w:r>
    </w:p>
    <w:p/>
    <w:p>
      <w:pPr>
        <w:jc w:val="both"/>
      </w:pPr>
      <w:r>
        <w:rPr>
          <w:rFonts w:ascii="Times New Roman" w:hAnsi="Times New Roman"/>
          <w:b w:val="0"/>
          <w:i w:val="0"/>
          <w:sz w:val="22"/>
        </w:rPr>
        <w:t>2. Công Thị Hằng. (20...). [Tên bài báo]. Tạp chí ......, tập ......, số ......, trang ........ DOI: .....................</w:t>
      </w:r>
    </w:p>
    <w:p/>
    <w:p>
      <w:pPr>
        <w:jc w:val="both"/>
      </w:pPr>
      <w:r>
        <w:rPr>
          <w:rFonts w:ascii="Times New Roman" w:hAnsi="Times New Roman"/>
          <w:b w:val="0"/>
          <w:i w:val="0"/>
          <w:sz w:val="22"/>
        </w:rPr>
        <w:t>3. Công Thị Hằng. (20...). [Tên bài báo]. Tạp chí ......, tập ......, số ......, trang ........ DOI: .....................</w:t>
      </w:r>
    </w:p>
    <w:sectPr w:rsidR="00FC693F" w:rsidRPr="0006063C" w:rsidSect="00034616">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