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i w:val="0"/>
          <w:sz w:val="26"/>
        </w:rPr>
        <w:t>TRÍCH YẾU LUẬN ÁN</w:t>
      </w:r>
    </w:p>
    <w:p/>
    <w:p>
      <w:pPr>
        <w:spacing w:after="80"/>
        <w:jc w:val="left"/>
      </w:pPr>
      <w:r>
        <w:rPr>
          <w:rFonts w:ascii="Times New Roman" w:hAnsi="Times New Roman"/>
          <w:b/>
          <w:sz w:val="26"/>
        </w:rPr>
        <w:t xml:space="preserve">Tên đề tài: </w:t>
      </w:r>
      <w:r>
        <w:rPr>
          <w:rFonts w:ascii="Times New Roman" w:hAnsi="Times New Roman"/>
          <w:b/>
          <w:sz w:val="26"/>
        </w:rPr>
        <w:t>Rối loạn lo âu ở học sinh trung học cơ sở</w:t>
      </w:r>
    </w:p>
    <w:p>
      <w:pPr>
        <w:spacing w:after="80"/>
        <w:jc w:val="left"/>
      </w:pPr>
      <w:r>
        <w:rPr>
          <w:rFonts w:ascii="Times New Roman" w:hAnsi="Times New Roman"/>
          <w:b/>
          <w:sz w:val="26"/>
        </w:rPr>
        <w:t xml:space="preserve">Chuyên ngành: </w:t>
      </w:r>
      <w:r>
        <w:rPr>
          <w:rFonts w:ascii="Times New Roman" w:hAnsi="Times New Roman"/>
          <w:b/>
          <w:sz w:val="26"/>
        </w:rPr>
        <w:t>Tâm lý học chuyên ngành</w:t>
      </w:r>
    </w:p>
    <w:p>
      <w:pPr>
        <w:spacing w:after="80"/>
        <w:jc w:val="left"/>
      </w:pPr>
      <w:r>
        <w:rPr>
          <w:rFonts w:ascii="Times New Roman" w:hAnsi="Times New Roman"/>
          <w:b/>
          <w:sz w:val="26"/>
        </w:rPr>
        <w:t xml:space="preserve">Mã số: </w:t>
      </w:r>
      <w:r>
        <w:rPr>
          <w:rFonts w:ascii="Times New Roman" w:hAnsi="Times New Roman"/>
          <w:b/>
          <w:sz w:val="26"/>
        </w:rPr>
        <w:t>9310401</w:t>
      </w:r>
    </w:p>
    <w:p>
      <w:pPr>
        <w:spacing w:after="80"/>
        <w:jc w:val="left"/>
      </w:pPr>
      <w:r>
        <w:rPr>
          <w:rFonts w:ascii="Times New Roman" w:hAnsi="Times New Roman"/>
          <w:b/>
          <w:sz w:val="26"/>
        </w:rPr>
        <w:t xml:space="preserve">Nghiên cứu sinh: </w:t>
      </w:r>
      <w:r>
        <w:rPr>
          <w:rFonts w:ascii="Times New Roman" w:hAnsi="Times New Roman"/>
          <w:b/>
          <w:sz w:val="26"/>
        </w:rPr>
        <w:tab/>
        <w:tab/>
        <w:t>Công Thị Hằng</w:t>
      </w:r>
    </w:p>
    <w:p>
      <w:pPr>
        <w:spacing w:after="80"/>
        <w:jc w:val="left"/>
      </w:pPr>
      <w:r>
        <w:rPr>
          <w:rFonts w:ascii="Times New Roman" w:hAnsi="Times New Roman"/>
          <w:b/>
          <w:sz w:val="26"/>
        </w:rPr>
        <w:t xml:space="preserve">Cán bộ hướng dẫn: </w:t>
      </w:r>
      <w:r>
        <w:rPr>
          <w:rFonts w:ascii="Times New Roman" w:hAnsi="Times New Roman"/>
          <w:b/>
          <w:sz w:val="26"/>
        </w:rPr>
        <w:tab/>
        <w:tab/>
        <w:t>TS. Đào Minh Đức</w:t>
      </w:r>
    </w:p>
    <w:p>
      <w:pPr>
        <w:spacing w:after="80"/>
        <w:jc w:val="left"/>
      </w:pPr>
      <w:r>
        <w:rPr>
          <w:rFonts w:ascii="Times New Roman" w:hAnsi="Times New Roman"/>
          <w:b/>
          <w:sz w:val="26"/>
        </w:rPr>
        <w:t xml:space="preserve">Cơ sở đào tạo: </w:t>
      </w:r>
      <w:r>
        <w:rPr>
          <w:rFonts w:ascii="Times New Roman" w:hAnsi="Times New Roman"/>
          <w:b/>
          <w:sz w:val="26"/>
        </w:rPr>
        <w:t>Trường Đại học Sư phạm Hà Nội</w:t>
      </w:r>
    </w:p>
    <w:p/>
    <w:p>
      <w:pPr>
        <w:spacing w:after="200"/>
        <w:jc w:val="center"/>
      </w:pPr>
      <w:r>
        <w:rPr>
          <w:rFonts w:ascii="Times New Roman" w:hAnsi="Times New Roman"/>
          <w:b/>
          <w:i w:val="0"/>
          <w:sz w:val="26"/>
        </w:rPr>
        <w:t>Những kết luận mới của luận án</w:t>
      </w:r>
    </w:p>
    <w:p>
      <w:pPr>
        <w:spacing w:after="120"/>
        <w:jc w:val="both"/>
      </w:pPr>
      <w:r>
        <w:rPr>
          <w:rFonts w:ascii="Times New Roman" w:hAnsi="Times New Roman"/>
          <w:b/>
          <w:sz w:val="26"/>
        </w:rPr>
        <w:t>Đóng góp về mặt lý luận</w:t>
      </w:r>
    </w:p>
    <w:p>
      <w:pPr>
        <w:spacing w:after="120"/>
        <w:ind w:firstLine="425"/>
        <w:jc w:val="both"/>
      </w:pPr>
      <w:r>
        <w:rPr>
          <w:rFonts w:ascii="Times New Roman" w:hAnsi="Times New Roman"/>
          <w:b w:val="0"/>
          <w:i w:val="0"/>
          <w:sz w:val="26"/>
        </w:rPr>
        <w:t>Luận án đã hệ thống hóa và làm rõ cơ sở lý luận về rối loạn lo âu ở học sinh trung học cơ sở theo hướng tiếp cận đa chiều, bao gồm ba dạng rối loạn lo âu phổ biến nhất ở trẻ vị thành niên theo phân loại DSM-5 (rối loạn lo âu tổng quát, rối loạn lo âu xã hội và rối loạn lo âu chia ly). Đồng thời, nghiên cứu xác lập rối loạn lo âu như một hệ thống đa thành phần, bao gồm các khía cạnh nhận thức, cảm xúc, sinh lý và hành vi, qua đó làm rõ đặc điểm tâm lý đặc thù của lứa tuổi học sinh trung học cơ sở trong giai đoạn phát triển dậy thì — giai đoạn có nhiều biến đổi về nhận thức bản thân và quan hệ xã hội.</w:t>
      </w:r>
    </w:p>
    <w:p>
      <w:pPr>
        <w:spacing w:after="120"/>
        <w:ind w:firstLine="425"/>
        <w:jc w:val="both"/>
      </w:pPr>
      <w:r>
        <w:rPr>
          <w:rFonts w:ascii="Times New Roman" w:hAnsi="Times New Roman"/>
          <w:b w:val="0"/>
          <w:i w:val="0"/>
          <w:sz w:val="26"/>
        </w:rPr>
        <w:t>Bên cạnh đó, luận án xác lập mô hình mối quan hệ giữa rối loạn lo âu với hệ thống các yếu tố ảnh hưởng, bao gồm ba nhóm yếu tố nguy cơ (áp lực học tập, nghiện điện thoại, bắt nạt học đường), bốn nhóm yếu tố bảo vệ (lòng tự trọng, gắn bó trường học, hỗ trợ của cha mẹ, hỗ trợ của bạn bè) và biện pháp đối phó của học sinh. Đóng góp này góp phần lấp đầy khoảng trống nghiên cứu về phương pháp luận trong lĩnh vực sức khỏe tâm thần học đường ở Việt Nam, đặc biệt ở quy trình kiểm định chất lượng công cụ đo lường và chuẩn hóa thang đo phù hợp với ngôn ngữ, văn hóa Việt Nam.</w:t>
      </w:r>
    </w:p>
    <w:p>
      <w:pPr>
        <w:spacing w:after="120"/>
        <w:jc w:val="both"/>
      </w:pPr>
      <w:r>
        <w:rPr>
          <w:rFonts w:ascii="Times New Roman" w:hAnsi="Times New Roman"/>
          <w:b/>
          <w:sz w:val="26"/>
        </w:rPr>
        <w:t>Đóng góp về mặt thực tiễn</w:t>
      </w:r>
    </w:p>
    <w:p>
      <w:pPr>
        <w:spacing w:after="120"/>
        <w:ind w:firstLine="425"/>
        <w:jc w:val="both"/>
      </w:pPr>
      <w:r>
        <w:rPr>
          <w:rFonts w:ascii="Times New Roman" w:hAnsi="Times New Roman"/>
          <w:b w:val="0"/>
          <w:i w:val="0"/>
          <w:sz w:val="26"/>
        </w:rPr>
        <w:t>Về phương pháp đo lường, luận án đã hiệu chỉnh và kiểm định độ tin cậy, độ giá trị của tám thang đo tâm lý (RCADS, ESSA, MPAS, MPVS, PSSM, MSPSS, Brief COPE và Rosenberg) thông qua các chỉ số Cronbach's alpha, McDonald's omega và phân tích nhân tố khẳng định (CFA). Các thang đo đều đạt ngưỡng chấp nhận, tạo ra một bộ công cụ đo lường có độ ổn định và độ tin cậy cao, phù hợp với bối cảnh học sinh trung học cơ sở tại Việt Nam và là tiền đề cho các nghiên cứu tiếp theo trong lĩnh vực sức khỏe tâm thần học đường.</w:t>
      </w:r>
    </w:p>
    <w:p>
      <w:pPr>
        <w:spacing w:after="120"/>
        <w:ind w:firstLine="425"/>
        <w:jc w:val="both"/>
      </w:pPr>
      <w:r>
        <w:rPr>
          <w:rFonts w:ascii="Times New Roman" w:hAnsi="Times New Roman"/>
          <w:b w:val="0"/>
          <w:i w:val="0"/>
          <w:sz w:val="26"/>
        </w:rPr>
        <w:t>Kết quả nghiên cứu thực trạng trên mẫu 1.352 học sinh trung học cơ sở tại Hà Nội đã kiểm chứng thành công ba giả thuyết khoa học: (1) học sinh nữ có mức độ rối loạn lo âu tổng quát và rối loạn lo âu xã hội cao hơn học sinh nam, trong khi rối loạn lo âu chia ly không có khác biệt theo giới tính (F = 0,246; p &gt; 0,05); (2) lòng tự trọng là yếu tố bảo vệ có cường độ tác động mạnh, tương đương khoảng 86% so với áp lực học tập trong mô hình phương trình cấu trúc (SEM); (3) ba nhóm yếu tố nguy cơ có thứ tự cường độ tác động từ cao xuống thấp là: áp lực học tập &gt; nghiện điện thoại &gt; bắt nạt thể chất. Bên cạnh đó, nghiên cứu phát hiện các chiến lược đối phó hiện tại của học sinh trung học cơ sở chưa thực sự hiệu quả, thể hiện qua xu hướng gia tăng triệu chứng rối loạn lo âu khi mức độ sử dụng các biện pháp đối phó tăng — cho thấy cần định hướng học sinh chuyển từ phản ứng né tránh sang các chiến lược chủ động như giải quyết vấn đề và tìm kiếm hỗ trợ xã hội.</w:t>
      </w:r>
    </w:p>
    <w:p>
      <w:pPr>
        <w:spacing w:after="120"/>
        <w:ind w:firstLine="425"/>
        <w:jc w:val="both"/>
      </w:pPr>
      <w:r>
        <w:rPr>
          <w:rFonts w:ascii="Times New Roman" w:hAnsi="Times New Roman"/>
          <w:b w:val="0"/>
          <w:i w:val="0"/>
          <w:sz w:val="26"/>
        </w:rPr>
        <w:t>Trên cơ sở các phát hiện thực nghiệm, luận án đề xuất Khung chương trình tập huấn phòng ngừa rối loạn lo âu cho học sinh trung học cơ sở gồm 8 nội dung cơ bản, đáp ứng yêu cầu cấp thiết hiện nay về chăm sóc sức khỏe tâm thần học đường ở Việt Nam. Khung chương trình này cung cấp cơ sở khoa học cho các kiến nghị can thiệp đối với học sinh, giáo viên, gia đình và các lực lượng hỗ trợ học đường (chuyên viên tâm lý, phòng tư vấn học đường, đoàn thanh niên, các câu lạc bộ), đồng thời là tài liệu tham khảo có giá trị cho giáo viên, chuyên viên tâm lý học đường và nhà quản lý giáo dục trong công tác phòng ngừa và hỗ trợ học sinh có biểu hiện rối loạn lo âu.</w:t>
      </w:r>
    </w:p>
    <w:p/>
    <w:tbl>
      <w:tblPr>
        <w:tblW w:type="auto" w:w="0"/>
        <w:tblLayout w:type="autofit"/>
        <w:tblLook w:firstColumn="1" w:firstRow="1" w:lastColumn="0" w:lastRow="0" w:noHBand="0" w:noVBand="1" w:val="04A0"/>
      </w:tblPr>
      <w:tblGrid>
        <w:gridCol w:w="4513"/>
        <w:gridCol w:w="4513"/>
      </w:tblGrid>
      <w:tr>
        <w:tc>
          <w:tcPr>
            <w:tcW w:type="dxa" w:w="4513"/>
          </w:tcPr>
          <w:p>
            <w:pPr>
              <w:jc w:val="center"/>
            </w:pPr>
            <w:r/>
            <w:r>
              <w:rPr>
                <w:rFonts w:ascii="Times New Roman" w:hAnsi="Times New Roman"/>
                <w:b/>
                <w:sz w:val="26"/>
              </w:rPr>
              <w:t>Người hướng dẫn</w:t>
            </w:r>
          </w:p>
          <w:p>
            <w:pPr>
              <w:jc w:val="center"/>
            </w:pPr>
            <w:r>
              <w:rPr>
                <w:rFonts w:ascii="Times New Roman" w:hAnsi="Times New Roman"/>
                <w:sz w:val="26"/>
              </w:rPr>
            </w:r>
          </w:p>
          <w:p>
            <w:pPr>
              <w:jc w:val="center"/>
            </w:pPr>
            <w:r>
              <w:rPr>
                <w:rFonts w:ascii="Times New Roman" w:hAnsi="Times New Roman"/>
                <w:sz w:val="26"/>
              </w:rPr>
            </w:r>
          </w:p>
          <w:p>
            <w:pPr>
              <w:jc w:val="center"/>
            </w:pPr>
            <w:r>
              <w:rPr>
                <w:rFonts w:ascii="Times New Roman" w:hAnsi="Times New Roman"/>
                <w:sz w:val="26"/>
              </w:rPr>
            </w:r>
          </w:p>
          <w:p>
            <w:pPr>
              <w:jc w:val="center"/>
            </w:pPr>
            <w:r>
              <w:rPr>
                <w:rFonts w:ascii="Times New Roman" w:hAnsi="Times New Roman"/>
                <w:b/>
                <w:sz w:val="26"/>
              </w:rPr>
              <w:t>TS. Đào Minh Đức</w:t>
            </w:r>
          </w:p>
        </w:tc>
        <w:tc>
          <w:tcPr>
            <w:tcW w:type="dxa" w:w="4513"/>
          </w:tcPr>
          <w:p>
            <w:pPr>
              <w:jc w:val="center"/>
            </w:pPr>
            <w:r/>
            <w:r>
              <w:rPr>
                <w:rFonts w:ascii="Times New Roman" w:hAnsi="Times New Roman"/>
                <w:b/>
                <w:sz w:val="26"/>
              </w:rPr>
              <w:t>Nghiên cứu sinh</w:t>
            </w:r>
          </w:p>
          <w:p>
            <w:pPr>
              <w:jc w:val="center"/>
            </w:pPr>
            <w:r>
              <w:rPr>
                <w:rFonts w:ascii="Times New Roman" w:hAnsi="Times New Roman"/>
                <w:sz w:val="26"/>
              </w:rPr>
            </w:r>
          </w:p>
          <w:p>
            <w:pPr>
              <w:jc w:val="center"/>
            </w:pPr>
            <w:r>
              <w:rPr>
                <w:rFonts w:ascii="Times New Roman" w:hAnsi="Times New Roman"/>
                <w:sz w:val="26"/>
              </w:rPr>
            </w:r>
          </w:p>
          <w:p>
            <w:pPr>
              <w:jc w:val="center"/>
            </w:pPr>
            <w:r>
              <w:rPr>
                <w:rFonts w:ascii="Times New Roman" w:hAnsi="Times New Roman"/>
                <w:sz w:val="26"/>
              </w:rPr>
            </w:r>
          </w:p>
          <w:p>
            <w:pPr>
              <w:jc w:val="center"/>
            </w:pPr>
            <w:r>
              <w:rPr>
                <w:rFonts w:ascii="Times New Roman" w:hAnsi="Times New Roman"/>
                <w:b/>
                <w:sz w:val="26"/>
              </w:rPr>
              <w:t>Công Thị Hằng</w:t>
            </w:r>
          </w:p>
        </w:tc>
      </w:tr>
    </w:tbl>
    <w:p>
      <w:r>
        <w:br w:type="page"/>
      </w:r>
    </w:p>
    <w:p>
      <w:pPr>
        <w:spacing w:after="240"/>
        <w:jc w:val="center"/>
      </w:pPr>
      <w:r>
        <w:rPr>
          <w:rFonts w:ascii="Times New Roman" w:hAnsi="Times New Roman"/>
          <w:b/>
          <w:i w:val="0"/>
          <w:sz w:val="26"/>
        </w:rPr>
        <w:t>DISSERTATION ABSTRACT</w:t>
      </w:r>
    </w:p>
    <w:p/>
    <w:p>
      <w:pPr>
        <w:spacing w:after="80"/>
        <w:jc w:val="left"/>
      </w:pPr>
      <w:r>
        <w:rPr>
          <w:rFonts w:ascii="Times New Roman" w:hAnsi="Times New Roman"/>
          <w:b/>
          <w:sz w:val="26"/>
        </w:rPr>
        <w:t xml:space="preserve">Title: </w:t>
      </w:r>
      <w:r>
        <w:rPr>
          <w:rFonts w:ascii="Times New Roman" w:hAnsi="Times New Roman"/>
          <w:b/>
          <w:sz w:val="26"/>
        </w:rPr>
        <w:t>Anxiety Disorders among Lower Secondary School Students</w:t>
      </w:r>
    </w:p>
    <w:p>
      <w:pPr>
        <w:spacing w:after="80"/>
        <w:jc w:val="left"/>
      </w:pPr>
      <w:r>
        <w:rPr>
          <w:rFonts w:ascii="Times New Roman" w:hAnsi="Times New Roman"/>
          <w:b/>
          <w:sz w:val="26"/>
        </w:rPr>
        <w:t xml:space="preserve">Speciality: </w:t>
      </w:r>
      <w:r>
        <w:rPr>
          <w:rFonts w:ascii="Times New Roman" w:hAnsi="Times New Roman"/>
          <w:b/>
          <w:sz w:val="26"/>
        </w:rPr>
        <w:t>Psychology</w:t>
      </w:r>
    </w:p>
    <w:p>
      <w:pPr>
        <w:spacing w:after="80"/>
        <w:jc w:val="left"/>
      </w:pPr>
      <w:r>
        <w:rPr>
          <w:rFonts w:ascii="Times New Roman" w:hAnsi="Times New Roman"/>
          <w:b/>
          <w:sz w:val="26"/>
        </w:rPr>
        <w:t xml:space="preserve">Classification: </w:t>
      </w:r>
      <w:r>
        <w:rPr>
          <w:rFonts w:ascii="Times New Roman" w:hAnsi="Times New Roman"/>
          <w:b/>
          <w:sz w:val="26"/>
        </w:rPr>
        <w:t>9310401</w:t>
      </w:r>
    </w:p>
    <w:p>
      <w:pPr>
        <w:spacing w:after="80"/>
        <w:jc w:val="left"/>
      </w:pPr>
      <w:r>
        <w:rPr>
          <w:rFonts w:ascii="Times New Roman" w:hAnsi="Times New Roman"/>
          <w:b/>
          <w:sz w:val="26"/>
        </w:rPr>
        <w:t xml:space="preserve">Name of PhD Student: </w:t>
      </w:r>
      <w:r>
        <w:rPr>
          <w:rFonts w:ascii="Times New Roman" w:hAnsi="Times New Roman"/>
          <w:b/>
          <w:sz w:val="26"/>
        </w:rPr>
        <w:tab/>
        <w:tab/>
        <w:t>Cong Thi Hang</w:t>
      </w:r>
    </w:p>
    <w:p>
      <w:pPr>
        <w:spacing w:after="80"/>
        <w:jc w:val="left"/>
      </w:pPr>
      <w:r>
        <w:rPr>
          <w:rFonts w:ascii="Times New Roman" w:hAnsi="Times New Roman"/>
          <w:b/>
          <w:sz w:val="26"/>
        </w:rPr>
        <w:t xml:space="preserve">Advisor: </w:t>
      </w:r>
      <w:r>
        <w:rPr>
          <w:rFonts w:ascii="Times New Roman" w:hAnsi="Times New Roman"/>
          <w:b/>
          <w:sz w:val="26"/>
        </w:rPr>
        <w:tab/>
        <w:tab/>
        <w:t>Dr. Dao Minh Duc</w:t>
      </w:r>
    </w:p>
    <w:p>
      <w:pPr>
        <w:spacing w:after="80"/>
        <w:jc w:val="left"/>
      </w:pPr>
      <w:r>
        <w:rPr>
          <w:rFonts w:ascii="Times New Roman" w:hAnsi="Times New Roman"/>
          <w:b/>
          <w:sz w:val="26"/>
        </w:rPr>
        <w:t xml:space="preserve">Institutional: </w:t>
      </w:r>
      <w:r>
        <w:rPr>
          <w:rFonts w:ascii="Times New Roman" w:hAnsi="Times New Roman"/>
          <w:b/>
          <w:sz w:val="26"/>
        </w:rPr>
        <w:t>Hanoi National University of Education</w:t>
      </w:r>
    </w:p>
    <w:p/>
    <w:p>
      <w:pPr>
        <w:spacing w:after="200"/>
        <w:jc w:val="center"/>
      </w:pPr>
      <w:r>
        <w:rPr>
          <w:rFonts w:ascii="Times New Roman" w:hAnsi="Times New Roman"/>
          <w:b/>
          <w:i w:val="0"/>
          <w:sz w:val="26"/>
        </w:rPr>
        <w:t>New conclusions</w:t>
      </w:r>
    </w:p>
    <w:p>
      <w:pPr>
        <w:spacing w:after="120"/>
        <w:jc w:val="both"/>
      </w:pPr>
      <w:r>
        <w:rPr>
          <w:rFonts w:ascii="Times New Roman" w:hAnsi="Times New Roman"/>
          <w:b/>
          <w:i/>
          <w:sz w:val="26"/>
        </w:rPr>
        <w:t>Theoretical contribution</w:t>
      </w:r>
    </w:p>
    <w:p>
      <w:pPr>
        <w:spacing w:after="120"/>
        <w:ind w:firstLine="425"/>
        <w:jc w:val="both"/>
      </w:pPr>
      <w:r>
        <w:rPr>
          <w:rFonts w:ascii="Times New Roman" w:hAnsi="Times New Roman"/>
          <w:b w:val="0"/>
          <w:i w:val="0"/>
          <w:sz w:val="26"/>
        </w:rPr>
        <w:t>The dissertation has systematized and clarified the theoretical foundations of anxiety disorders among lower secondary school students through a multidimensional approach, encompassing the three most prevalent anxiety disorder types in adolescents according to the DSM-5 classification: generalized anxiety disorder, social anxiety disorder, and separation anxiety disorder. Furthermore, the study conceptualizes anxiety disorders as a multi-component system comprising cognitive, emotional, physiological, and behavioral dimensions, thereby illuminating the distinctive psychological characteristics of lower secondary school students during the pubertal developmental stage — a period marked by substantial transformations in self-perception and social relationships.</w:t>
      </w:r>
    </w:p>
    <w:p>
      <w:pPr>
        <w:spacing w:after="120"/>
        <w:ind w:firstLine="425"/>
        <w:jc w:val="both"/>
      </w:pPr>
      <w:r>
        <w:rPr>
          <w:rFonts w:ascii="Times New Roman" w:hAnsi="Times New Roman"/>
          <w:b w:val="0"/>
          <w:i w:val="0"/>
          <w:sz w:val="26"/>
        </w:rPr>
        <w:t>In addition, the dissertation establishes a model of the relationships between anxiety disorders and a system of influencing factors, including three risk factor groups (academic pressure, smartphone addiction, school bullying), four protective factor groups (self-esteem, school engagement, parental support, peer support), and students' coping strategies. This contribution helps fill the methodological gap in the field of school-based mental health research in Vietnam, particularly regarding the validation procedures for measurement instruments and the standardization of psychological scales to align with the Vietnamese language and cultural context.</w:t>
      </w:r>
    </w:p>
    <w:p>
      <w:pPr>
        <w:spacing w:after="120"/>
        <w:jc w:val="both"/>
      </w:pPr>
      <w:r>
        <w:rPr>
          <w:rFonts w:ascii="Times New Roman" w:hAnsi="Times New Roman"/>
          <w:b/>
          <w:i/>
          <w:sz w:val="26"/>
        </w:rPr>
        <w:t>Practical contributions</w:t>
      </w:r>
    </w:p>
    <w:p>
      <w:pPr>
        <w:spacing w:after="120"/>
        <w:ind w:firstLine="425"/>
        <w:jc w:val="both"/>
      </w:pPr>
      <w:r>
        <w:rPr>
          <w:rFonts w:ascii="Times New Roman" w:hAnsi="Times New Roman"/>
          <w:b w:val="0"/>
          <w:i w:val="0"/>
          <w:sz w:val="26"/>
        </w:rPr>
        <w:t>Methodologically, the dissertation has adapted and validated the reliability and validity of eight psychological scales (RCADS, ESSA, MPAS, MPVS, PSSM, MSPSS, Brief COPE, and Rosenberg) through Cronbach's alpha, McDonald's omega, and confirmatory factor analysis (CFA). All scales attained acceptable thresholds, thereby establishing a measurement toolkit with high stability and reliability suitable for the lower secondary school context in Vietnam and laying the groundwork for subsequent research in the field of school-based mental health.</w:t>
      </w:r>
    </w:p>
    <w:p>
      <w:pPr>
        <w:spacing w:after="120"/>
        <w:ind w:firstLine="425"/>
        <w:jc w:val="both"/>
      </w:pPr>
      <w:r>
        <w:rPr>
          <w:rFonts w:ascii="Times New Roman" w:hAnsi="Times New Roman"/>
          <w:b w:val="0"/>
          <w:i w:val="0"/>
          <w:sz w:val="26"/>
        </w:rPr>
        <w:t>The empirical findings from a sample of 1,352 lower secondary school students in Hanoi successfully confirmed three scientific hypotheses: (1) female students exhibit higher levels of generalized anxiety disorder and social anxiety disorder than male students, whereas separation anxiety shows no significant gender differences (F = 0.246; p &gt; 0.05); (2) self-esteem serves as a protective factor with a strong magnitude, approximately 86% comparable to academic pressure within the structural equation model (SEM); (3) the three risk factor groups, in descending order of magnitude, are: academic pressure &gt; smartphone addiction &gt; physical bullying. Additionally, the study reveals that the current coping strategies of lower secondary school students are not yet sufficiently effective, evidenced by the upward trend in anxiety symptoms accompanying increased use of coping behaviors — indicating the need to guide students from avoidance reactions toward proactive strategies such as problem-solving and social support seeking.</w:t>
      </w:r>
    </w:p>
    <w:p>
      <w:pPr>
        <w:spacing w:after="120"/>
        <w:ind w:firstLine="425"/>
        <w:jc w:val="both"/>
      </w:pPr>
      <w:r>
        <w:rPr>
          <w:rFonts w:ascii="Times New Roman" w:hAnsi="Times New Roman"/>
          <w:b w:val="0"/>
          <w:i w:val="0"/>
          <w:sz w:val="26"/>
        </w:rPr>
        <w:t>Building upon these empirical findings, the dissertation proposes an Eight-Component Framework for the Prevention of Anxiety Disorders among lower secondary school students, addressing the urgent contemporary need for school-based mental health care in Vietnam. This framework provides a scientific basis for intervention recommendations targeting students, teachers, families, and school support personnel (school psychologists, school counseling offices, youth unions, student clubs), while also serving as a valuable reference document for teachers, school psychologists, and education administrators in the prevention of and support for students manifesting anxiety symptoms.</w:t>
      </w:r>
    </w:p>
    <w:p/>
    <w:tbl>
      <w:tblPr>
        <w:tblW w:type="auto" w:w="0"/>
        <w:tblLayout w:type="autofit"/>
        <w:tblLook w:firstColumn="1" w:firstRow="1" w:lastColumn="0" w:lastRow="0" w:noHBand="0" w:noVBand="1" w:val="04A0"/>
      </w:tblPr>
      <w:tblGrid>
        <w:gridCol w:w="4513"/>
        <w:gridCol w:w="4513"/>
      </w:tblGrid>
      <w:tr>
        <w:tc>
          <w:tcPr>
            <w:tcW w:type="dxa" w:w="4513"/>
          </w:tcPr>
          <w:p>
            <w:pPr>
              <w:jc w:val="center"/>
            </w:pPr>
            <w:r/>
            <w:r>
              <w:rPr>
                <w:rFonts w:ascii="Times New Roman" w:hAnsi="Times New Roman"/>
                <w:b/>
                <w:sz w:val="26"/>
              </w:rPr>
              <w:t>Advisor</w:t>
            </w:r>
          </w:p>
          <w:p>
            <w:pPr>
              <w:jc w:val="center"/>
            </w:pPr>
            <w:r>
              <w:rPr>
                <w:rFonts w:ascii="Times New Roman" w:hAnsi="Times New Roman"/>
                <w:sz w:val="26"/>
              </w:rPr>
            </w:r>
          </w:p>
          <w:p>
            <w:pPr>
              <w:jc w:val="center"/>
            </w:pPr>
            <w:r>
              <w:rPr>
                <w:rFonts w:ascii="Times New Roman" w:hAnsi="Times New Roman"/>
                <w:sz w:val="26"/>
              </w:rPr>
            </w:r>
          </w:p>
          <w:p>
            <w:pPr>
              <w:jc w:val="center"/>
            </w:pPr>
            <w:r>
              <w:rPr>
                <w:rFonts w:ascii="Times New Roman" w:hAnsi="Times New Roman"/>
                <w:sz w:val="26"/>
              </w:rPr>
            </w:r>
          </w:p>
          <w:p>
            <w:pPr>
              <w:jc w:val="center"/>
            </w:pPr>
            <w:r>
              <w:rPr>
                <w:rFonts w:ascii="Times New Roman" w:hAnsi="Times New Roman"/>
                <w:b/>
                <w:sz w:val="26"/>
              </w:rPr>
              <w:t>Dr. Dao Minh Duc</w:t>
            </w:r>
          </w:p>
        </w:tc>
        <w:tc>
          <w:tcPr>
            <w:tcW w:type="dxa" w:w="4513"/>
          </w:tcPr>
          <w:p>
            <w:pPr>
              <w:jc w:val="center"/>
            </w:pPr>
            <w:r/>
            <w:r>
              <w:rPr>
                <w:rFonts w:ascii="Times New Roman" w:hAnsi="Times New Roman"/>
                <w:b/>
                <w:sz w:val="26"/>
              </w:rPr>
              <w:t>PhD Candidate</w:t>
            </w:r>
          </w:p>
          <w:p>
            <w:pPr>
              <w:jc w:val="center"/>
            </w:pPr>
            <w:r>
              <w:rPr>
                <w:rFonts w:ascii="Times New Roman" w:hAnsi="Times New Roman"/>
                <w:sz w:val="26"/>
              </w:rPr>
            </w:r>
          </w:p>
          <w:p>
            <w:pPr>
              <w:jc w:val="center"/>
            </w:pPr>
            <w:r>
              <w:rPr>
                <w:rFonts w:ascii="Times New Roman" w:hAnsi="Times New Roman"/>
                <w:sz w:val="26"/>
              </w:rPr>
            </w:r>
          </w:p>
          <w:p>
            <w:pPr>
              <w:jc w:val="center"/>
            </w:pPr>
            <w:r>
              <w:rPr>
                <w:rFonts w:ascii="Times New Roman" w:hAnsi="Times New Roman"/>
                <w:sz w:val="26"/>
              </w:rPr>
            </w:r>
          </w:p>
          <w:p>
            <w:pPr>
              <w:jc w:val="center"/>
            </w:pPr>
            <w:r>
              <w:rPr>
                <w:rFonts w:ascii="Times New Roman" w:hAnsi="Times New Roman"/>
                <w:b/>
                <w:sz w:val="26"/>
              </w:rPr>
              <w:t>Cong Thi Hang</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