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QT012 — Gánh nặng 10 rối loạn tâm thần tại ASEAN 1990–2021</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"Epidemiology and burden of 10 mental disorders across the Association of Southeast Asian Nations, 1990–2021: findings from the Global Burden of Disease Study 2021" của GBD 2021 ASEAN Collaborators (2025), đăng trên The Lancet Public Health vol. 10, tr. e480, 06/2025. DOI 10.1016/S2468-2667(25)00098-2. Đây là phân tích đại diện cho 10 quốc gia ASEAN (Brunei, Campuchia, Indonesia, Lào, Malaysia, Myanmar, Philippines, Singapore, Thái Lan, Việt Nam) về dịch tễ 10 rối loạn tâm thần, sử dụng dữ liệu GBD 2021 với DisMod-MR 2.1 (hồi quy siêu phân tích Bayes).</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Phân tích dữ liệu GBD 2021 cho 10 rối loạn: trầm cảm, lo âu, lưỡng cực, tâm thần phân liệt, tự kỷ, rối loạn hành vi, ADHD, rối loạn ăn uống, khuyết tật trí tuệ phát triển tự phát và các rối loạn tâm thần khác. Định nghĩa ca bệnh theo DSM hoặc ICD. Các chỉ số chính: YLDs, YLLs, DALYs với khoảng bất định 95% UIs. Phân tích theo tuổi, giới tính, năm (1990–2021) và địa điểm (10 quốc gia ASEAN).</w:t>
      </w:r>
    </w:p>
    <w:p>
      <w:pPr>
        <w:pStyle w:val="Heading2"/>
      </w:pPr>
      <w:r>
        <w:rPr>
          <w:rFonts w:ascii="Times New Roman" w:hAnsi="Times New Roman"/>
          <w:color w:val="000000"/>
        </w:rPr>
        <w:t>Kết quả nghiên cứu</w:t>
      </w:r>
    </w:p>
    <w:p>
      <w:pPr>
        <w:jc w:val="both"/>
      </w:pPr>
      <w:r>
        <w:rPr>
          <w:rFonts w:ascii="Times New Roman" w:hAnsi="Times New Roman"/>
          <w:b w:val="0"/>
          <w:i/>
          <w:sz w:val="24"/>
        </w:rPr>
        <w:t>Vào năm 2021, tổng cộng có 80,4 triệu (UI 73,8–87,2) trường hợp rối loạn tâm thần tại ASEAN — tăng 70% kể từ 1990. Gánh nặng DALYs đạt 11,2 triệu (UI 8,54–14,3) năm sống điều chỉnh theo khuyết tật. Tỷ lệ hiện mắc rối loạn tâm thần khác nhau giữa các quốc gia: Việt Nam 10,1%, Malaysia 13,2%.</w:t>
      </w:r>
    </w:p>
    <w:p>
      <w:pPr>
        <w:jc w:val="both"/>
      </w:pPr>
      <w:r>
        <w:rPr>
          <w:rFonts w:ascii="Times New Roman" w:hAnsi="Times New Roman"/>
          <w:b/>
          <w:i w:val="0"/>
          <w:sz w:val="24"/>
        </w:rPr>
        <w:t>Phát hiện đáng chú ý: Trong nhóm tuổi 10–14, rối loạn tâm thần chiếm 16,3% tổng DALYs — ghi nhận VTN châu Á là nhóm dễ tổn thương đặc biệt.</w:t>
      </w:r>
    </w:p>
    <w:tbl>
      <w:tblPr>
        <w:tblStyle w:val="TableGrid"/>
        <w:tblW w:type="auto" w:w="0"/>
        <w:jc w:val="center"/>
        <w:tblLook w:firstColumn="1" w:firstRow="1" w:lastColumn="0" w:lastRow="0" w:noHBand="0" w:noVBand="1" w:val="04A0"/>
        <w:tblLayout w:type="fixed"/>
      </w:tblPr>
      <w:tblGrid>
        <w:gridCol w:w="2835"/>
        <w:gridCol w:w="2835"/>
        <w:gridCol w:w="3118"/>
      </w:tblGrid>
      <w:tr>
        <w:tc>
          <w:tcPr>
            <w:tcW w:w="2835" w:type="dxa"/>
            <w:shd w:fill="D9E2F3" w:val="clear"/>
          </w:tcPr>
          <w:p>
            <w:pPr>
              <w:jc w:val="center"/>
            </w:pPr>
            <w:r>
              <w:rPr>
                <w:rFonts w:ascii="Times New Roman" w:hAnsi="Times New Roman"/>
                <w:b/>
                <w:sz w:val="20"/>
              </w:rPr>
              <w:t>Chỉ số</w:t>
            </w:r>
          </w:p>
        </w:tc>
        <w:tc>
          <w:tcPr>
            <w:tcW w:w="2835" w:type="dxa"/>
            <w:shd w:fill="D9E2F3" w:val="clear"/>
          </w:tcPr>
          <w:p>
            <w:pPr>
              <w:jc w:val="center"/>
            </w:pPr>
            <w:r>
              <w:rPr>
                <w:rFonts w:ascii="Times New Roman" w:hAnsi="Times New Roman"/>
                <w:b/>
                <w:sz w:val="20"/>
              </w:rPr>
              <w:t>Giá trị 2021</w:t>
            </w:r>
          </w:p>
        </w:tc>
        <w:tc>
          <w:tcPr>
            <w:tcW w:w="3118" w:type="dxa"/>
            <w:shd w:fill="D9E2F3" w:val="clear"/>
          </w:tcPr>
          <w:p>
            <w:pPr>
              <w:jc w:val="center"/>
            </w:pPr>
            <w:r>
              <w:rPr>
                <w:rFonts w:ascii="Times New Roman" w:hAnsi="Times New Roman"/>
                <w:b/>
                <w:sz w:val="20"/>
              </w:rPr>
              <w:t>Ghi chú</w:t>
            </w:r>
          </w:p>
        </w:tc>
      </w:tr>
      <w:tr>
        <w:tc>
          <w:tcPr>
            <w:tcW w:w="2835" w:type="dxa"/>
          </w:tcPr>
          <w:p>
            <w:r>
              <w:rPr>
                <w:rFonts w:ascii="Times New Roman" w:hAnsi="Times New Roman"/>
                <w:sz w:val="20"/>
              </w:rPr>
              <w:t>Tổng số ca mắc</w:t>
            </w:r>
          </w:p>
        </w:tc>
        <w:tc>
          <w:tcPr>
            <w:tcW w:w="2835" w:type="dxa"/>
          </w:tcPr>
          <w:p>
            <w:r>
              <w:rPr>
                <w:rFonts w:ascii="Times New Roman" w:hAnsi="Times New Roman"/>
                <w:sz w:val="20"/>
              </w:rPr>
              <w:t>80,4 triệu (73,8–87,2)</w:t>
            </w:r>
          </w:p>
        </w:tc>
        <w:tc>
          <w:tcPr>
            <w:tcW w:w="3118" w:type="dxa"/>
          </w:tcPr>
          <w:p>
            <w:r>
              <w:rPr>
                <w:rFonts w:ascii="Times New Roman" w:hAnsi="Times New Roman"/>
                <w:sz w:val="20"/>
              </w:rPr>
              <w:t>↑ 70% so với 1990</w:t>
            </w:r>
          </w:p>
        </w:tc>
      </w:tr>
      <w:tr>
        <w:tc>
          <w:tcPr>
            <w:tcW w:w="2835" w:type="dxa"/>
          </w:tcPr>
          <w:p>
            <w:r>
              <w:rPr>
                <w:rFonts w:ascii="Times New Roman" w:hAnsi="Times New Roman"/>
                <w:sz w:val="20"/>
              </w:rPr>
              <w:t>Tổng DALYs</w:t>
            </w:r>
          </w:p>
        </w:tc>
        <w:tc>
          <w:tcPr>
            <w:tcW w:w="2835" w:type="dxa"/>
          </w:tcPr>
          <w:p>
            <w:r>
              <w:rPr>
                <w:rFonts w:ascii="Times New Roman" w:hAnsi="Times New Roman"/>
                <w:sz w:val="20"/>
              </w:rPr>
              <w:t>11,2 triệu (8,54–14,3)</w:t>
            </w:r>
          </w:p>
        </w:tc>
        <w:tc>
          <w:tcPr>
            <w:tcW w:w="3118" w:type="dxa"/>
          </w:tcPr>
          <w:p>
            <w:r>
              <w:rPr>
                <w:rFonts w:ascii="Times New Roman" w:hAnsi="Times New Roman"/>
                <w:sz w:val="20"/>
              </w:rPr>
              <w:t>Chiếm gánh nặng lớn ở VTN</w:t>
            </w:r>
          </w:p>
        </w:tc>
      </w:tr>
      <w:tr>
        <w:tc>
          <w:tcPr>
            <w:tcW w:w="2835" w:type="dxa"/>
          </w:tcPr>
          <w:p>
            <w:r>
              <w:rPr>
                <w:rFonts w:ascii="Times New Roman" w:hAnsi="Times New Roman"/>
                <w:sz w:val="20"/>
              </w:rPr>
              <w:t>Tỷ lệ Việt Nam</w:t>
            </w:r>
          </w:p>
        </w:tc>
        <w:tc>
          <w:tcPr>
            <w:tcW w:w="2835" w:type="dxa"/>
          </w:tcPr>
          <w:p>
            <w:r>
              <w:rPr>
                <w:rFonts w:ascii="Times New Roman" w:hAnsi="Times New Roman"/>
                <w:sz w:val="20"/>
              </w:rPr>
              <w:t>10,1 %</w:t>
            </w:r>
          </w:p>
        </w:tc>
        <w:tc>
          <w:tcPr>
            <w:tcW w:w="3118" w:type="dxa"/>
          </w:tcPr>
          <w:p>
            <w:r>
              <w:rPr>
                <w:rFonts w:ascii="Times New Roman" w:hAnsi="Times New Roman"/>
                <w:sz w:val="20"/>
              </w:rPr>
              <w:t>Thấp hơn Malaysia (13,2 %)</w:t>
            </w:r>
          </w:p>
        </w:tc>
      </w:tr>
      <w:tr>
        <w:tc>
          <w:tcPr>
            <w:tcW w:w="2835" w:type="dxa"/>
          </w:tcPr>
          <w:p>
            <w:r>
              <w:rPr>
                <w:rFonts w:ascii="Times New Roman" w:hAnsi="Times New Roman"/>
                <w:sz w:val="20"/>
              </w:rPr>
              <w:t>Nhóm 10–14 tuổi</w:t>
            </w:r>
          </w:p>
        </w:tc>
        <w:tc>
          <w:tcPr>
            <w:tcW w:w="2835" w:type="dxa"/>
          </w:tcPr>
          <w:p>
            <w:r>
              <w:rPr>
                <w:rFonts w:ascii="Times New Roman" w:hAnsi="Times New Roman"/>
                <w:sz w:val="20"/>
              </w:rPr>
              <w:t>16,3 % DALYs</w:t>
            </w:r>
          </w:p>
        </w:tc>
        <w:tc>
          <w:tcPr>
            <w:tcW w:w="3118" w:type="dxa"/>
          </w:tcPr>
          <w:p>
            <w:r>
              <w:rPr>
                <w:rFonts w:ascii="Times New Roman" w:hAnsi="Times New Roman"/>
                <w:sz w:val="20"/>
              </w:rPr>
              <w:t>VTN là nhóm dễ tổn thương</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Điểm mạnh: Đây là phân tích GBD 2021 CẬP NHẬT NHẤT cho khu vực ASEAN — 10 quốc gia, giai đoạn 1990–2021, sử dụng DisMod-MR 2.1 là mô hình hoá tiên tiến nhất. Lancet Public Health Q1 IF ≈ 40. Cung cấp bằng chứng cơ sở CHO CHÍNH SÁCH SKTT khu vực. Tác động chính sách: xác định VTN 10–14 tuổi là nhóm ưu tiên.</w:t>
      </w:r>
    </w:p>
    <w:p>
      <w:pPr>
        <w:jc w:val="both"/>
      </w:pPr>
      <w:r>
        <w:rPr>
          <w:rFonts w:ascii="Times New Roman" w:hAnsi="Times New Roman"/>
          <w:b w:val="0"/>
          <w:i w:val="0"/>
          <w:sz w:val="24"/>
        </w:rPr>
        <w:t>Hạn chế: (1) Dữ liệu đầu vào cho ASEAN (đặc biệt VN, Lào, Campuchia, Myanmar, Brunei) còn hạn chế, dẫn đến uncertainty intervals rộng; (2) Không tách biệt rối loạn lo âu với trầm cảm theo chi tiết; (3) Chưa phân tích các yếu tố quyết định (determinants); (4) Phụ thuộc vào chất lượng dữ liệu ICD/DSM địa phương — các nước như Lào, Myanmar có hệ thống báo cáo yếu.</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Cần bổ sung dữ liệu sơ cấp (khảo sát đại diện quốc gia) cho VN, Lào, Campuchia — hiện VN có V-NAMHS 2022 là nguồn tốt nhất. Tách biệt phân tích lo âu vs trầm cảm. Phân tích các yếu tố quyết định xã hội (SDH) và đánh giá hiệu quả chính sách SKTT khu vực.</w:t>
      </w:r>
    </w:p>
    <w:p>
      <w:pPr>
        <w:jc w:val="both"/>
      </w:pPr>
      <w:r>
        <w:rPr>
          <w:rFonts w:ascii="Times New Roman" w:hAnsi="Times New Roman"/>
          <w:b/>
          <w:i w:val="0"/>
          <w:sz w:val="24"/>
        </w:rPr>
        <w:t>Đánh giá chất lượng: ⭐⭐⭐⭐⭐ Rất cao. Lancet Q1 IF ≈ 40, phương pháp GBD chuẩn, dữ liệu khu vực cập nhật nhất, ý nghĩa chính sách cao.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