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Tóm tắt bài QT014 — Các yếu tố góp phần gia tăng lo âu ở VTN: Tổng quan tường thuật</w:t>
      </w:r>
    </w:p>
    <w:p>
      <w:pPr>
        <w:jc w:val="both"/>
      </w:pPr>
      <w:r>
        <w:rPr>
          <w:rFonts w:ascii="Times New Roman" w:hAnsi="Times New Roman"/>
          <w:b/>
          <w:i w:val="0"/>
          <w:sz w:val="24"/>
        </w:rPr>
        <w:t>Tên công trình, tác giả, năm, mẫu khảo sát, đối tượng, khách thể, địa bàn khảo sát</w:t>
      </w:r>
    </w:p>
    <w:p>
      <w:pPr>
        <w:jc w:val="both"/>
      </w:pPr>
      <w:r>
        <w:rPr>
          <w:rFonts w:ascii="Times New Roman" w:hAnsi="Times New Roman"/>
          <w:b w:val="0"/>
          <w:i w:val="0"/>
          <w:sz w:val="24"/>
        </w:rPr>
        <w:t>Công trình "Contributing Factors to the Rise in Adolescent Anxiety and Associated Mental Health Disorders: A Narrative Review of Current Literature" của Anderson, T.L., Valiauga, R., Tallo, C., Hong, C.B., Manoranjithan, S., Domingo, C., Pilitsis, J.G. và cộng sự (2025), đăng trên Journal of Child and Adolescent Psychiatric Nursing vol. 38, e70009. DOI 10.1111/jcap.70009. Tác giả từ Mỹ (Rowan University School of Osteopathic Medicine). Là tổng quan tường thuật 61 bài về yếu tố góp phần gia tăng lo âu VTN.</w:t>
      </w:r>
    </w:p>
    <w:p>
      <w:pPr>
        <w:pStyle w:val="Heading2"/>
      </w:pPr>
      <w:r>
        <w:rPr>
          <w:rFonts w:ascii="Times New Roman" w:hAnsi="Times New Roman"/>
          <w:color w:val="000000"/>
        </w:rPr>
        <w:t>Phương pháp nghiên cứu</w:t>
      </w:r>
    </w:p>
    <w:p>
      <w:pPr>
        <w:jc w:val="both"/>
      </w:pPr>
      <w:r>
        <w:rPr>
          <w:rFonts w:ascii="Times New Roman" w:hAnsi="Times New Roman"/>
          <w:b w:val="0"/>
          <w:i w:val="0"/>
          <w:sz w:val="24"/>
        </w:rPr>
        <w:t>Tổng quan tường thuật (narrative review) — KHÔNG phải SR/MA. Tìm kiếm PubMed, ScienceDirect, Medline. Chọn các bài gốc và review thảo luận về gia tăng lo âu ở Thế hệ Z (sinh 1997–2012). Phân tích theo 4 nhóm yếu tố: áp lực học tập, ảnh hưởng MXH, động lực gia đình, các yếu tố gây căng thẳng xã hội rộng lớn. Đề xuất can thiệp 3 cấp: lâm sàng, giáo dục, cộng đồng.</w:t>
      </w:r>
    </w:p>
    <w:p>
      <w:pPr>
        <w:pStyle w:val="Heading2"/>
      </w:pPr>
      <w:r>
        <w:rPr>
          <w:rFonts w:ascii="Times New Roman" w:hAnsi="Times New Roman"/>
          <w:color w:val="000000"/>
        </w:rPr>
        <w:t>Kết quả nghiên cứu</w:t>
      </w:r>
    </w:p>
    <w:p>
      <w:pPr>
        <w:jc w:val="both"/>
      </w:pPr>
      <w:r>
        <w:rPr>
          <w:rFonts w:ascii="Times New Roman" w:hAnsi="Times New Roman"/>
          <w:b w:val="0"/>
          <w:i w:val="0"/>
          <w:sz w:val="24"/>
        </w:rPr>
        <w:t>Phát hiện chính:</w:t>
      </w:r>
    </w:p>
    <w:p>
      <w:pPr>
        <w:jc w:val="both"/>
      </w:pPr>
      <w:r>
        <w:rPr>
          <w:rFonts w:ascii="Times New Roman" w:hAnsi="Times New Roman"/>
          <w:b w:val="0"/>
          <w:i w:val="0"/>
          <w:sz w:val="24"/>
        </w:rPr>
        <w:t>• Tỷ lệ lo âu VTN 13–18 tuổi là 31,9 % (Daly 2022 — trích dẫn) — Thế hệ Z CAO NHẤT so với 3 thế hệ trước đó.</w:t>
      </w:r>
    </w:p>
    <w:p>
      <w:pPr>
        <w:jc w:val="both"/>
      </w:pPr>
      <w:r>
        <w:rPr>
          <w:rFonts w:ascii="Times New Roman" w:hAnsi="Times New Roman"/>
          <w:b w:val="0"/>
          <w:i w:val="0"/>
          <w:sz w:val="24"/>
        </w:rPr>
        <w:t>• 48/52 nghiên cứu xác nhận tương quan áp lực học tập → SKTT kém (Steare và cộng sự 2023 — trích dẫn).</w:t>
      </w:r>
    </w:p>
    <w:p>
      <w:pPr>
        <w:jc w:val="both"/>
      </w:pPr>
      <w:r>
        <w:rPr>
          <w:rFonts w:ascii="Times New Roman" w:hAnsi="Times New Roman"/>
          <w:b w:val="0"/>
          <w:i w:val="0"/>
          <w:sz w:val="24"/>
        </w:rPr>
        <w:t>• MXH ảnh hưởng lo âu qua nhiều cơ chế: so sánh xã hội, bắt nạt mạng, FOMO, thiếu ngủ.</w:t>
      </w:r>
    </w:p>
    <w:p>
      <w:pPr>
        <w:jc w:val="both"/>
      </w:pPr>
      <w:r>
        <w:rPr>
          <w:rFonts w:ascii="Times New Roman" w:hAnsi="Times New Roman"/>
          <w:b w:val="0"/>
          <w:i w:val="0"/>
          <w:sz w:val="24"/>
        </w:rPr>
        <w:t>• Gia đình: cha mẹ lo âu truyền sang con (trans-generational transmission), kỳ vọng quá cao, ít tương tác cá nhân.</w:t>
      </w:r>
    </w:p>
    <w:p>
      <w:pPr>
        <w:jc w:val="both"/>
      </w:pPr>
      <w:r>
        <w:rPr>
          <w:rFonts w:ascii="Times New Roman" w:hAnsi="Times New Roman"/>
          <w:b w:val="0"/>
          <w:i w:val="0"/>
          <w:sz w:val="24"/>
        </w:rPr>
        <w:t>• Yếu tố xã hội: COVID-19, bất ổn kinh tế, biến đổi khí hậu, thông tin về khủng hoảng toàn cầu.</w:t>
      </w:r>
    </w:p>
    <w:p>
      <w:pPr>
        <w:jc w:val="both"/>
      </w:pPr>
      <w:r>
        <w:rPr>
          <w:rFonts w:ascii="Times New Roman" w:hAnsi="Times New Roman"/>
          <w:b/>
          <w:i w:val="0"/>
          <w:sz w:val="24"/>
        </w:rPr>
        <w:t>Đề xuất can thiệp đa tầng:</w:t>
      </w:r>
    </w:p>
    <w:tbl>
      <w:tblPr>
        <w:tblStyle w:val="TableGrid"/>
        <w:tblW w:type="auto" w:w="0"/>
        <w:jc w:val="center"/>
        <w:tblLook w:firstColumn="1" w:firstRow="1" w:lastColumn="0" w:lastRow="0" w:noHBand="0" w:noVBand="1" w:val="04A0"/>
        <w:tblLayout w:type="fixed"/>
      </w:tblPr>
      <w:tblGrid>
        <w:gridCol w:w="1984"/>
        <w:gridCol w:w="3402"/>
        <w:gridCol w:w="3118"/>
      </w:tblGrid>
      <w:tr>
        <w:tc>
          <w:tcPr>
            <w:tcW w:w="1984" w:type="dxa"/>
            <w:shd w:fill="D9E2F3" w:val="clear"/>
          </w:tcPr>
          <w:p>
            <w:pPr>
              <w:jc w:val="center"/>
            </w:pPr>
            <w:r>
              <w:rPr>
                <w:rFonts w:ascii="Times New Roman" w:hAnsi="Times New Roman"/>
                <w:b/>
                <w:sz w:val="20"/>
              </w:rPr>
              <w:t>Tầng can thiệp</w:t>
            </w:r>
          </w:p>
        </w:tc>
        <w:tc>
          <w:tcPr>
            <w:tcW w:w="3402" w:type="dxa"/>
            <w:shd w:fill="D9E2F3" w:val="clear"/>
          </w:tcPr>
          <w:p>
            <w:pPr>
              <w:jc w:val="center"/>
            </w:pPr>
            <w:r>
              <w:rPr>
                <w:rFonts w:ascii="Times New Roman" w:hAnsi="Times New Roman"/>
                <w:b/>
                <w:sz w:val="20"/>
              </w:rPr>
              <w:t>Biện pháp</w:t>
            </w:r>
          </w:p>
        </w:tc>
        <w:tc>
          <w:tcPr>
            <w:tcW w:w="3118" w:type="dxa"/>
            <w:shd w:fill="D9E2F3" w:val="clear"/>
          </w:tcPr>
          <w:p>
            <w:pPr>
              <w:jc w:val="center"/>
            </w:pPr>
            <w:r>
              <w:rPr>
                <w:rFonts w:ascii="Times New Roman" w:hAnsi="Times New Roman"/>
                <w:b/>
                <w:sz w:val="20"/>
              </w:rPr>
              <w:t>Ví dụ</w:t>
            </w:r>
          </w:p>
        </w:tc>
      </w:tr>
      <w:tr>
        <w:tc>
          <w:tcPr>
            <w:tcW w:w="1984" w:type="dxa"/>
          </w:tcPr>
          <w:p>
            <w:r>
              <w:rPr>
                <w:rFonts w:ascii="Times New Roman" w:hAnsi="Times New Roman"/>
                <w:sz w:val="20"/>
              </w:rPr>
              <w:t>Lâm sàng</w:t>
            </w:r>
          </w:p>
        </w:tc>
        <w:tc>
          <w:tcPr>
            <w:tcW w:w="3402" w:type="dxa"/>
          </w:tcPr>
          <w:p>
            <w:r>
              <w:rPr>
                <w:rFonts w:ascii="Times New Roman" w:hAnsi="Times New Roman"/>
                <w:sz w:val="20"/>
              </w:rPr>
              <w:t>CBT, SSRI, therapist-guided</w:t>
            </w:r>
          </w:p>
        </w:tc>
        <w:tc>
          <w:tcPr>
            <w:tcW w:w="3118" w:type="dxa"/>
          </w:tcPr>
          <w:p>
            <w:r>
              <w:rPr>
                <w:rFonts w:ascii="Times New Roman" w:hAnsi="Times New Roman"/>
                <w:sz w:val="20"/>
              </w:rPr>
              <w:t>CAMS Walkup 2008</w:t>
            </w:r>
          </w:p>
        </w:tc>
      </w:tr>
      <w:tr>
        <w:tc>
          <w:tcPr>
            <w:tcW w:w="1984" w:type="dxa"/>
          </w:tcPr>
          <w:p>
            <w:r>
              <w:rPr>
                <w:rFonts w:ascii="Times New Roman" w:hAnsi="Times New Roman"/>
                <w:sz w:val="20"/>
              </w:rPr>
              <w:t>Giáo dục</w:t>
            </w:r>
          </w:p>
        </w:tc>
        <w:tc>
          <w:tcPr>
            <w:tcW w:w="3402" w:type="dxa"/>
          </w:tcPr>
          <w:p>
            <w:r>
              <w:rPr>
                <w:rFonts w:ascii="Times New Roman" w:hAnsi="Times New Roman"/>
                <w:sz w:val="20"/>
              </w:rPr>
              <w:t>Trường học, kỹ năng ứng phó</w:t>
            </w:r>
          </w:p>
        </w:tc>
        <w:tc>
          <w:tcPr>
            <w:tcW w:w="3118" w:type="dxa"/>
          </w:tcPr>
          <w:p>
            <w:r>
              <w:rPr>
                <w:rFonts w:ascii="Times New Roman" w:hAnsi="Times New Roman"/>
                <w:sz w:val="20"/>
              </w:rPr>
              <w:t>Happy House VN 2023</w:t>
            </w:r>
          </w:p>
        </w:tc>
      </w:tr>
      <w:tr>
        <w:tc>
          <w:tcPr>
            <w:tcW w:w="1984" w:type="dxa"/>
          </w:tcPr>
          <w:p>
            <w:r>
              <w:rPr>
                <w:rFonts w:ascii="Times New Roman" w:hAnsi="Times New Roman"/>
                <w:sz w:val="20"/>
              </w:rPr>
              <w:t>Cộng đồng</w:t>
            </w:r>
          </w:p>
        </w:tc>
        <w:tc>
          <w:tcPr>
            <w:tcW w:w="3402" w:type="dxa"/>
          </w:tcPr>
          <w:p>
            <w:r>
              <w:rPr>
                <w:rFonts w:ascii="Times New Roman" w:hAnsi="Times New Roman"/>
                <w:sz w:val="20"/>
              </w:rPr>
              <w:t>Chính sách SKTT, giảm kỳ thị</w:t>
            </w:r>
          </w:p>
        </w:tc>
        <w:tc>
          <w:tcPr>
            <w:tcW w:w="3118" w:type="dxa"/>
          </w:tcPr>
          <w:p>
            <w:r>
              <w:rPr>
                <w:rFonts w:ascii="Times New Roman" w:hAnsi="Times New Roman"/>
                <w:sz w:val="20"/>
              </w:rPr>
              <w:t>WHO 2022 framework</w:t>
            </w:r>
          </w:p>
        </w:tc>
      </w:tr>
    </w:tbl>
    <w:p>
      <w:pPr>
        <w:pStyle w:val="Heading2"/>
      </w:pPr>
      <w:r>
        <w:rPr>
          <w:rFonts w:ascii="Times New Roman" w:hAnsi="Times New Roman"/>
          <w:color w:val="000000"/>
        </w:rPr>
        <w:t>Phản biện</w:t>
      </w:r>
    </w:p>
    <w:p>
      <w:pPr>
        <w:jc w:val="both"/>
      </w:pPr>
      <w:r>
        <w:rPr>
          <w:rFonts w:ascii="Times New Roman" w:hAnsi="Times New Roman"/>
          <w:b w:val="0"/>
          <w:i w:val="0"/>
          <w:sz w:val="24"/>
        </w:rPr>
        <w:t>Điểm mạnh: Tổng quan 61 bài bao quát nhiều yếu tố, viết dễ hiểu, phù hợp đào tạo. Tiếp cận đa tầng rõ ràng. Journal of Child and Adolescent Psychiatric Nursing là tạp chí ứng dụng tốt.</w:t>
      </w:r>
    </w:p>
    <w:p>
      <w:pPr>
        <w:jc w:val="both"/>
      </w:pPr>
      <w:r>
        <w:rPr>
          <w:rFonts w:ascii="Times New Roman" w:hAnsi="Times New Roman"/>
          <w:b w:val="0"/>
          <w:i w:val="0"/>
          <w:sz w:val="24"/>
        </w:rPr>
        <w:t>Hạn chế: (1) NARRATIVE REVIEW, KHÔNG phải SR/MA — không có tìm kiếm hệ thống hay đánh giá chất lượng chặt chẽ (Green và cộng sự 2006); (2) Dữ liệu chủ yếu từ phương Tây (Mỹ, UK, Úc) — có thể không generalizable cho châu Á (Polanczyk 2015); (3) Không có phân tích định lượng — chỉ mô tả; (4) Khả năng thiên vị tác giả cao do tự chọn bài.</w:t>
      </w:r>
    </w:p>
    <w:p>
      <w:pPr>
        <w:pStyle w:val="Heading2"/>
      </w:pPr>
      <w:r>
        <w:rPr>
          <w:rFonts w:ascii="Times New Roman" w:hAnsi="Times New Roman"/>
          <w:color w:val="000000"/>
        </w:rPr>
        <w:t>Hướng nghiên cứu tiếp theo</w:t>
      </w:r>
    </w:p>
    <w:p>
      <w:pPr>
        <w:jc w:val="both"/>
      </w:pPr>
      <w:r>
        <w:rPr>
          <w:rFonts w:ascii="Times New Roman" w:hAnsi="Times New Roman"/>
          <w:b w:val="0"/>
          <w:i w:val="0"/>
          <w:sz w:val="24"/>
        </w:rPr>
        <w:t>Cần SR + MA (không phải narrative) để đánh giá định lượng hiệu quả các yếu tố. Nghiên cứu dọc theo Thế hệ Z VN. So sánh Việt Nam với các nước phương Tây về các yếu tố tương đồng và khác biệt.</w:t>
      </w:r>
    </w:p>
    <w:p>
      <w:pPr>
        <w:jc w:val="both"/>
      </w:pPr>
      <w:r>
        <w:rPr>
          <w:rFonts w:ascii="Times New Roman" w:hAnsi="Times New Roman"/>
          <w:b/>
          <w:i w:val="0"/>
          <w:sz w:val="24"/>
        </w:rPr>
        <w:t>Đánh giá chất lượng: ⭐⭐⭐ Trung bình–Khá. Tổng quan tường thuật — hữu ích để có bức tranh tổng thể nhưng thiếu bằng chứng định lượng.</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